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22" w:rsidRPr="00365554" w:rsidRDefault="00F06914">
      <w:pPr>
        <w:rPr>
          <w:b/>
        </w:rPr>
      </w:pPr>
      <w:r>
        <w:rPr>
          <w:b/>
        </w:rPr>
        <w:t>Additional</w:t>
      </w:r>
      <w:bookmarkStart w:id="0" w:name="_GoBack"/>
      <w:bookmarkEnd w:id="0"/>
      <w:r w:rsidR="00365554" w:rsidRPr="00365554">
        <w:rPr>
          <w:b/>
        </w:rPr>
        <w:t xml:space="preserve"> file 3</w:t>
      </w:r>
    </w:p>
    <w:p w:rsidR="00E261A3" w:rsidRDefault="00E261A3" w:rsidP="00E261A3">
      <w:pPr>
        <w:tabs>
          <w:tab w:val="left" w:pos="6237"/>
        </w:tabs>
        <w:spacing w:line="360" w:lineRule="auto"/>
        <w:rPr>
          <w:rFonts w:eastAsia="Times New Roman" w:cs="Arial"/>
          <w:bCs/>
          <w:lang w:eastAsia="en-GB"/>
        </w:rPr>
      </w:pPr>
      <w:r>
        <w:rPr>
          <w:noProof/>
          <w:lang w:eastAsia="en-GB"/>
        </w:rPr>
        <w:drawing>
          <wp:inline distT="0" distB="0" distL="0" distR="0" wp14:anchorId="3ADD3662" wp14:editId="5B3040AC">
            <wp:extent cx="4166483" cy="3506526"/>
            <wp:effectExtent l="0" t="0" r="571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0E22" w:rsidRDefault="00F40E22" w:rsidP="00F40E22">
      <w:pPr>
        <w:spacing w:line="360" w:lineRule="auto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Figure 1. Frequency of methotrexate doses over time of newly diagnosed patients in the METEOR database. Low MTX dose ≤10 mg/week, high MTX doses ≥15 mg/week. Only patients and methotrexate doses fulfilling inclusion criteria of this study are presented in this figure.</w:t>
      </w:r>
    </w:p>
    <w:p w:rsidR="00105165" w:rsidRDefault="00F06914"/>
    <w:sectPr w:rsidR="00105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7B"/>
    <w:rsid w:val="00365554"/>
    <w:rsid w:val="00846D75"/>
    <w:rsid w:val="008F6411"/>
    <w:rsid w:val="0091217B"/>
    <w:rsid w:val="00934C8B"/>
    <w:rsid w:val="00B904D8"/>
    <w:rsid w:val="00E261A3"/>
    <w:rsid w:val="00E34797"/>
    <w:rsid w:val="00F06914"/>
    <w:rsid w:val="00F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Sheet1!$B$32</c:f>
              <c:strCache>
                <c:ptCount val="1"/>
                <c:pt idx="0">
                  <c:v>low MTX dose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numRef>
              <c:f>Sheet1!$A$33:$A$53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Sheet1!$B$33:$B$53</c:f>
              <c:numCache>
                <c:formatCode>General</c:formatCode>
                <c:ptCount val="21"/>
                <c:pt idx="0">
                  <c:v>0</c:v>
                </c:pt>
                <c:pt idx="1">
                  <c:v>6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10</c:v>
                </c:pt>
                <c:pt idx="9">
                  <c:v>38</c:v>
                </c:pt>
                <c:pt idx="10">
                  <c:v>65</c:v>
                </c:pt>
                <c:pt idx="11">
                  <c:v>54</c:v>
                </c:pt>
                <c:pt idx="12">
                  <c:v>77</c:v>
                </c:pt>
                <c:pt idx="13">
                  <c:v>61</c:v>
                </c:pt>
                <c:pt idx="14">
                  <c:v>116</c:v>
                </c:pt>
                <c:pt idx="15">
                  <c:v>162</c:v>
                </c:pt>
                <c:pt idx="16">
                  <c:v>122</c:v>
                </c:pt>
                <c:pt idx="17">
                  <c:v>77</c:v>
                </c:pt>
                <c:pt idx="18">
                  <c:v>43</c:v>
                </c:pt>
                <c:pt idx="19">
                  <c:v>71</c:v>
                </c:pt>
                <c:pt idx="20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Sheet1!$C$32</c:f>
              <c:strCache>
                <c:ptCount val="1"/>
                <c:pt idx="0">
                  <c:v>High MTX dose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numRef>
              <c:f>Sheet1!$A$33:$A$53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Sheet1!$C$33:$C$53</c:f>
              <c:numCache>
                <c:formatCode>General</c:formatCode>
                <c:ptCount val="21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7</c:v>
                </c:pt>
                <c:pt idx="7">
                  <c:v>11</c:v>
                </c:pt>
                <c:pt idx="8">
                  <c:v>9</c:v>
                </c:pt>
                <c:pt idx="9">
                  <c:v>11</c:v>
                </c:pt>
                <c:pt idx="10">
                  <c:v>4</c:v>
                </c:pt>
                <c:pt idx="11">
                  <c:v>16</c:v>
                </c:pt>
                <c:pt idx="12">
                  <c:v>19</c:v>
                </c:pt>
                <c:pt idx="13">
                  <c:v>18</c:v>
                </c:pt>
                <c:pt idx="14">
                  <c:v>39</c:v>
                </c:pt>
                <c:pt idx="15">
                  <c:v>47</c:v>
                </c:pt>
                <c:pt idx="16">
                  <c:v>66</c:v>
                </c:pt>
                <c:pt idx="17">
                  <c:v>76</c:v>
                </c:pt>
                <c:pt idx="18">
                  <c:v>59</c:v>
                </c:pt>
                <c:pt idx="19">
                  <c:v>64</c:v>
                </c:pt>
                <c:pt idx="20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715968"/>
        <c:axId val="383262720"/>
      </c:barChart>
      <c:catAx>
        <c:axId val="381715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Visit 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83262720"/>
        <c:crosses val="autoZero"/>
        <c:auto val="1"/>
        <c:lblAlgn val="ctr"/>
        <c:lblOffset val="100"/>
        <c:noMultiLvlLbl val="0"/>
      </c:catAx>
      <c:valAx>
        <c:axId val="3832627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Number of patients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81715968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0.18055555555555555"/>
          <c:y val="5.0542067658209393E-2"/>
          <c:w val="0.25025304621558797"/>
          <c:h val="0.16743438320209975"/>
        </c:manualLayout>
      </c:layout>
      <c:overlay val="1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7D2BE182</Template>
  <TotalTime>1180</TotalTime>
  <Pages>1</Pages>
  <Words>44</Words>
  <Characters>246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Bergstra, S.A. (REUM)</dc:creator>
  <cp:lastModifiedBy>Bergstra, S.A. (REUM)</cp:lastModifiedBy>
  <cp:revision>6</cp:revision>
  <dcterms:created xsi:type="dcterms:W3CDTF">2017-02-23T14:02:00Z</dcterms:created>
  <dcterms:modified xsi:type="dcterms:W3CDTF">2017-10-17T07:29:00Z</dcterms:modified>
</cp:coreProperties>
</file>