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1" w:rsidRDefault="00EE5251" w:rsidP="00A875D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32"/>
          <w:szCs w:val="32"/>
          <w:lang w:val="en-US"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val="en-US" w:eastAsia="fr-FR"/>
        </w:rPr>
        <w:t>Online Repository</w:t>
      </w:r>
    </w:p>
    <w:p w:rsidR="005A433D" w:rsidRPr="00A24812" w:rsidRDefault="00A24812" w:rsidP="00BB71E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outlineLvl w:val="2"/>
        <w:rPr>
          <w:rFonts w:eastAsia="Times New Roman" w:cs="Arial"/>
          <w:b/>
          <w:bCs/>
          <w:sz w:val="32"/>
          <w:szCs w:val="32"/>
          <w:lang w:val="en-US" w:eastAsia="fr-FR"/>
        </w:rPr>
      </w:pPr>
      <w:r w:rsidRPr="00A24812">
        <w:rPr>
          <w:rFonts w:eastAsia="Times New Roman" w:cs="Arial"/>
          <w:b/>
          <w:bCs/>
          <w:sz w:val="32"/>
          <w:szCs w:val="32"/>
          <w:lang w:val="en-US" w:eastAsia="fr-FR"/>
        </w:rPr>
        <w:t xml:space="preserve">Additional content - </w:t>
      </w:r>
      <w:r w:rsidR="00C91AF2" w:rsidRPr="00A24812">
        <w:rPr>
          <w:rFonts w:eastAsia="Times New Roman" w:cs="Arial"/>
          <w:b/>
          <w:bCs/>
          <w:sz w:val="32"/>
          <w:szCs w:val="32"/>
          <w:lang w:val="en-US" w:eastAsia="fr-FR"/>
        </w:rPr>
        <w:t xml:space="preserve">Experimental </w:t>
      </w:r>
      <w:r w:rsidR="005A433D" w:rsidRPr="00A24812">
        <w:rPr>
          <w:rFonts w:eastAsia="Times New Roman" w:cs="Arial"/>
          <w:b/>
          <w:bCs/>
          <w:sz w:val="32"/>
          <w:szCs w:val="32"/>
          <w:lang w:val="en-US" w:eastAsia="fr-FR"/>
        </w:rPr>
        <w:t>technical performance evaluation</w:t>
      </w:r>
    </w:p>
    <w:p w:rsidR="00AF652A" w:rsidRPr="002772F8" w:rsidRDefault="00AF652A" w:rsidP="006F5F54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val="en-US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All measurements were performed </w:t>
      </w:r>
      <w:r w:rsidR="005A433D" w:rsidRPr="002772F8">
        <w:rPr>
          <w:rFonts w:ascii="Arial" w:eastAsia="Times New Roman" w:hAnsi="Arial" w:cs="Arial"/>
          <w:szCs w:val="24"/>
          <w:lang w:val="en-US" w:eastAsia="fr-FR"/>
        </w:rPr>
        <w:t xml:space="preserve">under </w:t>
      </w:r>
      <w:r w:rsidR="00A875D9" w:rsidRPr="002772F8">
        <w:rPr>
          <w:rFonts w:ascii="Arial" w:eastAsia="Times New Roman" w:hAnsi="Arial" w:cs="Arial"/>
          <w:szCs w:val="24"/>
          <w:lang w:val="en-US" w:eastAsia="fr-FR"/>
        </w:rPr>
        <w:t>two</w:t>
      </w:r>
      <w:r w:rsidR="005A433D" w:rsidRPr="002772F8">
        <w:rPr>
          <w:rFonts w:ascii="Arial" w:eastAsia="Times New Roman" w:hAnsi="Arial" w:cs="Arial"/>
          <w:szCs w:val="24"/>
          <w:lang w:val="en-US" w:eastAsia="fr-FR"/>
        </w:rPr>
        <w:t xml:space="preserve"> levels of FIO</w:t>
      </w:r>
      <w:r w:rsidR="005A433D"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="00A875D9" w:rsidRPr="002772F8">
        <w:rPr>
          <w:rFonts w:ascii="Arial" w:eastAsia="Times New Roman" w:hAnsi="Arial" w:cs="Arial"/>
          <w:szCs w:val="24"/>
          <w:lang w:val="en-US" w:eastAsia="fr-FR"/>
        </w:rPr>
        <w:t xml:space="preserve"> (100%, 50%</w:t>
      </w:r>
      <w:r w:rsidR="005A433D" w:rsidRPr="002772F8">
        <w:rPr>
          <w:rFonts w:ascii="Arial" w:eastAsia="Times New Roman" w:hAnsi="Arial" w:cs="Arial"/>
          <w:szCs w:val="24"/>
          <w:lang w:val="en-US" w:eastAsia="fr-FR"/>
        </w:rPr>
        <w:t>)</w:t>
      </w:r>
      <w:r w:rsidR="00A875D9" w:rsidRPr="002772F8">
        <w:rPr>
          <w:rFonts w:ascii="Arial" w:eastAsia="Times New Roman" w:hAnsi="Arial" w:cs="Arial"/>
          <w:szCs w:val="24"/>
          <w:lang w:val="en-US" w:eastAsia="fr-FR"/>
        </w:rPr>
        <w:t xml:space="preserve">, three respiratory mechanics combinations </w:t>
      </w:r>
      <w:r w:rsidR="00A875D9" w:rsidRPr="002772F8">
        <w:rPr>
          <w:rFonts w:ascii="Arial" w:hAnsi="Arial" w:cs="Arial"/>
          <w:color w:val="262626"/>
          <w:szCs w:val="24"/>
          <w:lang w:val="en-US"/>
        </w:rPr>
        <w:t>(</w:t>
      </w:r>
      <w:r w:rsidR="00A875D9" w:rsidRPr="002772F8">
        <w:rPr>
          <w:rFonts w:ascii="Arial" w:hAnsi="Arial" w:cs="Arial"/>
          <w:i/>
          <w:szCs w:val="24"/>
          <w:lang w:val="en-US"/>
        </w:rPr>
        <w:t>Normal</w:t>
      </w:r>
      <w:r w:rsidR="00A875D9" w:rsidRPr="002772F8">
        <w:rPr>
          <w:rFonts w:ascii="Arial" w:hAnsi="Arial" w:cs="Arial"/>
          <w:szCs w:val="24"/>
          <w:lang w:val="en-US"/>
        </w:rPr>
        <w:t>: Resistance [R]=5 cmH</w:t>
      </w:r>
      <w:r w:rsidR="00A875D9" w:rsidRPr="002772F8">
        <w:rPr>
          <w:rFonts w:ascii="Arial" w:hAnsi="Arial" w:cs="Arial"/>
          <w:szCs w:val="24"/>
          <w:vertAlign w:val="subscript"/>
          <w:lang w:val="en-US"/>
        </w:rPr>
        <w:t>2</w:t>
      </w:r>
      <w:r w:rsidR="00A875D9" w:rsidRPr="002772F8">
        <w:rPr>
          <w:rFonts w:ascii="Arial" w:hAnsi="Arial" w:cs="Arial"/>
          <w:szCs w:val="24"/>
          <w:lang w:val="en-US"/>
        </w:rPr>
        <w:t>0.L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>.s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>; Compliance [C]=70 ml.cmH</w:t>
      </w:r>
      <w:r w:rsidR="00A875D9" w:rsidRPr="002772F8">
        <w:rPr>
          <w:rFonts w:ascii="Arial" w:hAnsi="Arial" w:cs="Arial"/>
          <w:szCs w:val="24"/>
          <w:vertAlign w:val="subscript"/>
          <w:lang w:val="en-US"/>
        </w:rPr>
        <w:t>2</w:t>
      </w:r>
      <w:r w:rsidR="00A875D9" w:rsidRPr="002772F8">
        <w:rPr>
          <w:rFonts w:ascii="Arial" w:hAnsi="Arial" w:cs="Arial"/>
          <w:szCs w:val="24"/>
          <w:lang w:val="en-US"/>
        </w:rPr>
        <w:t>O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 xml:space="preserve">, </w:t>
      </w:r>
      <w:r w:rsidR="00A875D9" w:rsidRPr="002772F8">
        <w:rPr>
          <w:rFonts w:ascii="Arial" w:hAnsi="Arial" w:cs="Arial"/>
          <w:i/>
          <w:szCs w:val="24"/>
          <w:lang w:val="en-US"/>
        </w:rPr>
        <w:t>Restrictive</w:t>
      </w:r>
      <w:r w:rsidR="00A875D9" w:rsidRPr="002772F8">
        <w:rPr>
          <w:rFonts w:ascii="Arial" w:hAnsi="Arial" w:cs="Arial"/>
          <w:szCs w:val="24"/>
          <w:lang w:val="en-US"/>
        </w:rPr>
        <w:t>: R=10 cmH</w:t>
      </w:r>
      <w:r w:rsidR="00A875D9" w:rsidRPr="002772F8">
        <w:rPr>
          <w:rFonts w:ascii="Arial" w:hAnsi="Arial" w:cs="Arial"/>
          <w:szCs w:val="24"/>
          <w:vertAlign w:val="subscript"/>
          <w:lang w:val="en-US"/>
        </w:rPr>
        <w:t>2</w:t>
      </w:r>
      <w:r w:rsidR="00A875D9" w:rsidRPr="002772F8">
        <w:rPr>
          <w:rFonts w:ascii="Arial" w:hAnsi="Arial" w:cs="Arial"/>
          <w:szCs w:val="24"/>
          <w:lang w:val="en-US"/>
        </w:rPr>
        <w:t>0.L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>.s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>; C=30 ml.cmH</w:t>
      </w:r>
      <w:r w:rsidR="00A875D9" w:rsidRPr="002772F8">
        <w:rPr>
          <w:rFonts w:ascii="Arial" w:hAnsi="Arial" w:cs="Arial"/>
          <w:szCs w:val="24"/>
          <w:vertAlign w:val="subscript"/>
          <w:lang w:val="en-US"/>
        </w:rPr>
        <w:t>2</w:t>
      </w:r>
      <w:r w:rsidR="00A875D9" w:rsidRPr="002772F8">
        <w:rPr>
          <w:rFonts w:ascii="Arial" w:hAnsi="Arial" w:cs="Arial"/>
          <w:szCs w:val="24"/>
          <w:lang w:val="en-US"/>
        </w:rPr>
        <w:t>O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 xml:space="preserve">, and </w:t>
      </w:r>
      <w:r w:rsidR="00A875D9" w:rsidRPr="002772F8">
        <w:rPr>
          <w:rFonts w:ascii="Arial" w:hAnsi="Arial" w:cs="Arial"/>
          <w:i/>
          <w:szCs w:val="24"/>
          <w:lang w:val="en-US"/>
        </w:rPr>
        <w:t xml:space="preserve">Obstructive: </w:t>
      </w:r>
      <w:r w:rsidR="00A875D9" w:rsidRPr="002772F8">
        <w:rPr>
          <w:rFonts w:ascii="Arial" w:hAnsi="Arial" w:cs="Arial"/>
          <w:szCs w:val="24"/>
          <w:lang w:val="en-US"/>
        </w:rPr>
        <w:t>R=20 cmH</w:t>
      </w:r>
      <w:r w:rsidR="00A875D9" w:rsidRPr="002772F8">
        <w:rPr>
          <w:rFonts w:ascii="Arial" w:hAnsi="Arial" w:cs="Arial"/>
          <w:szCs w:val="24"/>
          <w:vertAlign w:val="subscript"/>
          <w:lang w:val="en-US"/>
        </w:rPr>
        <w:t>2</w:t>
      </w:r>
      <w:r w:rsidR="00A875D9" w:rsidRPr="002772F8">
        <w:rPr>
          <w:rFonts w:ascii="Arial" w:hAnsi="Arial" w:cs="Arial"/>
          <w:szCs w:val="24"/>
          <w:lang w:val="en-US"/>
        </w:rPr>
        <w:t>0.L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>.s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>; C=120 ml.cmH</w:t>
      </w:r>
      <w:r w:rsidR="00A875D9" w:rsidRPr="002772F8">
        <w:rPr>
          <w:rFonts w:ascii="Arial" w:hAnsi="Arial" w:cs="Arial"/>
          <w:szCs w:val="24"/>
          <w:vertAlign w:val="subscript"/>
          <w:lang w:val="en-US"/>
        </w:rPr>
        <w:t>2</w:t>
      </w:r>
      <w:r w:rsidR="00A875D9" w:rsidRPr="002772F8">
        <w:rPr>
          <w:rFonts w:ascii="Arial" w:hAnsi="Arial" w:cs="Arial"/>
          <w:szCs w:val="24"/>
          <w:lang w:val="en-US"/>
        </w:rPr>
        <w:t>O</w:t>
      </w:r>
      <w:r w:rsidR="00A875D9" w:rsidRPr="002772F8">
        <w:rPr>
          <w:rFonts w:ascii="Arial" w:hAnsi="Arial" w:cs="Arial"/>
          <w:szCs w:val="24"/>
          <w:vertAlign w:val="superscript"/>
          <w:lang w:val="en-US"/>
        </w:rPr>
        <w:t>-1</w:t>
      </w:r>
      <w:r w:rsidR="00A875D9" w:rsidRPr="002772F8">
        <w:rPr>
          <w:rFonts w:ascii="Arial" w:hAnsi="Arial" w:cs="Arial"/>
          <w:szCs w:val="24"/>
          <w:lang w:val="en-US"/>
        </w:rPr>
        <w:t>)</w:t>
      </w:r>
      <w:r w:rsidRPr="002772F8">
        <w:rPr>
          <w:rFonts w:ascii="Arial" w:hAnsi="Arial" w:cs="Arial"/>
          <w:szCs w:val="24"/>
          <w:lang w:val="en-US"/>
        </w:rPr>
        <w:t xml:space="preserve">. </w:t>
      </w:r>
    </w:p>
    <w:p w:rsidR="006F5F54" w:rsidRPr="002772F8" w:rsidRDefault="005A433D" w:rsidP="006F5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Calibri"/>
          <w:szCs w:val="21"/>
          <w:lang w:val="en-US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>All measures were performed at atmospheric pressure, constant room temperature (22°C) and test-lung temperature (37°C), using an ASL5000™ lung simulator (Ingmar, Pittsburgh, PA, USA)</w:t>
      </w:r>
      <w:r w:rsidR="005E4E37" w:rsidRPr="002772F8">
        <w:rPr>
          <w:rFonts w:ascii="Arial" w:eastAsia="Times New Roman" w:hAnsi="Arial" w:cs="Arial"/>
          <w:szCs w:val="24"/>
          <w:lang w:val="en-US" w:eastAsia="fr-FR"/>
        </w:rPr>
        <w:t>.</w:t>
      </w:r>
      <w:r w:rsidR="008C7141" w:rsidRPr="002772F8">
        <w:rPr>
          <w:rFonts w:ascii="Arial" w:eastAsia="Times New Roman" w:hAnsi="Arial" w:cs="Arial"/>
          <w:szCs w:val="24"/>
          <w:lang w:val="en-US" w:eastAsia="fr-FR"/>
        </w:rPr>
        <w:t xml:space="preserve"> </w:t>
      </w:r>
      <w:r w:rsidR="006F5F54" w:rsidRPr="002772F8">
        <w:rPr>
          <w:rFonts w:ascii="Arial" w:hAnsi="Arial" w:cs="Calibri"/>
          <w:szCs w:val="21"/>
          <w:lang w:val="en-US"/>
        </w:rPr>
        <w:t xml:space="preserve">The ASL5000 simulator is a computerized mechanical lung simulator consisting of a piston moving inside a cylinder. The lung model uses the equation of motion to control the movement of the piston. </w:t>
      </w:r>
      <w:proofErr w:type="gramStart"/>
      <w:r w:rsidR="006F5F54" w:rsidRPr="002772F8">
        <w:rPr>
          <w:rFonts w:ascii="Arial" w:hAnsi="Arial" w:cs="Calibri"/>
          <w:szCs w:val="21"/>
          <w:lang w:val="en-US"/>
        </w:rPr>
        <w:t xml:space="preserve">Flow and airway pressure </w:t>
      </w:r>
      <w:r w:rsidR="00A42312">
        <w:rPr>
          <w:rFonts w:ascii="Arial" w:hAnsi="Arial" w:cs="Calibri"/>
          <w:szCs w:val="21"/>
          <w:lang w:val="en-US"/>
        </w:rPr>
        <w:t>we</w:t>
      </w:r>
      <w:r w:rsidR="006F5F54" w:rsidRPr="002772F8">
        <w:rPr>
          <w:rFonts w:ascii="Arial" w:hAnsi="Arial" w:cs="Calibri"/>
          <w:szCs w:val="21"/>
          <w:lang w:val="en-US"/>
        </w:rPr>
        <w:t xml:space="preserve">re measured by </w:t>
      </w:r>
      <w:proofErr w:type="spellStart"/>
      <w:r w:rsidR="006F5F54" w:rsidRPr="002772F8">
        <w:rPr>
          <w:rFonts w:ascii="Arial" w:hAnsi="Arial" w:cs="Calibri"/>
          <w:szCs w:val="21"/>
          <w:lang w:val="en-US"/>
        </w:rPr>
        <w:t>ﬂow</w:t>
      </w:r>
      <w:proofErr w:type="spellEnd"/>
      <w:r w:rsidR="006F5F54" w:rsidRPr="002772F8">
        <w:rPr>
          <w:rFonts w:ascii="Arial" w:hAnsi="Arial" w:cs="Calibri"/>
          <w:szCs w:val="21"/>
          <w:lang w:val="en-US"/>
        </w:rPr>
        <w:t xml:space="preserve"> and pressure sensors at the entrance of the piston</w:t>
      </w:r>
      <w:proofErr w:type="gramEnd"/>
      <w:r w:rsidR="006F5F54" w:rsidRPr="002772F8">
        <w:rPr>
          <w:rFonts w:ascii="Arial" w:hAnsi="Arial" w:cs="Calibri"/>
          <w:szCs w:val="21"/>
          <w:lang w:val="en-US"/>
        </w:rPr>
        <w:t xml:space="preserve">, and volume </w:t>
      </w:r>
      <w:r w:rsidR="006D56F4">
        <w:rPr>
          <w:rFonts w:ascii="Arial" w:hAnsi="Arial" w:cs="Calibri"/>
          <w:szCs w:val="21"/>
          <w:lang w:val="en-US"/>
        </w:rPr>
        <w:t>wa</w:t>
      </w:r>
      <w:r w:rsidR="006F5F54" w:rsidRPr="002772F8">
        <w:rPr>
          <w:rFonts w:ascii="Arial" w:hAnsi="Arial" w:cs="Calibri"/>
          <w:szCs w:val="21"/>
          <w:lang w:val="en-US"/>
        </w:rPr>
        <w:t xml:space="preserve">s obtained by </w:t>
      </w:r>
      <w:r w:rsidR="006D56F4">
        <w:rPr>
          <w:rFonts w:ascii="Arial" w:hAnsi="Arial" w:cs="Calibri"/>
          <w:szCs w:val="21"/>
          <w:lang w:val="en-US"/>
        </w:rPr>
        <w:t xml:space="preserve">flow </w:t>
      </w:r>
      <w:r w:rsidR="006F5F54" w:rsidRPr="002772F8">
        <w:rPr>
          <w:rFonts w:ascii="Arial" w:hAnsi="Arial" w:cs="Calibri"/>
          <w:szCs w:val="21"/>
          <w:lang w:val="en-US"/>
        </w:rPr>
        <w:t>integration over time. The user sets compliance, resistance</w:t>
      </w:r>
      <w:r w:rsidR="003445CB">
        <w:rPr>
          <w:rFonts w:ascii="Arial" w:hAnsi="Arial" w:cs="Calibri"/>
          <w:szCs w:val="21"/>
          <w:lang w:val="en-US"/>
        </w:rPr>
        <w:t xml:space="preserve">, and the </w:t>
      </w:r>
      <w:proofErr w:type="spellStart"/>
      <w:r w:rsidR="003445CB">
        <w:rPr>
          <w:rFonts w:ascii="Arial" w:hAnsi="Arial" w:cs="Calibri"/>
          <w:szCs w:val="21"/>
          <w:lang w:val="en-US"/>
        </w:rPr>
        <w:t>Pmus</w:t>
      </w:r>
      <w:proofErr w:type="spellEnd"/>
      <w:r w:rsidR="003445CB">
        <w:rPr>
          <w:rFonts w:ascii="Arial" w:hAnsi="Arial" w:cs="Calibri"/>
          <w:szCs w:val="21"/>
          <w:lang w:val="en-US"/>
        </w:rPr>
        <w:t xml:space="preserve"> waveform. </w:t>
      </w:r>
      <w:r w:rsidR="008C7141" w:rsidRPr="002772F8">
        <w:rPr>
          <w:rFonts w:ascii="Arial" w:eastAsia="Times New Roman" w:hAnsi="Arial" w:cs="Arial"/>
          <w:szCs w:val="24"/>
          <w:lang w:val="en-US" w:eastAsia="fr-FR"/>
        </w:rPr>
        <w:t>Test-lung temperature was set at the beginning of the experiments, but measurements were performed only after temperature stabilization.</w:t>
      </w:r>
      <w:r w:rsidR="006F5F54" w:rsidRPr="002772F8">
        <w:rPr>
          <w:rFonts w:ascii="Arial" w:eastAsia="Times New Roman" w:hAnsi="Arial" w:cs="Arial"/>
          <w:szCs w:val="24"/>
          <w:lang w:val="en-US" w:eastAsia="fr-FR"/>
        </w:rPr>
        <w:t xml:space="preserve"> </w:t>
      </w:r>
    </w:p>
    <w:p w:rsidR="006F5F54" w:rsidRPr="002772F8" w:rsidRDefault="006F5F54" w:rsidP="006F5F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Calibri"/>
          <w:szCs w:val="21"/>
          <w:lang w:val="en-US"/>
        </w:rPr>
      </w:pPr>
      <w:r w:rsidRPr="002772F8">
        <w:rPr>
          <w:rFonts w:ascii="Arial" w:hAnsi="Arial" w:cs="Calibri"/>
          <w:szCs w:val="20"/>
          <w:lang w:val="en-US"/>
        </w:rPr>
        <w:t>Ventilators were allowed to stabilize in each test condition for 3 to 5 min, after which at least two minutes of ventilation with stable signals were recorded. Data acquisition was performed at 512 Hz and stored in a desktop computer. Offline m</w:t>
      </w:r>
      <w:r w:rsidRPr="002772F8">
        <w:rPr>
          <w:rFonts w:ascii="Arial" w:hAnsi="Arial" w:cs="Calibri"/>
          <w:szCs w:val="21"/>
          <w:lang w:val="en-US"/>
        </w:rPr>
        <w:t xml:space="preserve">easurements and curves analysis were performed on a breath-by-breath basis using </w:t>
      </w:r>
      <w:proofErr w:type="spellStart"/>
      <w:r w:rsidRPr="002772F8">
        <w:rPr>
          <w:rFonts w:ascii="Arial" w:hAnsi="Arial" w:cs="Calibri"/>
          <w:szCs w:val="21"/>
          <w:lang w:val="en-US"/>
        </w:rPr>
        <w:t>LabVIEW</w:t>
      </w:r>
      <w:proofErr w:type="spellEnd"/>
      <w:r w:rsidRPr="002772F8">
        <w:rPr>
          <w:rFonts w:ascii="Arial" w:hAnsi="Arial" w:cs="Calibri"/>
          <w:szCs w:val="21"/>
          <w:lang w:val="en-US"/>
        </w:rPr>
        <w:t xml:space="preserve"> (National Instruments, Austin, TX, USA) and the dedicated ASL 5000 acquisition software (v3.5). </w:t>
      </w:r>
    </w:p>
    <w:p w:rsidR="005A433D" w:rsidRPr="00596413" w:rsidRDefault="00EE5251" w:rsidP="00A875D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I-1 </w:t>
      </w:r>
      <w:r w:rsidR="005A433D" w:rsidRPr="005A433D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>Volume delivery and pressurization accuracy</w:t>
      </w:r>
      <w:r w:rsidR="00596413">
        <w:rPr>
          <w:rFonts w:ascii="Arial" w:eastAsia="Times New Roman" w:hAnsi="Arial" w:cs="Arial"/>
          <w:b/>
          <w:bCs/>
          <w:sz w:val="24"/>
          <w:szCs w:val="24"/>
          <w:lang w:val="en-US" w:eastAsia="fr-FR"/>
        </w:rPr>
        <w:t xml:space="preserve"> </w:t>
      </w:r>
      <w:r w:rsidR="00596413" w:rsidRPr="00596413">
        <w:rPr>
          <w:rFonts w:ascii="Arial" w:eastAsia="Times New Roman" w:hAnsi="Arial" w:cs="Arial"/>
          <w:bCs/>
          <w:sz w:val="24"/>
          <w:szCs w:val="24"/>
          <w:lang w:val="en-US" w:eastAsia="fr-FR"/>
        </w:rPr>
        <w:t>(see Figure 2)</w:t>
      </w:r>
    </w:p>
    <w:p w:rsidR="00AF652A" w:rsidRPr="002772F8" w:rsidRDefault="00AF652A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>All measurements were performed under the three respiratory mechanics</w:t>
      </w:r>
      <w:r w:rsidR="008E3266" w:rsidRPr="002772F8">
        <w:rPr>
          <w:rFonts w:ascii="Arial" w:eastAsia="Times New Roman" w:hAnsi="Arial" w:cs="Arial"/>
          <w:szCs w:val="24"/>
          <w:lang w:val="en-US" w:eastAsia="fr-FR"/>
        </w:rPr>
        <w:t xml:space="preserve"> (normal, obstructive, restrictive),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and the two FIO</w:t>
      </w:r>
      <w:r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conditions</w:t>
      </w:r>
      <w:r w:rsidR="008E3266" w:rsidRPr="002772F8">
        <w:rPr>
          <w:rFonts w:ascii="Arial" w:eastAsia="Times New Roman" w:hAnsi="Arial" w:cs="Arial"/>
          <w:szCs w:val="24"/>
          <w:lang w:val="en-US" w:eastAsia="fr-FR"/>
        </w:rPr>
        <w:t xml:space="preserve"> (50 and 100%)</w:t>
      </w:r>
      <w:r w:rsidRPr="002772F8">
        <w:rPr>
          <w:rFonts w:ascii="Arial" w:eastAsia="Times New Roman" w:hAnsi="Arial" w:cs="Arial"/>
          <w:szCs w:val="24"/>
          <w:lang w:val="en-US" w:eastAsia="fr-FR"/>
        </w:rPr>
        <w:t>.</w:t>
      </w:r>
    </w:p>
    <w:p w:rsidR="00AF652A" w:rsidRPr="002772F8" w:rsidRDefault="00F373AA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>Volume-controlled-Continuous Mandatory Ventilation</w:t>
      </w:r>
      <w:r w:rsidR="005A433D" w:rsidRPr="002772F8">
        <w:rPr>
          <w:rFonts w:ascii="Arial" w:eastAsia="Times New Roman" w:hAnsi="Arial" w:cs="Arial"/>
          <w:szCs w:val="24"/>
          <w:lang w:val="en-US" w:eastAsia="fr-FR"/>
        </w:rPr>
        <w:t xml:space="preserve"> reliability was evaluated at VT = 500 </w:t>
      </w:r>
      <w:proofErr w:type="spellStart"/>
      <w:r w:rsidR="005A433D" w:rsidRPr="002772F8">
        <w:rPr>
          <w:rFonts w:ascii="Arial" w:eastAsia="Times New Roman" w:hAnsi="Arial" w:cs="Arial"/>
          <w:szCs w:val="24"/>
          <w:lang w:val="en-US" w:eastAsia="fr-FR"/>
        </w:rPr>
        <w:t>mL</w:t>
      </w:r>
      <w:proofErr w:type="spellEnd"/>
      <w:r w:rsidR="005A433D" w:rsidRPr="002772F8">
        <w:rPr>
          <w:rFonts w:ascii="Arial" w:eastAsia="Times New Roman" w:hAnsi="Arial" w:cs="Arial"/>
          <w:szCs w:val="24"/>
          <w:lang w:val="en-US" w:eastAsia="fr-FR"/>
        </w:rPr>
        <w:t>, RR = 12 b/min, PEEP = 5 and 10 cm H</w:t>
      </w:r>
      <w:r w:rsidR="005A433D"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="005A433D" w:rsidRPr="002772F8">
        <w:rPr>
          <w:rFonts w:ascii="Arial" w:eastAsia="Times New Roman" w:hAnsi="Arial" w:cs="Arial"/>
          <w:szCs w:val="24"/>
          <w:lang w:val="en-US" w:eastAsia="fr-FR"/>
        </w:rPr>
        <w:t xml:space="preserve">O, without </w:t>
      </w:r>
      <w:r w:rsidR="008E3266" w:rsidRPr="002772F8">
        <w:rPr>
          <w:rFonts w:ascii="Arial" w:eastAsia="Times New Roman" w:hAnsi="Arial" w:cs="Arial"/>
          <w:szCs w:val="24"/>
          <w:lang w:val="en-US" w:eastAsia="fr-FR"/>
        </w:rPr>
        <w:t xml:space="preserve">any </w:t>
      </w:r>
      <w:proofErr w:type="spellStart"/>
      <w:r w:rsidR="005A433D" w:rsidRPr="002772F8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="005A433D" w:rsidRPr="002772F8">
        <w:rPr>
          <w:rFonts w:ascii="Arial" w:eastAsia="Times New Roman" w:hAnsi="Arial" w:cs="Arial"/>
          <w:szCs w:val="24"/>
          <w:lang w:val="en-US" w:eastAsia="fr-FR"/>
        </w:rPr>
        <w:t xml:space="preserve"> effort. </w:t>
      </w:r>
    </w:p>
    <w:p w:rsidR="006C0B6D" w:rsidRPr="002772F8" w:rsidRDefault="005A433D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>Pressurization accuracy assessed PEEP (PEEP = 10 cm</w:t>
      </w:r>
      <w:r w:rsidR="00AF652A" w:rsidRPr="002772F8">
        <w:rPr>
          <w:rFonts w:ascii="Arial" w:eastAsia="Times New Roman" w:hAnsi="Arial" w:cs="Arial"/>
          <w:szCs w:val="24"/>
          <w:lang w:val="en-US" w:eastAsia="fr-FR"/>
        </w:rPr>
        <w:t xml:space="preserve"> </w:t>
      </w:r>
      <w:r w:rsidRPr="002772F8">
        <w:rPr>
          <w:rFonts w:ascii="Arial" w:eastAsia="Times New Roman" w:hAnsi="Arial" w:cs="Arial"/>
          <w:szCs w:val="24"/>
          <w:lang w:val="en-US" w:eastAsia="fr-FR"/>
        </w:rPr>
        <w:t>H</w:t>
      </w:r>
      <w:r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O) and </w:t>
      </w:r>
      <w:proofErr w:type="spellStart"/>
      <w:r w:rsidRPr="002772F8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pressure (pressure support (PS) = 10 cm H</w:t>
      </w:r>
      <w:r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O) </w:t>
      </w:r>
      <w:r w:rsidR="006C0B6D" w:rsidRPr="002772F8">
        <w:rPr>
          <w:rFonts w:ascii="Arial" w:eastAsia="Times New Roman" w:hAnsi="Arial" w:cs="Arial"/>
          <w:szCs w:val="24"/>
          <w:lang w:val="en-US" w:eastAsia="fr-FR"/>
        </w:rPr>
        <w:t xml:space="preserve">stability </w:t>
      </w:r>
      <w:r w:rsidRPr="002772F8">
        <w:rPr>
          <w:rFonts w:ascii="Arial" w:eastAsia="Times New Roman" w:hAnsi="Arial" w:cs="Arial"/>
          <w:szCs w:val="24"/>
          <w:lang w:val="en-US" w:eastAsia="fr-FR"/>
        </w:rPr>
        <w:t>in the pressure support mode (</w:t>
      </w:r>
      <w:r w:rsidR="00F373AA" w:rsidRPr="002772F8">
        <w:rPr>
          <w:rFonts w:ascii="Arial" w:eastAsia="Times New Roman" w:hAnsi="Arial" w:cs="Arial"/>
          <w:szCs w:val="24"/>
          <w:lang w:val="en-US" w:eastAsia="fr-FR"/>
        </w:rPr>
        <w:t>PC-CSV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). </w:t>
      </w:r>
      <w:r w:rsidR="006C0B6D" w:rsidRPr="002772F8">
        <w:rPr>
          <w:rFonts w:ascii="Arial" w:eastAsia="Times New Roman" w:hAnsi="Arial" w:cs="Arial"/>
          <w:szCs w:val="24"/>
          <w:lang w:val="en-US" w:eastAsia="fr-FR"/>
        </w:rPr>
        <w:t>T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he intensity of effort was quantified by the pressure decrease at 0.1 s, and </w:t>
      </w:r>
      <w:r w:rsidR="006C0B6D" w:rsidRPr="002772F8">
        <w:rPr>
          <w:rFonts w:ascii="Arial" w:eastAsia="Times New Roman" w:hAnsi="Arial" w:cs="Arial"/>
          <w:szCs w:val="24"/>
          <w:lang w:val="en-US" w:eastAsia="fr-FR"/>
        </w:rPr>
        <w:t>three levels of efforts were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chosen</w:t>
      </w:r>
      <w:r w:rsidR="006C0B6D" w:rsidRPr="002772F8">
        <w:rPr>
          <w:rFonts w:ascii="Arial" w:eastAsia="Times New Roman" w:hAnsi="Arial" w:cs="Arial"/>
          <w:szCs w:val="24"/>
          <w:lang w:val="en-US" w:eastAsia="fr-FR"/>
        </w:rPr>
        <w:t>, as already expressed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(P0.1 = 2</w:t>
      </w:r>
      <w:r w:rsidR="006C0B6D" w:rsidRPr="002772F8">
        <w:rPr>
          <w:rFonts w:ascii="Arial" w:eastAsia="Times New Roman" w:hAnsi="Arial" w:cs="Arial"/>
          <w:szCs w:val="24"/>
          <w:lang w:val="en-US" w:eastAsia="fr-FR"/>
        </w:rPr>
        <w:t>, 4 and 8</w:t>
      </w:r>
      <w:r w:rsidRPr="002772F8">
        <w:rPr>
          <w:rFonts w:ascii="Arial" w:eastAsia="Times New Roman" w:hAnsi="Arial" w:cs="Arial"/>
          <w:szCs w:val="24"/>
          <w:lang w:val="en-US" w:eastAsia="fr-FR"/>
        </w:rPr>
        <w:t> cm H</w:t>
      </w:r>
      <w:r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O). </w:t>
      </w:r>
      <w:r w:rsidR="00C8144C">
        <w:rPr>
          <w:rFonts w:ascii="Arial" w:eastAsia="Times New Roman" w:hAnsi="Arial" w:cs="Arial"/>
          <w:szCs w:val="24"/>
          <w:lang w:val="en-US" w:eastAsia="fr-FR"/>
        </w:rPr>
        <w:t xml:space="preserve">A </w:t>
      </w:r>
      <w:proofErr w:type="spellStart"/>
      <w:r w:rsidR="00C8144C">
        <w:rPr>
          <w:rFonts w:ascii="Arial" w:eastAsia="Times New Roman" w:hAnsi="Arial" w:cs="Arial"/>
          <w:szCs w:val="24"/>
          <w:lang w:val="en-US" w:eastAsia="fr-FR"/>
        </w:rPr>
        <w:t>sinusoïdal</w:t>
      </w:r>
      <w:proofErr w:type="spellEnd"/>
      <w:r w:rsidR="00AA00C2">
        <w:rPr>
          <w:rFonts w:ascii="Arial" w:eastAsia="Times New Roman" w:hAnsi="Arial" w:cs="Arial"/>
          <w:szCs w:val="24"/>
          <w:lang w:val="en-US" w:eastAsia="fr-FR"/>
        </w:rPr>
        <w:t xml:space="preserve"> </w:t>
      </w:r>
      <w:proofErr w:type="spellStart"/>
      <w:r w:rsidR="00AA00C2">
        <w:rPr>
          <w:rFonts w:ascii="Arial" w:eastAsia="Times New Roman" w:hAnsi="Arial" w:cs="Arial"/>
          <w:szCs w:val="24"/>
          <w:lang w:val="en-US" w:eastAsia="fr-FR"/>
        </w:rPr>
        <w:t>Pmus</w:t>
      </w:r>
      <w:proofErr w:type="spellEnd"/>
      <w:r w:rsidR="00AA00C2">
        <w:rPr>
          <w:rFonts w:ascii="Arial" w:eastAsia="Times New Roman" w:hAnsi="Arial" w:cs="Arial"/>
          <w:szCs w:val="24"/>
          <w:lang w:val="en-US" w:eastAsia="fr-FR"/>
        </w:rPr>
        <w:t xml:space="preserve"> waveform was used </w:t>
      </w:r>
      <w:r w:rsidR="00544553">
        <w:rPr>
          <w:rFonts w:ascii="Arial" w:eastAsia="Times New Roman" w:hAnsi="Arial" w:cs="Arial"/>
          <w:szCs w:val="24"/>
          <w:lang w:val="en-US" w:eastAsia="fr-FR"/>
        </w:rPr>
        <w:t xml:space="preserve">(Rise time 10%; </w:t>
      </w:r>
      <w:proofErr w:type="spellStart"/>
      <w:r w:rsidR="00544553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="00544553">
        <w:rPr>
          <w:rFonts w:ascii="Arial" w:eastAsia="Times New Roman" w:hAnsi="Arial" w:cs="Arial"/>
          <w:szCs w:val="24"/>
          <w:lang w:val="en-US" w:eastAsia="fr-FR"/>
        </w:rPr>
        <w:t xml:space="preserve"> Hold 10%; Release time 10%)</w:t>
      </w:r>
      <w:r w:rsidR="000D4A36">
        <w:rPr>
          <w:rFonts w:ascii="Arial" w:eastAsia="Times New Roman" w:hAnsi="Arial" w:cs="Arial"/>
          <w:szCs w:val="24"/>
          <w:lang w:val="en-US" w:eastAsia="fr-FR"/>
        </w:rPr>
        <w:t xml:space="preserve">. </w:t>
      </w:r>
      <w:r w:rsidR="00AA00C2">
        <w:rPr>
          <w:rFonts w:ascii="Arial" w:eastAsia="Times New Roman" w:hAnsi="Arial" w:cs="Arial"/>
          <w:szCs w:val="24"/>
          <w:lang w:val="en-US" w:eastAsia="fr-FR"/>
        </w:rPr>
        <w:t xml:space="preserve">P0.1 was measured using the ASL 5000 sensors. </w:t>
      </w:r>
      <w:proofErr w:type="spellStart"/>
      <w:r w:rsidR="003E161A" w:rsidRPr="002772F8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="003E161A" w:rsidRPr="002772F8">
        <w:rPr>
          <w:rFonts w:ascii="Arial" w:eastAsia="Times New Roman" w:hAnsi="Arial" w:cs="Arial"/>
          <w:szCs w:val="24"/>
          <w:lang w:val="en-US" w:eastAsia="fr-FR"/>
        </w:rPr>
        <w:t xml:space="preserve"> triggering was always set to 2 L/min.</w:t>
      </w:r>
    </w:p>
    <w:p w:rsidR="005A433D" w:rsidRPr="002772F8" w:rsidRDefault="005A433D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A 10% </w:t>
      </w:r>
      <w:r w:rsidR="00135A31" w:rsidRPr="002772F8">
        <w:rPr>
          <w:rFonts w:ascii="Arial" w:eastAsia="Times New Roman" w:hAnsi="Arial" w:cs="Arial"/>
          <w:szCs w:val="24"/>
          <w:lang w:val="en-US" w:eastAsia="fr-FR"/>
        </w:rPr>
        <w:t>error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value for all these parameters was </w:t>
      </w:r>
      <w:r w:rsidRPr="002772F8">
        <w:rPr>
          <w:rFonts w:ascii="Arial" w:eastAsia="Times New Roman" w:hAnsi="Arial" w:cs="Arial"/>
          <w:i/>
          <w:szCs w:val="24"/>
          <w:lang w:val="en-US" w:eastAsia="fr-FR"/>
        </w:rPr>
        <w:t>a priori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considered clinically relevant for reliability.</w:t>
      </w:r>
    </w:p>
    <w:p w:rsidR="00AF652A" w:rsidRPr="002772F8" w:rsidRDefault="00AF652A" w:rsidP="00A875D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Cs w:val="24"/>
          <w:lang w:val="en-US" w:eastAsia="fr-FR"/>
        </w:rPr>
      </w:pPr>
    </w:p>
    <w:p w:rsidR="005A433D" w:rsidRPr="002772F8" w:rsidRDefault="00EE5251" w:rsidP="00A875D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Cs/>
          <w:szCs w:val="24"/>
          <w:lang w:val="en-US" w:eastAsia="fr-FR"/>
        </w:rPr>
      </w:pPr>
      <w:r w:rsidRPr="002772F8">
        <w:rPr>
          <w:rFonts w:ascii="Arial" w:eastAsia="Times New Roman" w:hAnsi="Arial" w:cs="Arial"/>
          <w:b/>
          <w:bCs/>
          <w:szCs w:val="24"/>
          <w:lang w:val="en-US" w:eastAsia="fr-FR"/>
        </w:rPr>
        <w:t xml:space="preserve">I-2 </w:t>
      </w:r>
      <w:r w:rsidR="005A433D" w:rsidRPr="002772F8">
        <w:rPr>
          <w:rFonts w:ascii="Arial" w:eastAsia="Times New Roman" w:hAnsi="Arial" w:cs="Arial"/>
          <w:b/>
          <w:bCs/>
          <w:szCs w:val="24"/>
          <w:lang w:val="en-US" w:eastAsia="fr-FR"/>
        </w:rPr>
        <w:t>Triggering evaluation</w:t>
      </w:r>
      <w:r w:rsidR="00135A31" w:rsidRPr="002772F8">
        <w:rPr>
          <w:rFonts w:ascii="Arial" w:eastAsia="Times New Roman" w:hAnsi="Arial" w:cs="Arial"/>
          <w:b/>
          <w:bCs/>
          <w:szCs w:val="24"/>
          <w:lang w:val="en-US" w:eastAsia="fr-FR"/>
        </w:rPr>
        <w:t xml:space="preserve"> </w:t>
      </w:r>
      <w:r w:rsidR="00135A31" w:rsidRPr="002772F8">
        <w:rPr>
          <w:rFonts w:ascii="Arial" w:eastAsia="Times New Roman" w:hAnsi="Arial" w:cs="Arial"/>
          <w:bCs/>
          <w:szCs w:val="24"/>
          <w:lang w:val="en-US" w:eastAsia="fr-FR"/>
        </w:rPr>
        <w:t xml:space="preserve">(see </w:t>
      </w:r>
      <w:r w:rsidR="004E5C32">
        <w:rPr>
          <w:rFonts w:ascii="Arial" w:eastAsia="Times New Roman" w:hAnsi="Arial" w:cs="Arial"/>
          <w:bCs/>
          <w:szCs w:val="24"/>
          <w:lang w:val="en-US" w:eastAsia="fr-FR"/>
        </w:rPr>
        <w:t>Figure 3</w:t>
      </w:r>
      <w:r w:rsidR="00135A31" w:rsidRPr="002772F8">
        <w:rPr>
          <w:rFonts w:ascii="Arial" w:eastAsia="Times New Roman" w:hAnsi="Arial" w:cs="Arial"/>
          <w:bCs/>
          <w:szCs w:val="24"/>
          <w:lang w:val="en-US" w:eastAsia="fr-FR"/>
        </w:rPr>
        <w:t>)</w:t>
      </w:r>
    </w:p>
    <w:p w:rsidR="006F5F54" w:rsidRPr="002772F8" w:rsidRDefault="005A433D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>Experimental conditions reproduced those previously reported</w:t>
      </w:r>
      <w:r w:rsidR="006F5F54" w:rsidRPr="002772F8">
        <w:rPr>
          <w:rFonts w:ascii="Arial" w:eastAsia="Times New Roman" w:hAnsi="Arial" w:cs="Arial"/>
          <w:szCs w:val="24"/>
          <w:lang w:val="en-US" w:eastAsia="fr-FR"/>
        </w:rPr>
        <w:t xml:space="preserve"> </w:t>
      </w:r>
      <w:r w:rsidR="006F5F54" w:rsidRPr="002772F8">
        <w:rPr>
          <w:rFonts w:ascii="Arial" w:hAnsi="Arial" w:cs="Calibri"/>
          <w:szCs w:val="21"/>
          <w:lang w:val="en-US"/>
        </w:rPr>
        <w:t xml:space="preserve">and the tested devices were in the same configuration as for </w:t>
      </w:r>
      <w:r w:rsidR="00F373AA" w:rsidRPr="002772F8">
        <w:rPr>
          <w:rFonts w:ascii="Arial" w:hAnsi="Arial" w:cs="Calibri"/>
          <w:szCs w:val="21"/>
          <w:lang w:val="en-US"/>
        </w:rPr>
        <w:t>PC-CSV</w:t>
      </w:r>
      <w:r w:rsidR="006F5F54" w:rsidRPr="002772F8">
        <w:rPr>
          <w:rFonts w:ascii="Arial" w:hAnsi="Arial" w:cs="Calibri"/>
          <w:szCs w:val="21"/>
          <w:lang w:val="en-US"/>
        </w:rPr>
        <w:t xml:space="preserve"> evaluation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</w:t>
      </w:r>
      <w:r w:rsidR="001D4F1B" w:rsidRPr="002772F8">
        <w:rPr>
          <w:rFonts w:ascii="Arial" w:eastAsia="Times New Roman" w:hAnsi="Arial" w:cs="Arial"/>
          <w:szCs w:val="24"/>
          <w:lang w:val="en-US" w:eastAsia="fr-FR"/>
        </w:rPr>
        <w:t>(PS = 10 cm H</w:t>
      </w:r>
      <w:r w:rsidR="001D4F1B"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="001D4F1B" w:rsidRPr="002772F8">
        <w:rPr>
          <w:rFonts w:ascii="Arial" w:eastAsia="Times New Roman" w:hAnsi="Arial" w:cs="Arial"/>
          <w:szCs w:val="24"/>
          <w:lang w:val="en-US" w:eastAsia="fr-FR"/>
        </w:rPr>
        <w:t>O</w:t>
      </w:r>
      <w:r w:rsidRPr="002772F8">
        <w:rPr>
          <w:rFonts w:ascii="Arial" w:eastAsia="Times New Roman" w:hAnsi="Arial" w:cs="Arial"/>
          <w:szCs w:val="24"/>
          <w:lang w:val="en-US" w:eastAsia="fr-FR"/>
        </w:rPr>
        <w:t>,</w:t>
      </w:r>
      <w:r w:rsidR="001D4F1B" w:rsidRPr="002772F8">
        <w:rPr>
          <w:rFonts w:ascii="Arial" w:eastAsia="Times New Roman" w:hAnsi="Arial" w:cs="Arial"/>
          <w:szCs w:val="24"/>
          <w:lang w:val="en-US" w:eastAsia="fr-FR"/>
        </w:rPr>
        <w:t xml:space="preserve"> PEEP = 10 cm H</w:t>
      </w:r>
      <w:r w:rsidR="001D4F1B"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="001D4F1B" w:rsidRPr="002772F8">
        <w:rPr>
          <w:rFonts w:ascii="Arial" w:eastAsia="Times New Roman" w:hAnsi="Arial" w:cs="Arial"/>
          <w:szCs w:val="24"/>
          <w:lang w:val="en-US" w:eastAsia="fr-FR"/>
        </w:rPr>
        <w:t>O)</w:t>
      </w:r>
      <w:r w:rsidR="006F5F54" w:rsidRPr="002772F8">
        <w:rPr>
          <w:rFonts w:ascii="Arial" w:eastAsia="Times New Roman" w:hAnsi="Arial" w:cs="Arial"/>
          <w:szCs w:val="24"/>
          <w:lang w:val="en-US" w:eastAsia="fr-FR"/>
        </w:rPr>
        <w:t>. Simulated patient’s e</w:t>
      </w:r>
      <w:r w:rsidRPr="002772F8">
        <w:rPr>
          <w:rFonts w:ascii="Arial" w:eastAsia="Times New Roman" w:hAnsi="Arial" w:cs="Arial"/>
          <w:szCs w:val="24"/>
          <w:lang w:val="en-US" w:eastAsia="fr-FR"/>
        </w:rPr>
        <w:t>ffort intensity was set at P0.1 = 2 cm H</w:t>
      </w:r>
      <w:r w:rsidRPr="002772F8">
        <w:rPr>
          <w:rFonts w:ascii="Arial" w:eastAsia="Times New Roman" w:hAnsi="Arial" w:cs="Arial"/>
          <w:szCs w:val="24"/>
          <w:vertAlign w:val="subscript"/>
          <w:lang w:val="en-US" w:eastAsia="fr-FR"/>
        </w:rPr>
        <w:t>2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O. </w:t>
      </w:r>
      <w:proofErr w:type="spellStart"/>
      <w:r w:rsidR="00696D89" w:rsidRPr="002772F8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="00696D89" w:rsidRPr="002772F8">
        <w:rPr>
          <w:rFonts w:ascii="Arial" w:eastAsia="Times New Roman" w:hAnsi="Arial" w:cs="Arial"/>
          <w:szCs w:val="24"/>
          <w:lang w:val="en-US" w:eastAsia="fr-FR"/>
        </w:rPr>
        <w:t xml:space="preserve"> triggering was always set to </w:t>
      </w:r>
      <w:r w:rsidR="006F5F54" w:rsidRPr="002772F8">
        <w:rPr>
          <w:rFonts w:ascii="Arial" w:eastAsia="Times New Roman" w:hAnsi="Arial" w:cs="Arial"/>
          <w:szCs w:val="24"/>
          <w:lang w:val="en-US" w:eastAsia="fr-FR"/>
        </w:rPr>
        <w:t xml:space="preserve">flow triggering, at a </w:t>
      </w:r>
      <w:r w:rsidR="00696D89" w:rsidRPr="002772F8">
        <w:rPr>
          <w:rFonts w:ascii="Arial" w:eastAsia="Times New Roman" w:hAnsi="Arial" w:cs="Arial"/>
          <w:szCs w:val="24"/>
          <w:lang w:val="en-US" w:eastAsia="fr-FR"/>
        </w:rPr>
        <w:t>2 L/min</w:t>
      </w:r>
      <w:r w:rsidR="006F5F54" w:rsidRPr="002772F8">
        <w:rPr>
          <w:rFonts w:ascii="Arial" w:eastAsia="Times New Roman" w:hAnsi="Arial" w:cs="Arial"/>
          <w:szCs w:val="24"/>
          <w:lang w:val="en-US" w:eastAsia="fr-FR"/>
        </w:rPr>
        <w:t xml:space="preserve"> value</w:t>
      </w:r>
      <w:r w:rsidR="00696D89" w:rsidRPr="002772F8">
        <w:rPr>
          <w:rFonts w:ascii="Arial" w:eastAsia="Times New Roman" w:hAnsi="Arial" w:cs="Arial"/>
          <w:szCs w:val="24"/>
          <w:lang w:val="en-US" w:eastAsia="fr-FR"/>
        </w:rPr>
        <w:t>.</w:t>
      </w:r>
    </w:p>
    <w:p w:rsidR="005A433D" w:rsidRPr="00440D21" w:rsidRDefault="005A433D" w:rsidP="00440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>Triggering performance was assessed according to the following criteria: 1) triggering delay (DT) between onset of the airway pressure decay</w:t>
      </w:r>
      <w:r w:rsidR="00440D21">
        <w:rPr>
          <w:rFonts w:ascii="Arial" w:eastAsia="Times New Roman" w:hAnsi="Arial" w:cs="Arial"/>
          <w:szCs w:val="24"/>
          <w:lang w:val="en-US" w:eastAsia="fr-FR"/>
        </w:rPr>
        <w:t xml:space="preserve"> (beginning of the patient’s effort)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and flow delivery</w:t>
      </w:r>
      <w:r w:rsidR="00440D21">
        <w:rPr>
          <w:rFonts w:ascii="Arial" w:eastAsia="Times New Roman" w:hAnsi="Arial" w:cs="Arial"/>
          <w:szCs w:val="24"/>
          <w:lang w:val="en-US" w:eastAsia="fr-FR"/>
        </w:rPr>
        <w:t xml:space="preserve"> (beginning of ventilator pressurization)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; 2) </w:t>
      </w:r>
      <w:r w:rsidR="00440D21">
        <w:rPr>
          <w:rFonts w:ascii="Arial" w:eastAsia="Times New Roman" w:hAnsi="Arial" w:cs="Arial"/>
          <w:szCs w:val="24"/>
          <w:lang w:val="en-US" w:eastAsia="fr-FR"/>
        </w:rPr>
        <w:t>o</w:t>
      </w:r>
      <w:r w:rsidR="00440D21" w:rsidRPr="002772F8">
        <w:rPr>
          <w:rFonts w:ascii="Arial" w:eastAsia="Times New Roman" w:hAnsi="Arial" w:cs="Arial"/>
          <w:szCs w:val="24"/>
          <w:lang w:val="en-US" w:eastAsia="fr-FR"/>
        </w:rPr>
        <w:t xml:space="preserve">verall </w:t>
      </w:r>
      <w:proofErr w:type="spellStart"/>
      <w:r w:rsidR="00440D21" w:rsidRPr="002772F8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="00440D21" w:rsidRPr="002772F8">
        <w:rPr>
          <w:rFonts w:ascii="Arial" w:eastAsia="Times New Roman" w:hAnsi="Arial" w:cs="Arial"/>
          <w:szCs w:val="24"/>
          <w:lang w:val="en-US" w:eastAsia="fr-FR"/>
        </w:rPr>
        <w:t xml:space="preserve"> delay (DI)</w:t>
      </w:r>
      <w:r w:rsidR="00440D21">
        <w:rPr>
          <w:rFonts w:ascii="Arial" w:eastAsia="Times New Roman" w:hAnsi="Arial" w:cs="Arial"/>
          <w:szCs w:val="24"/>
          <w:lang w:val="en-US" w:eastAsia="fr-FR"/>
        </w:rPr>
        <w:t>, which</w:t>
      </w:r>
      <w:r w:rsidR="00440D21" w:rsidRPr="002772F8">
        <w:rPr>
          <w:rFonts w:ascii="Arial" w:eastAsia="Times New Roman" w:hAnsi="Arial" w:cs="Arial"/>
          <w:szCs w:val="24"/>
          <w:lang w:val="en-US" w:eastAsia="fr-FR"/>
        </w:rPr>
        <w:t xml:space="preserve"> is composed of two components (DT + DP),</w:t>
      </w:r>
      <w:r w:rsidR="00440D21">
        <w:rPr>
          <w:rFonts w:ascii="Arial" w:eastAsia="Times New Roman" w:hAnsi="Arial" w:cs="Arial"/>
          <w:szCs w:val="24"/>
          <w:lang w:val="en-US" w:eastAsia="fr-FR"/>
        </w:rPr>
        <w:t xml:space="preserve"> DP being the </w:t>
      </w:r>
      <w:r w:rsidR="00440D21" w:rsidRPr="002772F8">
        <w:rPr>
          <w:rFonts w:ascii="Arial" w:eastAsia="Times New Roman" w:hAnsi="Arial" w:cs="Arial"/>
          <w:szCs w:val="24"/>
          <w:lang w:val="en-US" w:eastAsia="fr-FR"/>
        </w:rPr>
        <w:t xml:space="preserve">pressurization delay, which is </w:t>
      </w:r>
      <w:r w:rsidR="00440D21">
        <w:rPr>
          <w:rFonts w:ascii="Arial" w:eastAsia="Times New Roman" w:hAnsi="Arial" w:cs="Arial"/>
          <w:szCs w:val="24"/>
          <w:lang w:val="en-US" w:eastAsia="fr-FR"/>
        </w:rPr>
        <w:t xml:space="preserve">defined as </w:t>
      </w:r>
      <w:r w:rsidR="00440D21" w:rsidRPr="002772F8">
        <w:rPr>
          <w:rFonts w:ascii="Arial" w:eastAsia="Times New Roman" w:hAnsi="Arial" w:cs="Arial"/>
          <w:szCs w:val="24"/>
          <w:lang w:val="en-US" w:eastAsia="fr-FR"/>
        </w:rPr>
        <w:t xml:space="preserve">the time </w:t>
      </w:r>
      <w:r w:rsidR="00440D21">
        <w:rPr>
          <w:rFonts w:ascii="Arial" w:eastAsia="Times New Roman" w:hAnsi="Arial" w:cs="Arial"/>
          <w:szCs w:val="24"/>
          <w:lang w:val="en-US" w:eastAsia="fr-FR"/>
        </w:rPr>
        <w:t>from</w:t>
      </w:r>
      <w:r w:rsidR="00440D21" w:rsidRPr="002772F8">
        <w:rPr>
          <w:rFonts w:ascii="Arial" w:eastAsia="Times New Roman" w:hAnsi="Arial" w:cs="Arial"/>
          <w:szCs w:val="24"/>
          <w:lang w:val="en-US" w:eastAsia="fr-FR"/>
        </w:rPr>
        <w:t xml:space="preserve"> the airway pressure signal </w:t>
      </w:r>
      <w:r w:rsidR="00440D21">
        <w:rPr>
          <w:rFonts w:ascii="Arial" w:eastAsia="Times New Roman" w:hAnsi="Arial" w:cs="Arial"/>
          <w:szCs w:val="24"/>
          <w:lang w:val="en-US" w:eastAsia="fr-FR"/>
        </w:rPr>
        <w:t>rise to a return to positive pressure. DI either depends on triggering function and pressurization quality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. </w:t>
      </w:r>
    </w:p>
    <w:p w:rsidR="005A433D" w:rsidRPr="002772F8" w:rsidRDefault="00EE5251" w:rsidP="00A875D9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Cs w:val="24"/>
          <w:lang w:val="en-US" w:eastAsia="fr-FR"/>
        </w:rPr>
      </w:pPr>
      <w:r w:rsidRPr="002772F8">
        <w:rPr>
          <w:rFonts w:ascii="Arial" w:eastAsia="Times New Roman" w:hAnsi="Arial" w:cs="Arial"/>
          <w:b/>
          <w:bCs/>
          <w:szCs w:val="24"/>
          <w:lang w:val="en-US" w:eastAsia="fr-FR"/>
        </w:rPr>
        <w:t xml:space="preserve">I-3 </w:t>
      </w:r>
      <w:r w:rsidR="005A433D" w:rsidRPr="002772F8">
        <w:rPr>
          <w:rFonts w:ascii="Arial" w:eastAsia="Times New Roman" w:hAnsi="Arial" w:cs="Arial"/>
          <w:b/>
          <w:bCs/>
          <w:szCs w:val="24"/>
          <w:lang w:val="en-US" w:eastAsia="fr-FR"/>
        </w:rPr>
        <w:t>Asynchrony management</w:t>
      </w:r>
    </w:p>
    <w:p w:rsidR="006D008D" w:rsidRPr="002772F8" w:rsidRDefault="005A433D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>PSV was delivered at similar respiratory mechanics and P0.1 values, under three levels of circuit leaks ranging from 3.5 to 4.0 (L1), 5.0 to 7.0 (L2) and 9.0 to 12.5 L/minute (L3)</w:t>
      </w:r>
      <w:r w:rsidR="00796E03" w:rsidRPr="002772F8">
        <w:rPr>
          <w:rFonts w:ascii="Arial" w:eastAsia="Times New Roman" w:hAnsi="Arial" w:cs="Arial"/>
          <w:szCs w:val="24"/>
          <w:lang w:val="en-US" w:eastAsia="fr-FR"/>
        </w:rPr>
        <w:t>, using the ASL 5000 exponential leaks module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. </w:t>
      </w:r>
      <w:r w:rsidR="00CA1F52" w:rsidRPr="002772F8">
        <w:rPr>
          <w:rFonts w:ascii="Arial" w:eastAsia="Times New Roman" w:hAnsi="Arial" w:cs="Arial"/>
          <w:szCs w:val="24"/>
          <w:lang w:val="en-US" w:eastAsia="fr-FR"/>
        </w:rPr>
        <w:t>Two different sets of measurements were performed: 1- using standard PSV settings (invasive mechanical ventilation</w:t>
      </w:r>
      <w:r w:rsidR="00F7335F" w:rsidRPr="002772F8">
        <w:rPr>
          <w:rFonts w:ascii="Arial" w:eastAsia="Times New Roman" w:hAnsi="Arial" w:cs="Arial"/>
          <w:szCs w:val="24"/>
          <w:lang w:val="en-US" w:eastAsia="fr-FR"/>
        </w:rPr>
        <w:t xml:space="preserve">; no modification of the standard settings, either </w:t>
      </w:r>
      <w:proofErr w:type="spellStart"/>
      <w:r w:rsidR="00F7335F" w:rsidRPr="002772F8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="00F7335F" w:rsidRPr="002772F8">
        <w:rPr>
          <w:rFonts w:ascii="Arial" w:eastAsia="Times New Roman" w:hAnsi="Arial" w:cs="Arial"/>
          <w:szCs w:val="24"/>
          <w:lang w:val="en-US" w:eastAsia="fr-FR"/>
        </w:rPr>
        <w:t xml:space="preserve"> and expiratory trigger values</w:t>
      </w:r>
      <w:r w:rsidR="00CA1F52" w:rsidRPr="002772F8">
        <w:rPr>
          <w:rFonts w:ascii="Arial" w:eastAsia="Times New Roman" w:hAnsi="Arial" w:cs="Arial"/>
          <w:szCs w:val="24"/>
          <w:lang w:val="en-US" w:eastAsia="fr-FR"/>
        </w:rPr>
        <w:t>)</w:t>
      </w:r>
      <w:proofErr w:type="gramStart"/>
      <w:r w:rsidR="00CA1F52" w:rsidRPr="002772F8">
        <w:rPr>
          <w:rFonts w:ascii="Arial" w:eastAsia="Times New Roman" w:hAnsi="Arial" w:cs="Arial"/>
          <w:szCs w:val="24"/>
          <w:lang w:val="en-US" w:eastAsia="fr-FR"/>
        </w:rPr>
        <w:t>;</w:t>
      </w:r>
      <w:proofErr w:type="gramEnd"/>
      <w:r w:rsidR="00CA1F52" w:rsidRPr="002772F8">
        <w:rPr>
          <w:rFonts w:ascii="Arial" w:eastAsia="Times New Roman" w:hAnsi="Arial" w:cs="Arial"/>
          <w:szCs w:val="24"/>
          <w:lang w:val="en-US" w:eastAsia="fr-FR"/>
        </w:rPr>
        <w:t xml:space="preserve"> 2- using specific noninvasive ventilation algorithm.</w:t>
      </w:r>
    </w:p>
    <w:p w:rsidR="006D008D" w:rsidRPr="002772F8" w:rsidRDefault="005A433D" w:rsidP="00D00463">
      <w:pPr>
        <w:rPr>
          <w:rFonts w:ascii="Arial" w:eastAsia="Times New Roman" w:hAnsi="Arial" w:cs="Arial"/>
          <w:szCs w:val="25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Leaks were applied using the dedicated ASL5000 </w:t>
      </w:r>
      <w:r w:rsidR="006D008D" w:rsidRPr="002772F8">
        <w:rPr>
          <w:rFonts w:ascii="Arial" w:hAnsi="Arial" w:cs="Arial"/>
          <w:szCs w:val="24"/>
          <w:lang w:val="en-US"/>
        </w:rPr>
        <w:t>Simulator Bypass and Leak Valve Module</w:t>
      </w:r>
      <w:r w:rsidRPr="002772F8">
        <w:rPr>
          <w:rFonts w:ascii="Arial" w:eastAsia="Times New Roman" w:hAnsi="Arial" w:cs="Arial"/>
          <w:szCs w:val="24"/>
          <w:lang w:val="en-US" w:eastAsia="fr-FR"/>
        </w:rPr>
        <w:t>.</w:t>
      </w:r>
      <w:r w:rsidRPr="002772F8">
        <w:rPr>
          <w:rFonts w:ascii="Arial" w:eastAsia="Times New Roman" w:hAnsi="Arial" w:cs="Arial"/>
          <w:b/>
          <w:szCs w:val="24"/>
          <w:lang w:val="en-US" w:eastAsia="fr-FR"/>
        </w:rPr>
        <w:t xml:space="preserve"> </w:t>
      </w:r>
      <w:r w:rsidR="006D008D" w:rsidRPr="002772F8">
        <w:rPr>
          <w:rFonts w:ascii="Arial" w:eastAsia="Times New Roman" w:hAnsi="Arial" w:cs="Arial"/>
          <w:szCs w:val="25"/>
          <w:lang w:val="en-US" w:eastAsia="fr-FR"/>
        </w:rPr>
        <w:t>This feature can be used to simulate particular patient conditions, such as a</w:t>
      </w:r>
      <w:r w:rsidR="00D00463" w:rsidRPr="002772F8">
        <w:rPr>
          <w:rFonts w:ascii="Arial" w:eastAsia="Times New Roman" w:hAnsi="Arial" w:cs="Arial"/>
          <w:szCs w:val="25"/>
          <w:lang w:val="en-US" w:eastAsia="fr-FR"/>
        </w:rPr>
        <w:t xml:space="preserve"> </w:t>
      </w:r>
      <w:proofErr w:type="gramStart"/>
      <w:r w:rsidR="00D00463" w:rsidRPr="002772F8">
        <w:rPr>
          <w:rFonts w:ascii="Arial" w:eastAsia="Times New Roman" w:hAnsi="Arial" w:cs="Arial"/>
          <w:szCs w:val="25"/>
          <w:lang w:val="en-US" w:eastAsia="fr-FR"/>
        </w:rPr>
        <w:t>face-mask</w:t>
      </w:r>
      <w:proofErr w:type="gramEnd"/>
      <w:r w:rsidR="006D008D" w:rsidRPr="002772F8">
        <w:rPr>
          <w:rFonts w:ascii="Arial" w:eastAsia="Times New Roman" w:hAnsi="Arial" w:cs="Arial"/>
          <w:szCs w:val="25"/>
          <w:lang w:val="en-US" w:eastAsia="fr-FR"/>
        </w:rPr>
        <w:t xml:space="preserve"> leak</w:t>
      </w:r>
      <w:r w:rsidR="00D00463" w:rsidRPr="002772F8">
        <w:rPr>
          <w:rFonts w:ascii="Arial" w:eastAsia="Times New Roman" w:hAnsi="Arial" w:cs="Arial"/>
          <w:szCs w:val="25"/>
          <w:lang w:val="en-US" w:eastAsia="fr-FR"/>
        </w:rPr>
        <w:t xml:space="preserve"> under noninvasive ventilation</w:t>
      </w:r>
      <w:r w:rsidR="006D008D" w:rsidRPr="002772F8">
        <w:rPr>
          <w:rFonts w:ascii="Arial" w:eastAsia="Times New Roman" w:hAnsi="Arial" w:cs="Arial"/>
          <w:szCs w:val="25"/>
          <w:lang w:val="en-US" w:eastAsia="fr-FR"/>
        </w:rPr>
        <w:t>.</w:t>
      </w:r>
    </w:p>
    <w:p w:rsidR="00F7335F" w:rsidRPr="002772F8" w:rsidRDefault="005A433D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Asynchrony index (AI) was calculated over a 1-minute period, after signal stabilization, and took into consideration all major types of asynchrony: </w:t>
      </w:r>
      <w:r w:rsidR="00F7335F" w:rsidRPr="002772F8">
        <w:rPr>
          <w:rFonts w:ascii="Arial" w:eastAsia="Times New Roman" w:hAnsi="Arial" w:cs="Arial"/>
          <w:szCs w:val="24"/>
          <w:lang w:val="en-US" w:eastAsia="fr-FR"/>
        </w:rPr>
        <w:t>ineffective effort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, auto-triggering, prolonged inspiration, multiple triggering, premature and short cycling. </w:t>
      </w:r>
      <w:r w:rsidR="00F7335F" w:rsidRPr="002772F8">
        <w:rPr>
          <w:rFonts w:ascii="Arial" w:eastAsia="Times New Roman" w:hAnsi="Arial" w:cs="Arial"/>
          <w:szCs w:val="24"/>
          <w:lang w:val="en-US" w:eastAsia="fr-FR"/>
        </w:rPr>
        <w:t>Ineffective effort was considered when a simulated effort was present on the simulator side, without consecutive inspiration on the ventilator side. Prolonged inspiration was defined as a cycle duration ≥ 50% of a stable cycle without leak.</w:t>
      </w:r>
    </w:p>
    <w:p w:rsidR="005A433D" w:rsidRPr="002772F8" w:rsidRDefault="005A433D" w:rsidP="00A875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en-US" w:eastAsia="fr-FR"/>
        </w:rPr>
      </w:pP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AI ≥10% of </w:t>
      </w:r>
      <w:r w:rsidR="00D52EEA">
        <w:rPr>
          <w:rFonts w:ascii="Arial" w:eastAsia="Times New Roman" w:hAnsi="Arial" w:cs="Arial"/>
          <w:szCs w:val="24"/>
          <w:lang w:val="en-US" w:eastAsia="fr-FR"/>
        </w:rPr>
        <w:t xml:space="preserve">all </w:t>
      </w:r>
      <w:r w:rsidRPr="002772F8">
        <w:rPr>
          <w:rFonts w:ascii="Arial" w:eastAsia="Times New Roman" w:hAnsi="Arial" w:cs="Arial"/>
          <w:szCs w:val="24"/>
          <w:lang w:val="en-US" w:eastAsia="fr-FR"/>
        </w:rPr>
        <w:t>respiratory effort</w:t>
      </w:r>
      <w:r w:rsidR="00D52EEA">
        <w:rPr>
          <w:rFonts w:ascii="Arial" w:eastAsia="Times New Roman" w:hAnsi="Arial" w:cs="Arial"/>
          <w:szCs w:val="24"/>
          <w:lang w:val="en-US" w:eastAsia="fr-FR"/>
        </w:rPr>
        <w:t>s</w:t>
      </w:r>
      <w:r w:rsidRPr="002772F8">
        <w:rPr>
          <w:rFonts w:ascii="Arial" w:eastAsia="Times New Roman" w:hAnsi="Arial" w:cs="Arial"/>
          <w:szCs w:val="24"/>
          <w:lang w:val="en-US" w:eastAsia="fr-FR"/>
        </w:rPr>
        <w:t xml:space="preserve"> was considered clinically significant.</w:t>
      </w:r>
    </w:p>
    <w:p w:rsidR="001E6B37" w:rsidRPr="00404EC5" w:rsidRDefault="005A433D" w:rsidP="001E6B37">
      <w:pPr>
        <w:rPr>
          <w:b/>
          <w:sz w:val="32"/>
          <w:lang w:val="en-US"/>
        </w:rPr>
      </w:pPr>
      <w:r w:rsidRPr="002772F8">
        <w:rPr>
          <w:lang w:val="en-US"/>
        </w:rPr>
        <w:br w:type="page"/>
      </w:r>
      <w:r w:rsidR="001E6B37" w:rsidRPr="00404EC5">
        <w:rPr>
          <w:b/>
          <w:sz w:val="32"/>
          <w:lang w:val="en-US"/>
        </w:rPr>
        <w:t xml:space="preserve">II- Additional </w:t>
      </w:r>
      <w:r w:rsidR="00272C03">
        <w:rPr>
          <w:b/>
          <w:sz w:val="32"/>
          <w:lang w:val="en-US"/>
        </w:rPr>
        <w:t xml:space="preserve">Table </w:t>
      </w:r>
      <w:r w:rsidR="001242D2">
        <w:rPr>
          <w:b/>
          <w:sz w:val="32"/>
          <w:lang w:val="en-US"/>
        </w:rPr>
        <w:t>S</w:t>
      </w:r>
      <w:r w:rsidR="00272C03">
        <w:rPr>
          <w:b/>
          <w:sz w:val="32"/>
          <w:lang w:val="en-US"/>
        </w:rPr>
        <w:t>1</w:t>
      </w:r>
      <w:r w:rsidR="001E6B37" w:rsidRPr="00404EC5">
        <w:rPr>
          <w:b/>
          <w:sz w:val="32"/>
          <w:lang w:val="en-US"/>
        </w:rPr>
        <w:t xml:space="preserve"> – </w:t>
      </w:r>
      <w:r w:rsidR="00272C03">
        <w:rPr>
          <w:b/>
          <w:sz w:val="32"/>
          <w:lang w:val="en-US"/>
        </w:rPr>
        <w:t>Ventilator’s general characteristics</w:t>
      </w:r>
    </w:p>
    <w:p w:rsidR="001E6B37" w:rsidRDefault="001E6B37" w:rsidP="001E6B37">
      <w:pPr>
        <w:spacing w:line="240" w:lineRule="auto"/>
        <w:jc w:val="both"/>
        <w:rPr>
          <w:b/>
          <w:bCs/>
          <w:lang w:val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992"/>
        <w:gridCol w:w="851"/>
        <w:gridCol w:w="992"/>
        <w:gridCol w:w="709"/>
        <w:gridCol w:w="850"/>
        <w:gridCol w:w="851"/>
        <w:gridCol w:w="992"/>
        <w:gridCol w:w="1134"/>
      </w:tblGrid>
      <w:tr w:rsidR="001E6B37" w:rsidRPr="006F795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Device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Company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651E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Ventilatory</w:t>
            </w:r>
            <w:proofErr w:type="spellEnd"/>
            <w:r w:rsidRPr="00651E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Modes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FiO2 (range/%)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Ventilation Rate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Tidal Volume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Pressure support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PEEP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Peak </w:t>
            </w:r>
            <w:proofErr w:type="spellStart"/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inspiratory</w:t>
            </w:r>
            <w:proofErr w:type="spellEnd"/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flow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gramStart"/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I :</w:t>
            </w:r>
            <w:proofErr w:type="gramEnd"/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E in VC-CMV</w:t>
            </w:r>
          </w:p>
        </w:tc>
      </w:tr>
      <w:tr w:rsidR="001E6B37" w:rsidRPr="006F795B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Evita</w:t>
            </w:r>
            <w:proofErr w:type="spellEnd"/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 V300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Dräger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 xml:space="preserve"> (</w:t>
            </w: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Lubeck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, Germany)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VC-CMV, VC-IMV, PC-CMV, PC-IMV, PC-CSV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100%/21%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0,5 to 98 /min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0,1 to 3.0 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95 cmH2O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50 cmH2O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2 to 120 L/min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proofErr w:type="gramStart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no</w:t>
            </w:r>
            <w:proofErr w:type="gramEnd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 xml:space="preserve"> specified</w:t>
            </w:r>
          </w:p>
        </w:tc>
      </w:tr>
      <w:tr w:rsidR="001E6B37" w:rsidRPr="006F795B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PB980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 xml:space="preserve">Newport </w:t>
            </w:r>
            <w:proofErr w:type="spellStart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Covidien</w:t>
            </w:r>
            <w:proofErr w:type="spellEnd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 xml:space="preserve"> (Mansfield, MA, USA)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VC-CMV, VC-IMV, PC-CMV, PC-IMV, PC-CSV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100%/21%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0,1 to 100 / 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0.25 to 2.5 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70 cmH2O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proofErr w:type="gramStart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no</w:t>
            </w:r>
            <w:proofErr w:type="gramEnd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 xml:space="preserve"> specified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3 to 150 L/min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≤ 1:299 to 4:1</w:t>
            </w:r>
          </w:p>
        </w:tc>
      </w:tr>
      <w:tr w:rsidR="001E6B37" w:rsidRPr="006F795B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V680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B86681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866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Respironics</w:t>
            </w:r>
            <w:proofErr w:type="spellEnd"/>
            <w:r w:rsidRPr="00B866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866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Inc</w:t>
            </w:r>
            <w:proofErr w:type="spellEnd"/>
            <w:r w:rsidRPr="00B866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B866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Murrysville</w:t>
            </w:r>
            <w:proofErr w:type="spellEnd"/>
            <w:r w:rsidRPr="00B866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 PA, USA)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B86681" w:rsidRDefault="001E6B37" w:rsidP="00A83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eastAsia="fr-FR"/>
              </w:rPr>
              <w:t>VC-CMV, VC-IMV, PC-CMV, PC-IMV, PC-CSV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100%/21%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80 /min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0.05L to 2.0L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65 cmH2O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40 cmH2O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proofErr w:type="gramStart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no</w:t>
            </w:r>
            <w:proofErr w:type="gramEnd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 xml:space="preserve"> specified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9.9:1 to 1:9.9</w:t>
            </w:r>
          </w:p>
        </w:tc>
      </w:tr>
      <w:tr w:rsidR="001E6B37" w:rsidRPr="006F795B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tabs>
                <w:tab w:val="center" w:pos="4536"/>
                <w:tab w:val="right" w:pos="9072"/>
              </w:tabs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5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Hamilton Medical (</w:t>
            </w: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Bonaduz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, Switzerland)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5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VC-CMV, VC-IMV, PC-CMV, PC-IMV, PC-CSV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100%/21%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5 to 120 /min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0.100 to 2.0 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100 cmH2O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50 cmH2O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180 L/min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1:9 to 4:1</w:t>
            </w:r>
          </w:p>
        </w:tc>
      </w:tr>
      <w:tr w:rsidR="001E6B37" w:rsidRPr="006F795B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R860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General Electric (Fairfield, CT, USA)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VC-CMV, VC-IMV, PC-CMV, PC-IMV, PC-CSV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100%/21%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3 to 150 /min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0,1 to 2L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98 cmH2O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50 cmH2O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2 to 160 L/min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1:9 to 4:1</w:t>
            </w:r>
          </w:p>
        </w:tc>
      </w:tr>
      <w:tr w:rsidR="001E6B37" w:rsidRPr="006F795B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Servo 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Maquet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Getinge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 xml:space="preserve"> (</w:t>
            </w: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Göteborg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, Sweden)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VC-CMV, VC-IMV, PC-CMV, PC-IMV, PC-CSV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100%/21%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4 to 100 /min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0.1 to 4.0L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120 cmH2O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50 cmH2O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0.5 to 60 l/min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1:10 to 4:1</w:t>
            </w:r>
          </w:p>
        </w:tc>
      </w:tr>
      <w:tr w:rsidR="001E6B37" w:rsidRPr="006F795B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651E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Avea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5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Viasys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>Carefusion</w:t>
            </w:r>
            <w:proofErr w:type="spellEnd"/>
            <w:r w:rsidRPr="00651E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  <w:t xml:space="preserve"> (San Diego, Ca, USA)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Pr="006F795B" w:rsidRDefault="001E6B37" w:rsidP="00A83A29">
            <w:pPr>
              <w:keepNext/>
              <w:keepLines/>
              <w:spacing w:before="200"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VC-CMV, VC-IMV, PC-CMV, PC-IMV, PC-CSV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100%/21%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1 to 120 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0.002 to 2.5L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90 cmH2O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 to 50 cmH2O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0.4 to 150 L/min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B37" w:rsidRDefault="001E6B37" w:rsidP="00A83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fr-FR"/>
              </w:rPr>
            </w:pPr>
            <w:proofErr w:type="gramStart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>no</w:t>
            </w:r>
            <w:proofErr w:type="gramEnd"/>
            <w:r w:rsidRPr="00651E62">
              <w:rPr>
                <w:rFonts w:ascii="Calibri,Times New Roman" w:eastAsia="Calibri,Times New Roman" w:hAnsi="Calibri,Times New Roman" w:cs="Calibri,Times New Roman"/>
                <w:color w:val="000000"/>
                <w:sz w:val="16"/>
                <w:szCs w:val="16"/>
                <w:lang w:val="en-US" w:eastAsia="fr-FR"/>
              </w:rPr>
              <w:t xml:space="preserve"> specified</w:t>
            </w:r>
          </w:p>
        </w:tc>
      </w:tr>
    </w:tbl>
    <w:p w:rsidR="001E6B37" w:rsidRPr="006F795B" w:rsidRDefault="001E6B37" w:rsidP="001E6B37">
      <w:pPr>
        <w:spacing w:line="480" w:lineRule="auto"/>
        <w:jc w:val="both"/>
        <w:rPr>
          <w:lang w:val="en-US"/>
        </w:rPr>
      </w:pPr>
    </w:p>
    <w:p w:rsidR="001E6B37" w:rsidRDefault="001E6B37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br w:type="page"/>
      </w:r>
    </w:p>
    <w:p w:rsidR="00D30FE0" w:rsidRPr="00D30FE0" w:rsidRDefault="00BE0A43" w:rsidP="00D30FE0">
      <w:pPr>
        <w:pStyle w:val="Paragraphedeliste"/>
        <w:numPr>
          <w:ilvl w:val="0"/>
          <w:numId w:val="2"/>
        </w:numPr>
        <w:rPr>
          <w:b/>
          <w:sz w:val="32"/>
          <w:lang w:val="en-US"/>
        </w:rPr>
      </w:pPr>
      <w:r w:rsidRPr="00D30FE0">
        <w:rPr>
          <w:b/>
          <w:sz w:val="32"/>
          <w:lang w:val="en-US"/>
        </w:rPr>
        <w:t xml:space="preserve">Additional content </w:t>
      </w:r>
      <w:r w:rsidR="0068478D" w:rsidRPr="00D30FE0">
        <w:rPr>
          <w:b/>
          <w:sz w:val="32"/>
          <w:lang w:val="en-US"/>
        </w:rPr>
        <w:t>–</w:t>
      </w:r>
      <w:r w:rsidRPr="00D30FE0">
        <w:rPr>
          <w:b/>
          <w:sz w:val="32"/>
          <w:lang w:val="en-US"/>
        </w:rPr>
        <w:t xml:space="preserve"> </w:t>
      </w:r>
      <w:r w:rsidR="00124672" w:rsidRPr="00D30FE0">
        <w:rPr>
          <w:b/>
          <w:sz w:val="32"/>
          <w:lang w:val="en-US"/>
        </w:rPr>
        <w:t>Ergonomics evaluation</w:t>
      </w:r>
    </w:p>
    <w:p w:rsidR="00D30FE0" w:rsidRDefault="00D30FE0" w:rsidP="00D30FE0">
      <w:pPr>
        <w:rPr>
          <w:b/>
          <w:sz w:val="32"/>
          <w:lang w:val="en-US"/>
        </w:rPr>
      </w:pPr>
    </w:p>
    <w:p w:rsidR="0068478D" w:rsidRPr="00D30FE0" w:rsidRDefault="0068478D" w:rsidP="00D30FE0">
      <w:pPr>
        <w:rPr>
          <w:b/>
          <w:sz w:val="32"/>
          <w:lang w:val="en-US"/>
        </w:rPr>
      </w:pPr>
    </w:p>
    <w:p w:rsidR="0068478D" w:rsidRPr="00404EC5" w:rsidRDefault="0068478D" w:rsidP="0068478D">
      <w:pPr>
        <w:ind w:left="360"/>
        <w:rPr>
          <w:b/>
          <w:sz w:val="8"/>
          <w:szCs w:val="32"/>
          <w:lang w:val="en-US"/>
        </w:rPr>
      </w:pPr>
    </w:p>
    <w:p w:rsidR="0081348D" w:rsidRPr="0068478D" w:rsidRDefault="00272C03" w:rsidP="0068478D">
      <w:pPr>
        <w:ind w:left="360"/>
        <w:rPr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Additional</w:t>
      </w:r>
      <w:r w:rsidR="0068478D" w:rsidRPr="0068478D">
        <w:rPr>
          <w:b/>
          <w:sz w:val="24"/>
          <w:szCs w:val="32"/>
          <w:lang w:val="en-US"/>
        </w:rPr>
        <w:t xml:space="preserve"> Table </w:t>
      </w:r>
      <w:r w:rsidR="001242D2">
        <w:rPr>
          <w:b/>
          <w:sz w:val="24"/>
          <w:szCs w:val="32"/>
          <w:lang w:val="en-US"/>
        </w:rPr>
        <w:t>S</w:t>
      </w:r>
      <w:r>
        <w:rPr>
          <w:b/>
          <w:sz w:val="24"/>
          <w:szCs w:val="32"/>
          <w:lang w:val="en-US"/>
        </w:rPr>
        <w:t>2</w:t>
      </w:r>
      <w:r w:rsidR="0068478D" w:rsidRPr="0068478D">
        <w:rPr>
          <w:b/>
          <w:sz w:val="24"/>
          <w:szCs w:val="32"/>
          <w:lang w:val="en-US"/>
        </w:rPr>
        <w:t xml:space="preserve">: </w:t>
      </w:r>
      <w:proofErr w:type="spellStart"/>
      <w:r w:rsidR="00BE0A43" w:rsidRPr="0068478D">
        <w:rPr>
          <w:sz w:val="24"/>
          <w:szCs w:val="32"/>
          <w:lang w:val="en-US"/>
        </w:rPr>
        <w:t>Randomisation</w:t>
      </w:r>
      <w:proofErr w:type="spellEnd"/>
      <w:r w:rsidR="00BE0A43" w:rsidRPr="0068478D">
        <w:rPr>
          <w:sz w:val="24"/>
          <w:szCs w:val="32"/>
          <w:lang w:val="en-US"/>
        </w:rPr>
        <w:t xml:space="preserve"> table for device’s </w:t>
      </w:r>
      <w:proofErr w:type="spellStart"/>
      <w:r w:rsidR="00BE0A43" w:rsidRPr="0068478D">
        <w:rPr>
          <w:sz w:val="24"/>
          <w:szCs w:val="32"/>
          <w:lang w:val="en-US"/>
        </w:rPr>
        <w:t>testings</w:t>
      </w:r>
      <w:proofErr w:type="spellEnd"/>
    </w:p>
    <w:tbl>
      <w:tblPr>
        <w:tblStyle w:val="Grille"/>
        <w:tblpPr w:leftFromText="141" w:rightFromText="141" w:vertAnchor="page" w:horzAnchor="page" w:tblpX="2606" w:tblpY="2858"/>
        <w:tblW w:w="0" w:type="auto"/>
        <w:tblLook w:val="04A0"/>
      </w:tblPr>
      <w:tblGrid>
        <w:gridCol w:w="2376"/>
        <w:gridCol w:w="1132"/>
        <w:gridCol w:w="1133"/>
        <w:gridCol w:w="1133"/>
        <w:gridCol w:w="1133"/>
      </w:tblGrid>
      <w:tr w:rsidR="00404EC5" w:rsidRPr="00BE0A43">
        <w:tc>
          <w:tcPr>
            <w:tcW w:w="2376" w:type="dxa"/>
            <w:vAlign w:val="center"/>
          </w:tcPr>
          <w:p w:rsidR="00404EC5" w:rsidRPr="00BE0A43" w:rsidRDefault="00404EC5" w:rsidP="00404EC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Participants</w:t>
            </w:r>
            <w:r w:rsidRPr="00BE0A4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0A43">
              <w:rPr>
                <w:b/>
                <w:i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531" w:type="dxa"/>
            <w:gridSpan w:val="4"/>
            <w:vAlign w:val="center"/>
          </w:tcPr>
          <w:p w:rsidR="00404EC5" w:rsidRPr="00BE0A43" w:rsidRDefault="00404EC5" w:rsidP="00404EC5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BE0A43">
              <w:rPr>
                <w:b/>
                <w:i/>
                <w:sz w:val="24"/>
                <w:szCs w:val="24"/>
              </w:rPr>
              <w:t>Ventilator</w:t>
            </w:r>
            <w:proofErr w:type="spellEnd"/>
            <w:r w:rsidRPr="00BE0A43">
              <w:rPr>
                <w:b/>
                <w:i/>
                <w:sz w:val="24"/>
                <w:szCs w:val="24"/>
              </w:rPr>
              <w:t xml:space="preserve"> type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5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6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7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8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9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10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11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12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13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14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15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16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17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18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Covidien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19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Philips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GE</w:t>
            </w:r>
          </w:p>
        </w:tc>
      </w:tr>
      <w:tr w:rsidR="00404EC5">
        <w:tc>
          <w:tcPr>
            <w:tcW w:w="2376" w:type="dxa"/>
            <w:vAlign w:val="center"/>
          </w:tcPr>
          <w:p w:rsidR="00404EC5" w:rsidRDefault="00404EC5" w:rsidP="00404EC5">
            <w:pPr>
              <w:jc w:val="center"/>
            </w:pPr>
            <w:r>
              <w:t>20</w:t>
            </w:r>
          </w:p>
        </w:tc>
        <w:tc>
          <w:tcPr>
            <w:tcW w:w="1132" w:type="dxa"/>
            <w:vAlign w:val="center"/>
          </w:tcPr>
          <w:p w:rsidR="00404EC5" w:rsidRDefault="00404EC5" w:rsidP="00404EC5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V500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Hamilton</w:t>
            </w:r>
          </w:p>
        </w:tc>
        <w:tc>
          <w:tcPr>
            <w:tcW w:w="1133" w:type="dxa"/>
            <w:vAlign w:val="center"/>
          </w:tcPr>
          <w:p w:rsidR="00404EC5" w:rsidRDefault="00404EC5" w:rsidP="00404EC5">
            <w:pPr>
              <w:jc w:val="center"/>
            </w:pPr>
            <w:r>
              <w:t>Maquet</w:t>
            </w:r>
          </w:p>
        </w:tc>
      </w:tr>
    </w:tbl>
    <w:p w:rsidR="0068478D" w:rsidRDefault="0068478D">
      <w:pPr>
        <w:rPr>
          <w:lang w:val="en-US"/>
        </w:rPr>
      </w:pPr>
    </w:p>
    <w:p w:rsidR="00D764E0" w:rsidRPr="00124672" w:rsidRDefault="00D764E0" w:rsidP="00D764E0">
      <w:pPr>
        <w:jc w:val="both"/>
        <w:rPr>
          <w:i/>
          <w:sz w:val="18"/>
          <w:lang w:val="en-US"/>
        </w:rPr>
      </w:pPr>
      <w:r w:rsidRPr="00124672">
        <w:rPr>
          <w:i/>
          <w:sz w:val="18"/>
          <w:lang w:val="en-US"/>
        </w:rPr>
        <w:t xml:space="preserve">This table </w:t>
      </w:r>
      <w:r>
        <w:rPr>
          <w:i/>
          <w:sz w:val="18"/>
          <w:lang w:val="en-US"/>
        </w:rPr>
        <w:t>details the randomization table for devices</w:t>
      </w:r>
      <w:r w:rsidR="00E33380">
        <w:rPr>
          <w:i/>
          <w:sz w:val="18"/>
          <w:lang w:val="en-US"/>
        </w:rPr>
        <w:t>’</w:t>
      </w:r>
      <w:r>
        <w:rPr>
          <w:i/>
          <w:sz w:val="18"/>
          <w:lang w:val="en-US"/>
        </w:rPr>
        <w:t xml:space="preserve"> </w:t>
      </w:r>
      <w:proofErr w:type="spellStart"/>
      <w:r>
        <w:rPr>
          <w:i/>
          <w:sz w:val="18"/>
          <w:lang w:val="en-US"/>
        </w:rPr>
        <w:t>testings</w:t>
      </w:r>
      <w:proofErr w:type="spellEnd"/>
      <w:r>
        <w:rPr>
          <w:i/>
          <w:sz w:val="18"/>
          <w:lang w:val="en-US"/>
        </w:rPr>
        <w:t xml:space="preserve"> by the ICU physicians. All were already experienced with the </w:t>
      </w:r>
      <w:proofErr w:type="spellStart"/>
      <w:r>
        <w:rPr>
          <w:i/>
          <w:sz w:val="18"/>
          <w:lang w:val="en-US"/>
        </w:rPr>
        <w:t>Avea</w:t>
      </w:r>
      <w:proofErr w:type="spellEnd"/>
      <w:r>
        <w:rPr>
          <w:i/>
          <w:sz w:val="18"/>
          <w:lang w:val="en-US"/>
        </w:rPr>
        <w:t xml:space="preserve"> but still performed testing on this device, as a reference. They were </w:t>
      </w:r>
      <w:r w:rsidR="00404EC5">
        <w:rPr>
          <w:i/>
          <w:sz w:val="18"/>
          <w:lang w:val="en-US"/>
        </w:rPr>
        <w:t>randomly</w:t>
      </w:r>
      <w:r>
        <w:rPr>
          <w:i/>
          <w:sz w:val="18"/>
          <w:lang w:val="en-US"/>
        </w:rPr>
        <w:t xml:space="preserve"> assigned, according to their previous experience, for the testing of 2 to 3 other devices.</w:t>
      </w:r>
    </w:p>
    <w:p w:rsidR="0068478D" w:rsidRDefault="0068478D">
      <w:pPr>
        <w:rPr>
          <w:lang w:val="en-US"/>
        </w:rPr>
      </w:pPr>
    </w:p>
    <w:p w:rsidR="00D30FE0" w:rsidRDefault="00D30FE0">
      <w:pPr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br w:type="page"/>
      </w:r>
    </w:p>
    <w:p w:rsidR="0068478D" w:rsidRPr="0068478D" w:rsidRDefault="00272C03" w:rsidP="0068478D">
      <w:pPr>
        <w:ind w:left="360"/>
        <w:rPr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Additional</w:t>
      </w:r>
      <w:r w:rsidR="0068478D" w:rsidRPr="0068478D">
        <w:rPr>
          <w:b/>
          <w:sz w:val="24"/>
          <w:szCs w:val="32"/>
          <w:lang w:val="en-US"/>
        </w:rPr>
        <w:t xml:space="preserve"> Table </w:t>
      </w:r>
      <w:r w:rsidR="001242D2">
        <w:rPr>
          <w:b/>
          <w:sz w:val="24"/>
          <w:szCs w:val="32"/>
          <w:lang w:val="en-US"/>
        </w:rPr>
        <w:t>S</w:t>
      </w:r>
      <w:r>
        <w:rPr>
          <w:b/>
          <w:sz w:val="24"/>
          <w:szCs w:val="32"/>
          <w:lang w:val="en-US"/>
        </w:rPr>
        <w:t>3</w:t>
      </w:r>
      <w:r w:rsidR="0068478D" w:rsidRPr="0068478D">
        <w:rPr>
          <w:b/>
          <w:sz w:val="24"/>
          <w:szCs w:val="32"/>
          <w:lang w:val="en-US"/>
        </w:rPr>
        <w:t xml:space="preserve">: </w:t>
      </w:r>
      <w:r w:rsidR="0068478D" w:rsidRPr="0068478D">
        <w:rPr>
          <w:sz w:val="24"/>
          <w:szCs w:val="32"/>
          <w:lang w:val="en-US"/>
        </w:rPr>
        <w:t>Participants’ list and cumulated knowledge</w:t>
      </w:r>
      <w:r w:rsidR="0068478D">
        <w:rPr>
          <w:b/>
          <w:sz w:val="24"/>
          <w:szCs w:val="32"/>
          <w:lang w:val="en-US"/>
        </w:rPr>
        <w:t xml:space="preserve"> </w:t>
      </w:r>
    </w:p>
    <w:tbl>
      <w:tblPr>
        <w:tblStyle w:val="Grille"/>
        <w:tblpPr w:leftFromText="141" w:rightFromText="141" w:vertAnchor="text" w:horzAnchor="page" w:tblpX="1089" w:tblpY="257"/>
        <w:tblW w:w="9601" w:type="dxa"/>
        <w:tblLook w:val="04A0"/>
      </w:tblPr>
      <w:tblGrid>
        <w:gridCol w:w="2802"/>
        <w:gridCol w:w="3778"/>
        <w:gridCol w:w="3021"/>
      </w:tblGrid>
      <w:tr w:rsidR="0068478D" w:rsidRPr="00733401">
        <w:tc>
          <w:tcPr>
            <w:tcW w:w="2802" w:type="dxa"/>
          </w:tcPr>
          <w:p w:rsidR="0068478D" w:rsidRPr="00733401" w:rsidRDefault="0068478D" w:rsidP="001246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Tested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3401">
              <w:rPr>
                <w:b/>
                <w:sz w:val="28"/>
                <w:szCs w:val="28"/>
              </w:rPr>
              <w:t>Ventilator</w:t>
            </w:r>
            <w:r>
              <w:rPr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778" w:type="dxa"/>
          </w:tcPr>
          <w:p w:rsidR="0068478D" w:rsidRPr="00733401" w:rsidRDefault="0068478D" w:rsidP="00124672">
            <w:pPr>
              <w:jc w:val="center"/>
              <w:rPr>
                <w:b/>
                <w:sz w:val="28"/>
                <w:szCs w:val="28"/>
              </w:rPr>
            </w:pPr>
            <w:r w:rsidRPr="00733401">
              <w:rPr>
                <w:b/>
                <w:sz w:val="28"/>
                <w:szCs w:val="28"/>
              </w:rPr>
              <w:t>Participants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3401">
              <w:rPr>
                <w:b/>
                <w:sz w:val="28"/>
                <w:szCs w:val="28"/>
              </w:rPr>
              <w:t>Cumulated</w:t>
            </w:r>
            <w:proofErr w:type="spellEnd"/>
            <w:r w:rsidRPr="007334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3401">
              <w:rPr>
                <w:b/>
                <w:sz w:val="28"/>
                <w:szCs w:val="28"/>
              </w:rPr>
              <w:t>knowledge</w:t>
            </w:r>
            <w:proofErr w:type="spellEnd"/>
          </w:p>
          <w:p w:rsidR="0068478D" w:rsidRPr="00733401" w:rsidRDefault="0068478D" w:rsidP="00124672">
            <w:pPr>
              <w:jc w:val="center"/>
              <w:rPr>
                <w:b/>
                <w:sz w:val="28"/>
                <w:szCs w:val="28"/>
              </w:rPr>
            </w:pPr>
            <w:r w:rsidRPr="00733401">
              <w:rPr>
                <w:sz w:val="20"/>
                <w:szCs w:val="20"/>
              </w:rPr>
              <w:t>n (%)</w:t>
            </w:r>
          </w:p>
        </w:tc>
      </w:tr>
      <w:tr w:rsidR="0068478D">
        <w:tc>
          <w:tcPr>
            <w:tcW w:w="2802" w:type="dxa"/>
          </w:tcPr>
          <w:p w:rsidR="0068478D" w:rsidRDefault="0068478D" w:rsidP="00124672">
            <w:pPr>
              <w:jc w:val="center"/>
            </w:pPr>
            <w:proofErr w:type="spellStart"/>
            <w:r>
              <w:t>Avea</w:t>
            </w:r>
            <w:proofErr w:type="spellEnd"/>
          </w:p>
        </w:tc>
        <w:tc>
          <w:tcPr>
            <w:tcW w:w="3778" w:type="dxa"/>
          </w:tcPr>
          <w:p w:rsidR="0068478D" w:rsidRDefault="0068478D" w:rsidP="00124672">
            <w:pPr>
              <w:jc w:val="center"/>
            </w:pPr>
            <w:r>
              <w:t>1, 3, 5, 6, 7, 8, 13, 14, 15, 16, 17, 20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</w:pPr>
            <w:r>
              <w:t>20 (100)</w:t>
            </w:r>
          </w:p>
        </w:tc>
      </w:tr>
      <w:tr w:rsidR="0068478D">
        <w:tc>
          <w:tcPr>
            <w:tcW w:w="2802" w:type="dxa"/>
          </w:tcPr>
          <w:p w:rsidR="0068478D" w:rsidRDefault="0068478D" w:rsidP="00124672">
            <w:pPr>
              <w:jc w:val="center"/>
            </w:pPr>
            <w:r>
              <w:t>S1</w:t>
            </w:r>
          </w:p>
        </w:tc>
        <w:tc>
          <w:tcPr>
            <w:tcW w:w="3778" w:type="dxa"/>
          </w:tcPr>
          <w:p w:rsidR="0068478D" w:rsidRDefault="0068478D" w:rsidP="00124672">
            <w:pPr>
              <w:jc w:val="center"/>
            </w:pPr>
            <w:r>
              <w:t>1, 2, 3, 4, 5, 10, 12, 14, 17, 19, 20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</w:pPr>
            <w:r>
              <w:t>5 (25)</w:t>
            </w:r>
          </w:p>
        </w:tc>
      </w:tr>
      <w:tr w:rsidR="0068478D">
        <w:tc>
          <w:tcPr>
            <w:tcW w:w="2802" w:type="dxa"/>
          </w:tcPr>
          <w:p w:rsidR="0068478D" w:rsidRDefault="0068478D" w:rsidP="00124672">
            <w:pPr>
              <w:jc w:val="center"/>
            </w:pPr>
            <w:r>
              <w:t>V500</w:t>
            </w:r>
          </w:p>
        </w:tc>
        <w:tc>
          <w:tcPr>
            <w:tcW w:w="3778" w:type="dxa"/>
          </w:tcPr>
          <w:p w:rsidR="0068478D" w:rsidRDefault="0068478D" w:rsidP="00124672">
            <w:pPr>
              <w:jc w:val="center"/>
            </w:pPr>
            <w:r>
              <w:t>3, 5, 6, 7, 9, 10, 11, 12, 15, 18, 19, 20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</w:pPr>
            <w:r>
              <w:t>4 (20)</w:t>
            </w:r>
          </w:p>
        </w:tc>
      </w:tr>
      <w:tr w:rsidR="0068478D">
        <w:tc>
          <w:tcPr>
            <w:tcW w:w="2802" w:type="dxa"/>
          </w:tcPr>
          <w:p w:rsidR="0068478D" w:rsidRDefault="0068478D" w:rsidP="00124672">
            <w:pPr>
              <w:jc w:val="center"/>
            </w:pPr>
            <w:r>
              <w:t>PB980</w:t>
            </w:r>
          </w:p>
        </w:tc>
        <w:tc>
          <w:tcPr>
            <w:tcW w:w="3778" w:type="dxa"/>
          </w:tcPr>
          <w:p w:rsidR="0068478D" w:rsidRDefault="0068478D" w:rsidP="00124672">
            <w:pPr>
              <w:jc w:val="center"/>
            </w:pPr>
            <w:r>
              <w:t>1, 2, 3, 4, 6, 8, 11, 14, 15, 17, 18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</w:pPr>
            <w:r>
              <w:t>1 (5)</w:t>
            </w:r>
          </w:p>
        </w:tc>
      </w:tr>
      <w:tr w:rsidR="0068478D">
        <w:tc>
          <w:tcPr>
            <w:tcW w:w="2802" w:type="dxa"/>
          </w:tcPr>
          <w:p w:rsidR="0068478D" w:rsidRDefault="0068478D" w:rsidP="00124672">
            <w:pPr>
              <w:jc w:val="center"/>
            </w:pPr>
            <w:r>
              <w:t>V680</w:t>
            </w:r>
          </w:p>
        </w:tc>
        <w:tc>
          <w:tcPr>
            <w:tcW w:w="3778" w:type="dxa"/>
          </w:tcPr>
          <w:p w:rsidR="0068478D" w:rsidRDefault="0068478D" w:rsidP="00124672">
            <w:pPr>
              <w:jc w:val="center"/>
            </w:pPr>
            <w:r>
              <w:t>8, 9, 10, 11, 12, 13, 14, 16, 17, 18, 19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</w:pPr>
            <w:r>
              <w:t>0 (0)</w:t>
            </w:r>
          </w:p>
        </w:tc>
      </w:tr>
      <w:tr w:rsidR="0068478D">
        <w:tc>
          <w:tcPr>
            <w:tcW w:w="2802" w:type="dxa"/>
          </w:tcPr>
          <w:p w:rsidR="0068478D" w:rsidRDefault="0068478D" w:rsidP="00124672">
            <w:pPr>
              <w:jc w:val="center"/>
            </w:pPr>
            <w:r>
              <w:t>R860</w:t>
            </w:r>
          </w:p>
        </w:tc>
        <w:tc>
          <w:tcPr>
            <w:tcW w:w="3778" w:type="dxa"/>
          </w:tcPr>
          <w:p w:rsidR="0068478D" w:rsidRDefault="0068478D" w:rsidP="00124672">
            <w:pPr>
              <w:jc w:val="center"/>
            </w:pPr>
            <w:r>
              <w:t>1, 4, 6, 7, 8, 9, 12, 13, 15, 16, 19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</w:pPr>
            <w:r>
              <w:t>0 (0)</w:t>
            </w:r>
          </w:p>
        </w:tc>
      </w:tr>
      <w:tr w:rsidR="0068478D">
        <w:tc>
          <w:tcPr>
            <w:tcW w:w="2802" w:type="dxa"/>
          </w:tcPr>
          <w:p w:rsidR="0068478D" w:rsidRDefault="0068478D" w:rsidP="00124672">
            <w:pPr>
              <w:jc w:val="center"/>
            </w:pPr>
            <w:proofErr w:type="spellStart"/>
            <w:r>
              <w:t>Servo</w:t>
            </w:r>
            <w:proofErr w:type="spellEnd"/>
            <w:r>
              <w:t xml:space="preserve"> U</w:t>
            </w:r>
          </w:p>
        </w:tc>
        <w:tc>
          <w:tcPr>
            <w:tcW w:w="3778" w:type="dxa"/>
          </w:tcPr>
          <w:p w:rsidR="0068478D" w:rsidRDefault="0068478D" w:rsidP="00124672">
            <w:pPr>
              <w:jc w:val="center"/>
            </w:pPr>
            <w:r>
              <w:t>2, 3, 4, 5, 9, 10, 11, 13, 16, 18, 20</w:t>
            </w:r>
          </w:p>
        </w:tc>
        <w:tc>
          <w:tcPr>
            <w:tcW w:w="3021" w:type="dxa"/>
          </w:tcPr>
          <w:p w:rsidR="0068478D" w:rsidRDefault="0068478D" w:rsidP="00124672">
            <w:pPr>
              <w:jc w:val="center"/>
            </w:pPr>
            <w:r>
              <w:t>0 (0)</w:t>
            </w:r>
          </w:p>
        </w:tc>
      </w:tr>
    </w:tbl>
    <w:p w:rsidR="00124672" w:rsidRDefault="00124672">
      <w:pPr>
        <w:rPr>
          <w:lang w:val="en-US"/>
        </w:rPr>
      </w:pPr>
    </w:p>
    <w:p w:rsidR="0068478D" w:rsidRPr="00124672" w:rsidRDefault="00124672" w:rsidP="00124672">
      <w:pPr>
        <w:jc w:val="both"/>
        <w:rPr>
          <w:i/>
          <w:sz w:val="18"/>
          <w:lang w:val="en-US"/>
        </w:rPr>
      </w:pPr>
      <w:r w:rsidRPr="00124672">
        <w:rPr>
          <w:i/>
          <w:sz w:val="18"/>
          <w:lang w:val="en-US"/>
        </w:rPr>
        <w:t xml:space="preserve">This table depicts previous knowledge on other devices from the same manufacturer. Except from the </w:t>
      </w:r>
      <w:proofErr w:type="spellStart"/>
      <w:r w:rsidRPr="00124672">
        <w:rPr>
          <w:i/>
          <w:sz w:val="18"/>
          <w:lang w:val="en-US"/>
        </w:rPr>
        <w:t>Avea</w:t>
      </w:r>
      <w:proofErr w:type="spellEnd"/>
      <w:r w:rsidRPr="00124672">
        <w:rPr>
          <w:i/>
          <w:sz w:val="18"/>
          <w:lang w:val="en-US"/>
        </w:rPr>
        <w:t xml:space="preserve"> that was known by all physicians, none had already used in clinical routine the device that they were testing. However, a few of them had already used other devices from the same manufacturer. </w:t>
      </w:r>
    </w:p>
    <w:p w:rsidR="005A433D" w:rsidRDefault="005A433D">
      <w:pPr>
        <w:rPr>
          <w:lang w:val="en-US"/>
        </w:rPr>
      </w:pPr>
    </w:p>
    <w:p w:rsidR="00124672" w:rsidRPr="00B74C82" w:rsidRDefault="00124672" w:rsidP="00124672">
      <w:pPr>
        <w:spacing w:line="480" w:lineRule="auto"/>
        <w:jc w:val="both"/>
        <w:rPr>
          <w:rFonts w:ascii="Arial" w:hAnsi="Arial" w:cs="Times New Roman"/>
          <w:szCs w:val="20"/>
          <w:lang w:val="en-US"/>
        </w:rPr>
      </w:pPr>
      <w:r w:rsidRPr="00B74C82">
        <w:rPr>
          <w:rFonts w:ascii="Arial" w:hAnsi="Arial" w:cs="Times New Roman"/>
          <w:szCs w:val="20"/>
          <w:lang w:val="en-US"/>
        </w:rPr>
        <w:t>For ergonomics evaluation, we included as a reference, the use of a device that was well known by all physicians (</w:t>
      </w:r>
      <w:proofErr w:type="spellStart"/>
      <w:r w:rsidRPr="00B74C82">
        <w:rPr>
          <w:rFonts w:ascii="Arial" w:hAnsi="Arial" w:cs="Times New Roman"/>
          <w:szCs w:val="20"/>
          <w:lang w:val="en-US"/>
        </w:rPr>
        <w:t>Avea</w:t>
      </w:r>
      <w:proofErr w:type="spellEnd"/>
      <w:r w:rsidRPr="00B74C82">
        <w:rPr>
          <w:rFonts w:ascii="Arial" w:hAnsi="Arial" w:cs="Times New Roman"/>
          <w:szCs w:val="20"/>
          <w:lang w:val="en-US"/>
        </w:rPr>
        <w:t xml:space="preserve">, </w:t>
      </w:r>
      <w:proofErr w:type="spellStart"/>
      <w:r w:rsidRPr="00B74C82">
        <w:rPr>
          <w:rFonts w:ascii="Arial" w:hAnsi="Arial" w:cs="Times New Roman"/>
          <w:szCs w:val="20"/>
          <w:lang w:val="en-US"/>
        </w:rPr>
        <w:t>Carefusion</w:t>
      </w:r>
      <w:proofErr w:type="spellEnd"/>
      <w:r w:rsidRPr="00B74C82">
        <w:rPr>
          <w:rFonts w:ascii="Arial" w:hAnsi="Arial" w:cs="Times New Roman"/>
          <w:szCs w:val="20"/>
          <w:lang w:val="en-US"/>
        </w:rPr>
        <w:t xml:space="preserve"> – Becton Dickinson, Franklin Lakes, NJ, USA).</w:t>
      </w:r>
    </w:p>
    <w:p w:rsidR="00D30FE0" w:rsidRDefault="00124672" w:rsidP="00124672">
      <w:pPr>
        <w:spacing w:line="480" w:lineRule="auto"/>
        <w:jc w:val="both"/>
        <w:rPr>
          <w:rFonts w:ascii="Arial" w:hAnsi="Arial" w:cs="Times New Roman"/>
          <w:szCs w:val="20"/>
          <w:lang w:val="en-US"/>
        </w:rPr>
      </w:pPr>
      <w:r w:rsidRPr="00B74C82">
        <w:rPr>
          <w:rFonts w:ascii="Arial" w:hAnsi="Arial" w:cs="Times New Roman"/>
          <w:szCs w:val="20"/>
          <w:lang w:val="en-US"/>
        </w:rPr>
        <w:t xml:space="preserve">20 senior ICU physicians from 5 different ICUs were included in the evaluation. Each physician tested from three to four devices, in a randomized order; each device was tested from eleven to twelve times. All physicians were familiar with the </w:t>
      </w:r>
      <w:proofErr w:type="spellStart"/>
      <w:r w:rsidRPr="00B74C82">
        <w:rPr>
          <w:rFonts w:ascii="Arial" w:hAnsi="Arial" w:cs="Times New Roman"/>
          <w:szCs w:val="20"/>
          <w:lang w:val="en-US"/>
        </w:rPr>
        <w:t>Avea</w:t>
      </w:r>
      <w:proofErr w:type="spellEnd"/>
      <w:r w:rsidRPr="00B74C82">
        <w:rPr>
          <w:rFonts w:ascii="Arial" w:hAnsi="Arial" w:cs="Times New Roman"/>
          <w:szCs w:val="20"/>
          <w:lang w:val="en-US"/>
        </w:rPr>
        <w:t xml:space="preserve"> (</w:t>
      </w:r>
      <w:proofErr w:type="spellStart"/>
      <w:r w:rsidRPr="00B74C82">
        <w:rPr>
          <w:rFonts w:ascii="Arial" w:hAnsi="Arial" w:cs="Times New Roman"/>
          <w:szCs w:val="20"/>
          <w:lang w:val="en-US"/>
        </w:rPr>
        <w:t>Carefusion</w:t>
      </w:r>
      <w:proofErr w:type="spellEnd"/>
      <w:r w:rsidRPr="00B74C82">
        <w:rPr>
          <w:rFonts w:ascii="Arial" w:hAnsi="Arial" w:cs="Times New Roman"/>
          <w:szCs w:val="20"/>
          <w:lang w:val="en-US"/>
        </w:rPr>
        <w:t>, San Diego, Ca, USA</w:t>
      </w:r>
      <w:proofErr w:type="gramStart"/>
      <w:r w:rsidRPr="00B74C82">
        <w:rPr>
          <w:rFonts w:ascii="Arial" w:hAnsi="Arial" w:cs="Times New Roman"/>
          <w:szCs w:val="20"/>
          <w:lang w:val="en-US"/>
        </w:rPr>
        <w:t>), that</w:t>
      </w:r>
      <w:proofErr w:type="gramEnd"/>
      <w:r w:rsidRPr="00B74C82">
        <w:rPr>
          <w:rFonts w:ascii="Arial" w:hAnsi="Arial" w:cs="Times New Roman"/>
          <w:szCs w:val="20"/>
          <w:lang w:val="en-US"/>
        </w:rPr>
        <w:t xml:space="preserve"> was used as a reference; we took particular attention to the fact that none of them were familiar with the tested devices (“naive” subjects), even if some of them were a few times be familiar with other devices from the same manufacturer (see Online Repository – Table 2).  </w:t>
      </w:r>
    </w:p>
    <w:p w:rsidR="00D30FE0" w:rsidRPr="00D30FE0" w:rsidRDefault="00D30FE0" w:rsidP="00D30FE0">
      <w:pPr>
        <w:pStyle w:val="Paragraphedeliste"/>
        <w:numPr>
          <w:ilvl w:val="0"/>
          <w:numId w:val="2"/>
        </w:numPr>
        <w:rPr>
          <w:rFonts w:ascii="Arial" w:hAnsi="Arial" w:cs="Times New Roman"/>
          <w:b/>
          <w:sz w:val="32"/>
          <w:szCs w:val="20"/>
          <w:lang w:val="en-US"/>
        </w:rPr>
      </w:pPr>
      <w:r w:rsidRPr="00D30FE0">
        <w:rPr>
          <w:rFonts w:ascii="Arial" w:hAnsi="Arial" w:cs="Times New Roman"/>
          <w:szCs w:val="20"/>
          <w:lang w:val="en-US"/>
        </w:rPr>
        <w:br w:type="page"/>
      </w:r>
      <w:r w:rsidRPr="00D30FE0">
        <w:rPr>
          <w:rFonts w:ascii="Arial" w:hAnsi="Arial" w:cs="Times New Roman"/>
          <w:b/>
          <w:sz w:val="32"/>
          <w:szCs w:val="20"/>
          <w:lang w:val="en-US"/>
        </w:rPr>
        <w:t>Additional figures</w:t>
      </w:r>
      <w:r>
        <w:rPr>
          <w:rFonts w:ascii="Arial" w:hAnsi="Arial" w:cs="Times New Roman"/>
          <w:b/>
          <w:sz w:val="32"/>
          <w:szCs w:val="20"/>
          <w:lang w:val="en-US"/>
        </w:rPr>
        <w:t xml:space="preserve"> legends</w:t>
      </w:r>
    </w:p>
    <w:p w:rsidR="00D30FE0" w:rsidRPr="00D30FE0" w:rsidRDefault="00D30FE0" w:rsidP="00D30FE0">
      <w:pPr>
        <w:rPr>
          <w:rFonts w:ascii="Arial" w:hAnsi="Arial" w:cs="Times New Roman"/>
          <w:szCs w:val="20"/>
          <w:lang w:val="en-US"/>
        </w:rPr>
      </w:pPr>
    </w:p>
    <w:p w:rsidR="00A83A29" w:rsidRPr="00A83A29" w:rsidRDefault="00D30FE0" w:rsidP="002C5822">
      <w:pPr>
        <w:spacing w:line="480" w:lineRule="auto"/>
        <w:jc w:val="both"/>
        <w:rPr>
          <w:rFonts w:ascii="Arial" w:hAnsi="Arial" w:cs="Times New Roman"/>
          <w:sz w:val="24"/>
          <w:szCs w:val="20"/>
          <w:lang w:val="en-US"/>
        </w:rPr>
      </w:pPr>
      <w:r w:rsidRPr="00A83A29">
        <w:rPr>
          <w:rFonts w:ascii="Arial" w:hAnsi="Arial" w:cs="Times New Roman"/>
          <w:b/>
          <w:sz w:val="24"/>
          <w:szCs w:val="20"/>
          <w:lang w:val="en-US"/>
        </w:rPr>
        <w:t xml:space="preserve">Additional Figure </w:t>
      </w:r>
      <w:r w:rsidR="001242D2">
        <w:rPr>
          <w:rFonts w:ascii="Arial" w:hAnsi="Arial" w:cs="Times New Roman"/>
          <w:b/>
          <w:sz w:val="24"/>
          <w:szCs w:val="20"/>
          <w:lang w:val="en-US"/>
        </w:rPr>
        <w:t>S</w:t>
      </w:r>
      <w:r w:rsidR="001F0D52">
        <w:rPr>
          <w:rFonts w:ascii="Arial" w:hAnsi="Arial" w:cs="Times New Roman"/>
          <w:b/>
          <w:sz w:val="24"/>
          <w:szCs w:val="20"/>
          <w:lang w:val="en-US"/>
        </w:rPr>
        <w:t>1</w:t>
      </w:r>
      <w:r w:rsidR="00052B71" w:rsidRPr="00A83A29">
        <w:rPr>
          <w:rFonts w:ascii="Arial" w:hAnsi="Arial" w:cs="Times New Roman"/>
          <w:b/>
          <w:sz w:val="24"/>
          <w:szCs w:val="20"/>
          <w:lang w:val="en-US"/>
        </w:rPr>
        <w:t>:</w:t>
      </w:r>
      <w:r w:rsidRPr="00A83A29">
        <w:rPr>
          <w:rFonts w:ascii="Arial" w:hAnsi="Arial" w:cs="Times New Roman"/>
          <w:sz w:val="24"/>
          <w:szCs w:val="20"/>
          <w:lang w:val="en-US"/>
        </w:rPr>
        <w:t xml:space="preserve"> </w:t>
      </w:r>
      <w:proofErr w:type="spellStart"/>
      <w:r w:rsidRPr="00A83A29">
        <w:rPr>
          <w:rFonts w:ascii="Arial" w:hAnsi="Arial" w:cs="Times New Roman"/>
          <w:sz w:val="24"/>
          <w:szCs w:val="20"/>
          <w:lang w:val="en-US"/>
        </w:rPr>
        <w:t>Pupillar</w:t>
      </w:r>
      <w:proofErr w:type="spellEnd"/>
      <w:r w:rsidRPr="00A83A29">
        <w:rPr>
          <w:rFonts w:ascii="Arial" w:hAnsi="Arial" w:cs="Times New Roman"/>
          <w:sz w:val="24"/>
          <w:szCs w:val="20"/>
          <w:lang w:val="en-US"/>
        </w:rPr>
        <w:t xml:space="preserve"> diameter variation measurements</w:t>
      </w:r>
    </w:p>
    <w:p w:rsidR="00A83A29" w:rsidRPr="00A83A29" w:rsidRDefault="00A83A29" w:rsidP="00124672">
      <w:pPr>
        <w:spacing w:line="480" w:lineRule="auto"/>
        <w:jc w:val="both"/>
        <w:rPr>
          <w:rFonts w:ascii="Arial" w:hAnsi="Arial" w:cs="Times New Roman"/>
          <w:szCs w:val="20"/>
          <w:lang w:val="en-US"/>
        </w:rPr>
      </w:pPr>
      <w:r w:rsidRPr="00A83A29">
        <w:rPr>
          <w:rFonts w:ascii="Arial" w:hAnsi="Arial" w:cs="Times New Roman"/>
          <w:szCs w:val="20"/>
          <w:lang w:val="en-US"/>
        </w:rPr>
        <w:t xml:space="preserve">Pupil diameter </w:t>
      </w:r>
      <w:r w:rsidR="007B133B">
        <w:rPr>
          <w:rFonts w:ascii="Arial" w:hAnsi="Arial" w:cs="Times New Roman"/>
          <w:szCs w:val="20"/>
          <w:lang w:val="en-US"/>
        </w:rPr>
        <w:t>was</w:t>
      </w:r>
      <w:r w:rsidRPr="00A83A29">
        <w:rPr>
          <w:rFonts w:ascii="Arial" w:hAnsi="Arial" w:cs="Times New Roman"/>
          <w:szCs w:val="20"/>
          <w:lang w:val="en-US"/>
        </w:rPr>
        <w:t xml:space="preserve"> assessed using an eye-tracking system (SMI ETG 1, </w:t>
      </w:r>
      <w:proofErr w:type="spellStart"/>
      <w:r w:rsidRPr="00A83A29">
        <w:rPr>
          <w:rFonts w:ascii="Arial" w:hAnsi="Arial" w:cs="Times New Roman"/>
          <w:szCs w:val="20"/>
          <w:lang w:val="en-US"/>
        </w:rPr>
        <w:t>SensoMotoric</w:t>
      </w:r>
      <w:proofErr w:type="spellEnd"/>
      <w:r w:rsidRPr="00A83A29">
        <w:rPr>
          <w:rFonts w:ascii="Arial" w:hAnsi="Arial" w:cs="Times New Roman"/>
          <w:szCs w:val="20"/>
          <w:lang w:val="en-US"/>
        </w:rPr>
        <w:t xml:space="preserve"> Instruments GmbH, </w:t>
      </w:r>
      <w:proofErr w:type="spellStart"/>
      <w:r w:rsidRPr="00A83A29">
        <w:rPr>
          <w:rFonts w:ascii="Arial" w:hAnsi="Arial" w:cs="Times New Roman"/>
          <w:szCs w:val="20"/>
          <w:lang w:val="en-US"/>
        </w:rPr>
        <w:t>Teltow</w:t>
      </w:r>
      <w:proofErr w:type="spellEnd"/>
      <w:r w:rsidRPr="00A83A29">
        <w:rPr>
          <w:rFonts w:ascii="Arial" w:hAnsi="Arial" w:cs="Times New Roman"/>
          <w:szCs w:val="20"/>
          <w:lang w:val="en-US"/>
        </w:rPr>
        <w:t>, Germany).</w:t>
      </w:r>
      <w:r w:rsidR="007B133B">
        <w:rPr>
          <w:rFonts w:ascii="Arial" w:hAnsi="Arial" w:cs="Times New Roman"/>
          <w:szCs w:val="20"/>
          <w:lang w:val="en-US"/>
        </w:rPr>
        <w:t xml:space="preserve"> Parameters variations were </w:t>
      </w:r>
      <w:r w:rsidR="009330C8">
        <w:rPr>
          <w:rFonts w:ascii="Arial" w:hAnsi="Arial" w:cs="Times New Roman"/>
          <w:szCs w:val="20"/>
          <w:lang w:val="en-US"/>
        </w:rPr>
        <w:t xml:space="preserve">automatically </w:t>
      </w:r>
      <w:r w:rsidR="007B133B">
        <w:rPr>
          <w:rFonts w:ascii="Arial" w:hAnsi="Arial" w:cs="Times New Roman"/>
          <w:szCs w:val="20"/>
          <w:lang w:val="en-US"/>
        </w:rPr>
        <w:t xml:space="preserve">assessed using </w:t>
      </w:r>
      <w:r w:rsidR="00C40F5F">
        <w:rPr>
          <w:rFonts w:ascii="Arial" w:hAnsi="Arial" w:cs="Times New Roman"/>
          <w:szCs w:val="20"/>
          <w:lang w:val="en-US"/>
        </w:rPr>
        <w:t>SMI Experi</w:t>
      </w:r>
      <w:r w:rsidR="007B133B">
        <w:rPr>
          <w:rFonts w:ascii="Arial" w:hAnsi="Arial" w:cs="Times New Roman"/>
          <w:szCs w:val="20"/>
          <w:lang w:val="en-US"/>
        </w:rPr>
        <w:t>m</w:t>
      </w:r>
      <w:r w:rsidR="009330C8">
        <w:rPr>
          <w:rFonts w:ascii="Arial" w:hAnsi="Arial" w:cs="Times New Roman"/>
          <w:szCs w:val="20"/>
          <w:lang w:val="en-US"/>
        </w:rPr>
        <w:t>e</w:t>
      </w:r>
      <w:r w:rsidR="007B133B">
        <w:rPr>
          <w:rFonts w:ascii="Arial" w:hAnsi="Arial" w:cs="Times New Roman"/>
          <w:szCs w:val="20"/>
          <w:lang w:val="en-US"/>
        </w:rPr>
        <w:t>nt Suite Scientific software.</w:t>
      </w:r>
    </w:p>
    <w:p w:rsidR="00A43276" w:rsidRDefault="00A83A29" w:rsidP="00124672">
      <w:pPr>
        <w:spacing w:line="480" w:lineRule="auto"/>
        <w:jc w:val="both"/>
        <w:rPr>
          <w:rFonts w:ascii="Arial" w:hAnsi="Arial" w:cs="Times New Roman"/>
          <w:szCs w:val="32"/>
          <w:u w:color="243778"/>
        </w:rPr>
      </w:pPr>
      <w:r w:rsidRPr="00A83A29">
        <w:rPr>
          <w:rFonts w:ascii="Arial" w:hAnsi="Arial" w:cs="Times New Roman"/>
          <w:szCs w:val="32"/>
        </w:rPr>
        <w:t xml:space="preserve">In addition to </w:t>
      </w:r>
      <w:proofErr w:type="spellStart"/>
      <w:r w:rsidRPr="00A83A29">
        <w:rPr>
          <w:rFonts w:ascii="Arial" w:hAnsi="Arial" w:cs="Times New Roman"/>
          <w:szCs w:val="32"/>
        </w:rPr>
        <w:t>its</w:t>
      </w:r>
      <w:proofErr w:type="spellEnd"/>
      <w:r w:rsidRPr="00A83A29">
        <w:rPr>
          <w:rFonts w:ascii="Arial" w:hAnsi="Arial" w:cs="Times New Roman"/>
          <w:szCs w:val="32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</w:rPr>
        <w:t>reactivity</w:t>
      </w:r>
      <w:proofErr w:type="spellEnd"/>
      <w:r w:rsidRPr="00A83A29">
        <w:rPr>
          <w:rFonts w:ascii="Arial" w:hAnsi="Arial" w:cs="Times New Roman"/>
          <w:szCs w:val="32"/>
        </w:rPr>
        <w:t xml:space="preserve"> to light </w:t>
      </w:r>
      <w:proofErr w:type="spellStart"/>
      <w:r w:rsidRPr="00A83A29">
        <w:rPr>
          <w:rFonts w:ascii="Arial" w:hAnsi="Arial" w:cs="Times New Roman"/>
          <w:szCs w:val="32"/>
        </w:rPr>
        <w:t>intensity</w:t>
      </w:r>
      <w:proofErr w:type="spellEnd"/>
      <w:r w:rsidRPr="00A83A29">
        <w:rPr>
          <w:rFonts w:ascii="Arial" w:hAnsi="Arial" w:cs="Times New Roman"/>
          <w:szCs w:val="32"/>
        </w:rPr>
        <w:t xml:space="preserve">, the </w:t>
      </w:r>
      <w:proofErr w:type="spellStart"/>
      <w:r w:rsidRPr="00A83A29">
        <w:rPr>
          <w:rFonts w:ascii="Arial" w:hAnsi="Arial" w:cs="Times New Roman"/>
          <w:szCs w:val="32"/>
        </w:rPr>
        <w:t>diameter</w:t>
      </w:r>
      <w:proofErr w:type="spellEnd"/>
      <w:r w:rsidRPr="00A83A29">
        <w:rPr>
          <w:rFonts w:ascii="Arial" w:hAnsi="Arial" w:cs="Times New Roman"/>
          <w:szCs w:val="32"/>
        </w:rPr>
        <w:t xml:space="preserve"> of the </w:t>
      </w:r>
      <w:proofErr w:type="spellStart"/>
      <w:r w:rsidRPr="00A83A29">
        <w:rPr>
          <w:rFonts w:ascii="Arial" w:hAnsi="Arial" w:cs="Times New Roman"/>
          <w:szCs w:val="32"/>
        </w:rPr>
        <w:t>pupil</w:t>
      </w:r>
      <w:proofErr w:type="spellEnd"/>
      <w:r w:rsidRPr="00A83A29">
        <w:rPr>
          <w:rFonts w:ascii="Arial" w:hAnsi="Arial" w:cs="Times New Roman"/>
          <w:szCs w:val="32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</w:rPr>
        <w:t>is</w:t>
      </w:r>
      <w:proofErr w:type="spellEnd"/>
      <w:r w:rsidRPr="00A83A29">
        <w:rPr>
          <w:rFonts w:ascii="Arial" w:hAnsi="Arial" w:cs="Times New Roman"/>
          <w:szCs w:val="32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</w:rPr>
        <w:t>affected</w:t>
      </w:r>
      <w:proofErr w:type="spellEnd"/>
      <w:r w:rsidRPr="00A83A29">
        <w:rPr>
          <w:rFonts w:ascii="Arial" w:hAnsi="Arial" w:cs="Times New Roman"/>
          <w:szCs w:val="32"/>
        </w:rPr>
        <w:t xml:space="preserve"> by </w:t>
      </w:r>
      <w:proofErr w:type="spellStart"/>
      <w:r w:rsidRPr="00A83A29">
        <w:rPr>
          <w:rFonts w:ascii="Arial" w:hAnsi="Arial" w:cs="Times New Roman"/>
          <w:szCs w:val="32"/>
        </w:rPr>
        <w:t>many</w:t>
      </w:r>
      <w:proofErr w:type="spellEnd"/>
      <w:r w:rsidRPr="00A83A29">
        <w:rPr>
          <w:rFonts w:ascii="Arial" w:hAnsi="Arial" w:cs="Times New Roman"/>
          <w:szCs w:val="32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</w:rPr>
        <w:t>parameters</w:t>
      </w:r>
      <w:proofErr w:type="spellEnd"/>
      <w:r w:rsidRPr="00A83A29">
        <w:rPr>
          <w:rFonts w:ascii="Arial" w:hAnsi="Arial" w:cs="Times New Roman"/>
          <w:szCs w:val="32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</w:rPr>
        <w:t>which</w:t>
      </w:r>
      <w:proofErr w:type="spellEnd"/>
      <w:r w:rsidRPr="00A83A29">
        <w:rPr>
          <w:rFonts w:ascii="Arial" w:hAnsi="Arial" w:cs="Times New Roman"/>
          <w:szCs w:val="32"/>
        </w:rPr>
        <w:t xml:space="preserve"> are </w:t>
      </w:r>
      <w:proofErr w:type="spellStart"/>
      <w:r w:rsidRPr="00A83A29">
        <w:rPr>
          <w:rFonts w:ascii="Arial" w:hAnsi="Arial" w:cs="Times New Roman"/>
          <w:szCs w:val="32"/>
        </w:rPr>
        <w:t>unrelated</w:t>
      </w:r>
      <w:proofErr w:type="spellEnd"/>
      <w:r w:rsidRPr="00A83A29">
        <w:rPr>
          <w:rFonts w:ascii="Arial" w:hAnsi="Arial" w:cs="Times New Roman"/>
          <w:szCs w:val="32"/>
        </w:rPr>
        <w:t xml:space="preserve"> to </w:t>
      </w:r>
      <w:proofErr w:type="spellStart"/>
      <w:r w:rsidRPr="00A83A29">
        <w:rPr>
          <w:rFonts w:ascii="Arial" w:hAnsi="Arial" w:cs="Times New Roman"/>
          <w:szCs w:val="32"/>
        </w:rPr>
        <w:t>visual</w:t>
      </w:r>
      <w:proofErr w:type="spellEnd"/>
      <w:r w:rsidRPr="00A83A29">
        <w:rPr>
          <w:rFonts w:ascii="Arial" w:hAnsi="Arial" w:cs="Times New Roman"/>
          <w:szCs w:val="32"/>
        </w:rPr>
        <w:t xml:space="preserve"> stimulation</w:t>
      </w:r>
      <w:r>
        <w:rPr>
          <w:rFonts w:ascii="Arial" w:hAnsi="Arial" w:cs="Times New Roman"/>
          <w:szCs w:val="32"/>
        </w:rPr>
        <w:t xml:space="preserve">, </w:t>
      </w:r>
      <w:proofErr w:type="spellStart"/>
      <w:r>
        <w:rPr>
          <w:rFonts w:ascii="Arial" w:hAnsi="Arial" w:cs="Times New Roman"/>
          <w:szCs w:val="32"/>
        </w:rPr>
        <w:t>such</w:t>
      </w:r>
      <w:proofErr w:type="spellEnd"/>
      <w:r>
        <w:rPr>
          <w:rFonts w:ascii="Arial" w:hAnsi="Arial" w:cs="Times New Roman"/>
          <w:szCs w:val="32"/>
        </w:rPr>
        <w:t xml:space="preserve"> as </w:t>
      </w:r>
      <w:proofErr w:type="spellStart"/>
      <w:r w:rsidRPr="00A83A29">
        <w:rPr>
          <w:rFonts w:ascii="Arial" w:hAnsi="Arial" w:cs="Times New Roman"/>
          <w:szCs w:val="32"/>
        </w:rPr>
        <w:t>emotions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,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target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detection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,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decision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making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, and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others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.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However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, the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most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widely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recognized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cognitive factor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influencing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pupil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size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is</w:t>
      </w:r>
      <w:proofErr w:type="spellEnd"/>
      <w:r w:rsidRPr="00A83A29">
        <w:rPr>
          <w:rFonts w:ascii="Arial" w:hAnsi="Arial" w:cs="Times New Roman"/>
          <w:szCs w:val="32"/>
          <w:u w:color="243778"/>
        </w:rPr>
        <w:t xml:space="preserve"> mental </w:t>
      </w:r>
      <w:proofErr w:type="spellStart"/>
      <w:r w:rsidRPr="00A83A29">
        <w:rPr>
          <w:rFonts w:ascii="Arial" w:hAnsi="Arial" w:cs="Times New Roman"/>
          <w:szCs w:val="32"/>
          <w:u w:color="243778"/>
        </w:rPr>
        <w:t>load</w:t>
      </w:r>
      <w:proofErr w:type="spellEnd"/>
      <w:r>
        <w:rPr>
          <w:rFonts w:ascii="Arial" w:hAnsi="Arial" w:cs="Times New Roman"/>
          <w:szCs w:val="32"/>
          <w:u w:color="243778"/>
        </w:rPr>
        <w:t xml:space="preserve">. For </w:t>
      </w:r>
      <w:proofErr w:type="spellStart"/>
      <w:r>
        <w:rPr>
          <w:rFonts w:ascii="Arial" w:hAnsi="Arial" w:cs="Times New Roman"/>
          <w:szCs w:val="32"/>
          <w:u w:color="243778"/>
        </w:rPr>
        <w:t>such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>
        <w:rPr>
          <w:rFonts w:ascii="Arial" w:hAnsi="Arial" w:cs="Times New Roman"/>
          <w:szCs w:val="32"/>
          <w:u w:color="243778"/>
        </w:rPr>
        <w:t>reasons</w:t>
      </w:r>
      <w:proofErr w:type="spellEnd"/>
      <w:r>
        <w:rPr>
          <w:rFonts w:ascii="Arial" w:hAnsi="Arial" w:cs="Times New Roman"/>
          <w:szCs w:val="32"/>
          <w:u w:color="243778"/>
        </w:rPr>
        <w:t xml:space="preserve">, </w:t>
      </w:r>
      <w:proofErr w:type="spellStart"/>
      <w:r>
        <w:rPr>
          <w:rFonts w:ascii="Arial" w:hAnsi="Arial" w:cs="Times New Roman"/>
          <w:szCs w:val="32"/>
          <w:u w:color="243778"/>
        </w:rPr>
        <w:t>pupil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>
        <w:rPr>
          <w:rFonts w:ascii="Arial" w:hAnsi="Arial" w:cs="Times New Roman"/>
          <w:szCs w:val="32"/>
          <w:u w:color="243778"/>
        </w:rPr>
        <w:t>diameter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modifications </w:t>
      </w:r>
      <w:proofErr w:type="spellStart"/>
      <w:r>
        <w:rPr>
          <w:rFonts w:ascii="Arial" w:hAnsi="Arial" w:cs="Times New Roman"/>
          <w:szCs w:val="32"/>
          <w:u w:color="243778"/>
        </w:rPr>
        <w:t>were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>
        <w:rPr>
          <w:rFonts w:ascii="Arial" w:hAnsi="Arial" w:cs="Times New Roman"/>
          <w:szCs w:val="32"/>
          <w:u w:color="243778"/>
        </w:rPr>
        <w:t>integrated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as </w:t>
      </w:r>
      <w:proofErr w:type="spellStart"/>
      <w:r>
        <w:rPr>
          <w:rFonts w:ascii="Arial" w:hAnsi="Arial" w:cs="Times New Roman"/>
          <w:szCs w:val="32"/>
          <w:u w:color="243778"/>
        </w:rPr>
        <w:t>physiological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>
        <w:rPr>
          <w:rFonts w:ascii="Arial" w:hAnsi="Arial" w:cs="Times New Roman"/>
          <w:szCs w:val="32"/>
          <w:u w:color="243778"/>
        </w:rPr>
        <w:t>parameters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in </w:t>
      </w:r>
      <w:proofErr w:type="spellStart"/>
      <w:r>
        <w:rPr>
          <w:rFonts w:ascii="Arial" w:hAnsi="Arial" w:cs="Times New Roman"/>
          <w:szCs w:val="32"/>
          <w:u w:color="243778"/>
        </w:rPr>
        <w:t>our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</w:t>
      </w:r>
      <w:proofErr w:type="spellStart"/>
      <w:r>
        <w:rPr>
          <w:rFonts w:ascii="Arial" w:hAnsi="Arial" w:cs="Times New Roman"/>
          <w:szCs w:val="32"/>
          <w:u w:color="243778"/>
        </w:rPr>
        <w:t>bench</w:t>
      </w:r>
      <w:proofErr w:type="spellEnd"/>
      <w:r>
        <w:rPr>
          <w:rFonts w:ascii="Arial" w:hAnsi="Arial" w:cs="Times New Roman"/>
          <w:szCs w:val="32"/>
          <w:u w:color="243778"/>
        </w:rPr>
        <w:t xml:space="preserve"> test.</w:t>
      </w:r>
    </w:p>
    <w:p w:rsidR="001F0D52" w:rsidRDefault="001F0D52" w:rsidP="00124672">
      <w:pPr>
        <w:spacing w:line="480" w:lineRule="auto"/>
        <w:jc w:val="both"/>
        <w:rPr>
          <w:rFonts w:ascii="Arial" w:hAnsi="Arial" w:cs="Times New Roman"/>
          <w:szCs w:val="32"/>
          <w:u w:color="243778"/>
        </w:rPr>
      </w:pPr>
    </w:p>
    <w:p w:rsidR="001F0D52" w:rsidRPr="00A83A29" w:rsidRDefault="001F0D52" w:rsidP="001F0D52">
      <w:pPr>
        <w:spacing w:line="480" w:lineRule="auto"/>
        <w:jc w:val="both"/>
        <w:rPr>
          <w:rFonts w:ascii="Arial" w:hAnsi="Arial" w:cs="Times New Roman"/>
          <w:sz w:val="24"/>
          <w:szCs w:val="20"/>
          <w:lang w:val="en-US"/>
        </w:rPr>
      </w:pPr>
      <w:r>
        <w:rPr>
          <w:rFonts w:ascii="Arial" w:hAnsi="Arial" w:cs="Times New Roman"/>
          <w:b/>
          <w:sz w:val="24"/>
          <w:szCs w:val="20"/>
          <w:lang w:val="en-US"/>
        </w:rPr>
        <w:t xml:space="preserve">Additional Figure </w:t>
      </w:r>
      <w:r w:rsidR="001242D2">
        <w:rPr>
          <w:rFonts w:ascii="Arial" w:hAnsi="Arial" w:cs="Times New Roman"/>
          <w:b/>
          <w:sz w:val="24"/>
          <w:szCs w:val="20"/>
          <w:lang w:val="en-US"/>
        </w:rPr>
        <w:t>S</w:t>
      </w:r>
      <w:r>
        <w:rPr>
          <w:rFonts w:ascii="Arial" w:hAnsi="Arial" w:cs="Times New Roman"/>
          <w:b/>
          <w:sz w:val="24"/>
          <w:szCs w:val="20"/>
          <w:lang w:val="en-US"/>
        </w:rPr>
        <w:t>2</w:t>
      </w:r>
      <w:r w:rsidRPr="00A83A29">
        <w:rPr>
          <w:rFonts w:ascii="Arial" w:hAnsi="Arial" w:cs="Times New Roman"/>
          <w:b/>
          <w:sz w:val="24"/>
          <w:szCs w:val="20"/>
          <w:lang w:val="en-US"/>
        </w:rPr>
        <w:t>:</w:t>
      </w:r>
      <w:r w:rsidRPr="00A83A29">
        <w:rPr>
          <w:rFonts w:ascii="Arial" w:hAnsi="Arial" w:cs="Times New Roman"/>
          <w:sz w:val="24"/>
          <w:szCs w:val="20"/>
          <w:lang w:val="en-US"/>
        </w:rPr>
        <w:t xml:space="preserve"> </w:t>
      </w:r>
      <w:r>
        <w:rPr>
          <w:rFonts w:ascii="Arial" w:hAnsi="Arial" w:cs="Times New Roman"/>
          <w:sz w:val="24"/>
          <w:szCs w:val="20"/>
          <w:lang w:val="en-US"/>
        </w:rPr>
        <w:t xml:space="preserve">Overall </w:t>
      </w:r>
      <w:proofErr w:type="spellStart"/>
      <w:r>
        <w:rPr>
          <w:rFonts w:ascii="Arial" w:hAnsi="Arial" w:cs="Times New Roman"/>
          <w:sz w:val="24"/>
          <w:szCs w:val="20"/>
          <w:lang w:val="en-US"/>
        </w:rPr>
        <w:t>inspiratory</w:t>
      </w:r>
      <w:proofErr w:type="spellEnd"/>
      <w:r>
        <w:rPr>
          <w:rFonts w:ascii="Arial" w:hAnsi="Arial" w:cs="Times New Roman"/>
          <w:sz w:val="24"/>
          <w:szCs w:val="20"/>
          <w:lang w:val="en-US"/>
        </w:rPr>
        <w:t xml:space="preserve"> triggering delay</w:t>
      </w:r>
    </w:p>
    <w:p w:rsidR="001F0D52" w:rsidRDefault="001F0D52" w:rsidP="001F0D52">
      <w:pPr>
        <w:spacing w:line="480" w:lineRule="auto"/>
        <w:jc w:val="both"/>
        <w:rPr>
          <w:rFonts w:ascii="Arial" w:hAnsi="Arial" w:cs="Times New Roman"/>
          <w:szCs w:val="20"/>
          <w:lang w:val="en-US"/>
        </w:rPr>
      </w:pPr>
      <w:r w:rsidRPr="00CF64B4">
        <w:rPr>
          <w:rFonts w:ascii="Arial" w:hAnsi="Arial" w:cs="Times New Roman"/>
          <w:szCs w:val="20"/>
          <w:lang w:val="en-US"/>
        </w:rPr>
        <w:t xml:space="preserve">Values are provided as mean + SD. Black box represents DT: triggering delay, </w:t>
      </w:r>
      <w:r w:rsidRPr="00CF64B4">
        <w:rPr>
          <w:rFonts w:ascii="Arial" w:eastAsia="Times New Roman" w:hAnsi="Arial" w:cs="Arial"/>
          <w:szCs w:val="24"/>
          <w:lang w:val="en-US" w:eastAsia="fr-FR"/>
        </w:rPr>
        <w:t xml:space="preserve">from the onset of the airway pressure decay (beginning of the patient’s effort) to flow delivery (beginning of ventilator pressurization); White box represents DP: pressurization delay, from the airway pressure signal rise to a return to positive pressure; DI is </w:t>
      </w:r>
      <w:r>
        <w:rPr>
          <w:rFonts w:ascii="Arial" w:eastAsia="Times New Roman" w:hAnsi="Arial" w:cs="Arial"/>
          <w:szCs w:val="24"/>
          <w:lang w:val="en-US" w:eastAsia="fr-FR"/>
        </w:rPr>
        <w:t xml:space="preserve">the </w:t>
      </w:r>
      <w:r w:rsidRPr="00CF64B4">
        <w:rPr>
          <w:rFonts w:ascii="Arial" w:eastAsia="Times New Roman" w:hAnsi="Arial" w:cs="Arial"/>
          <w:szCs w:val="24"/>
          <w:lang w:val="en-US" w:eastAsia="fr-FR"/>
        </w:rPr>
        <w:t xml:space="preserve">overall </w:t>
      </w:r>
      <w:proofErr w:type="spellStart"/>
      <w:r w:rsidRPr="00CF64B4">
        <w:rPr>
          <w:rFonts w:ascii="Arial" w:eastAsia="Times New Roman" w:hAnsi="Arial" w:cs="Arial"/>
          <w:szCs w:val="24"/>
          <w:lang w:val="en-US" w:eastAsia="fr-FR"/>
        </w:rPr>
        <w:t>inspiratory</w:t>
      </w:r>
      <w:proofErr w:type="spellEnd"/>
      <w:r w:rsidRPr="00CF64B4">
        <w:rPr>
          <w:rFonts w:ascii="Arial" w:eastAsia="Times New Roman" w:hAnsi="Arial" w:cs="Arial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szCs w:val="24"/>
          <w:lang w:val="en-US" w:eastAsia="fr-FR"/>
        </w:rPr>
        <w:t xml:space="preserve">triggering </w:t>
      </w:r>
      <w:r w:rsidRPr="00CF64B4">
        <w:rPr>
          <w:rFonts w:ascii="Arial" w:eastAsia="Times New Roman" w:hAnsi="Arial" w:cs="Arial"/>
          <w:szCs w:val="24"/>
          <w:lang w:val="en-US" w:eastAsia="fr-FR"/>
        </w:rPr>
        <w:t>delay (DT + DP)</w:t>
      </w:r>
      <w:r w:rsidRPr="00CF64B4">
        <w:rPr>
          <w:rFonts w:ascii="Arial" w:hAnsi="Arial" w:cs="Times New Roman"/>
          <w:szCs w:val="20"/>
          <w:lang w:val="en-US"/>
        </w:rPr>
        <w:t>.</w:t>
      </w:r>
    </w:p>
    <w:p w:rsidR="001F0D52" w:rsidRPr="00CF64B4" w:rsidRDefault="001F0D52" w:rsidP="001F0D52">
      <w:pPr>
        <w:spacing w:line="480" w:lineRule="auto"/>
        <w:jc w:val="both"/>
        <w:rPr>
          <w:rFonts w:ascii="Arial" w:hAnsi="Arial" w:cs="Times New Roman"/>
          <w:szCs w:val="20"/>
          <w:lang w:val="en-US"/>
        </w:rPr>
      </w:pPr>
      <w:r>
        <w:rPr>
          <w:rFonts w:ascii="Arial" w:hAnsi="Arial" w:cs="Times New Roman"/>
          <w:szCs w:val="20"/>
          <w:lang w:val="en-US"/>
        </w:rPr>
        <w:t xml:space="preserve">No differences could be observed in terms of </w:t>
      </w:r>
      <w:proofErr w:type="spellStart"/>
      <w:r>
        <w:rPr>
          <w:rFonts w:ascii="Arial" w:hAnsi="Arial" w:cs="Times New Roman"/>
          <w:szCs w:val="20"/>
          <w:lang w:val="en-US"/>
        </w:rPr>
        <w:t>inspiratory</w:t>
      </w:r>
      <w:proofErr w:type="spellEnd"/>
      <w:r>
        <w:rPr>
          <w:rFonts w:ascii="Arial" w:hAnsi="Arial" w:cs="Times New Roman"/>
          <w:szCs w:val="20"/>
          <w:lang w:val="en-US"/>
        </w:rPr>
        <w:t xml:space="preserve"> triggering delay in between devices.</w:t>
      </w:r>
    </w:p>
    <w:p w:rsidR="00A43276" w:rsidRDefault="00A43276" w:rsidP="00124672">
      <w:pPr>
        <w:spacing w:line="480" w:lineRule="auto"/>
        <w:jc w:val="both"/>
        <w:rPr>
          <w:rFonts w:ascii="Arial" w:hAnsi="Arial" w:cs="Times New Roman"/>
          <w:szCs w:val="32"/>
          <w:u w:color="243778"/>
        </w:rPr>
      </w:pPr>
    </w:p>
    <w:p w:rsidR="00A43276" w:rsidRPr="00A83A29" w:rsidRDefault="00A43276" w:rsidP="00A43276">
      <w:pPr>
        <w:spacing w:line="480" w:lineRule="auto"/>
        <w:jc w:val="both"/>
        <w:rPr>
          <w:rFonts w:ascii="Arial" w:hAnsi="Arial" w:cs="Times New Roman"/>
          <w:sz w:val="24"/>
          <w:szCs w:val="20"/>
          <w:lang w:val="en-US"/>
        </w:rPr>
      </w:pPr>
      <w:r w:rsidRPr="00A83A29">
        <w:rPr>
          <w:rFonts w:ascii="Arial" w:hAnsi="Arial" w:cs="Times New Roman"/>
          <w:b/>
          <w:sz w:val="24"/>
          <w:szCs w:val="20"/>
          <w:lang w:val="en-US"/>
        </w:rPr>
        <w:t xml:space="preserve">Additional Figure </w:t>
      </w:r>
      <w:r w:rsidR="001242D2">
        <w:rPr>
          <w:rFonts w:ascii="Arial" w:hAnsi="Arial" w:cs="Times New Roman"/>
          <w:b/>
          <w:sz w:val="24"/>
          <w:szCs w:val="20"/>
          <w:lang w:val="en-US"/>
        </w:rPr>
        <w:t>S</w:t>
      </w:r>
      <w:r w:rsidR="00C55684">
        <w:rPr>
          <w:rFonts w:ascii="Arial" w:hAnsi="Arial" w:cs="Times New Roman"/>
          <w:b/>
          <w:sz w:val="24"/>
          <w:szCs w:val="20"/>
          <w:lang w:val="en-US"/>
        </w:rPr>
        <w:t>3</w:t>
      </w:r>
      <w:r w:rsidRPr="00A83A29">
        <w:rPr>
          <w:rFonts w:ascii="Arial" w:hAnsi="Arial" w:cs="Times New Roman"/>
          <w:b/>
          <w:sz w:val="24"/>
          <w:szCs w:val="20"/>
          <w:lang w:val="en-US"/>
        </w:rPr>
        <w:t>:</w:t>
      </w:r>
      <w:r w:rsidRPr="00A83A29">
        <w:rPr>
          <w:rFonts w:ascii="Arial" w:hAnsi="Arial" w:cs="Times New Roman"/>
          <w:sz w:val="24"/>
          <w:szCs w:val="20"/>
          <w:lang w:val="en-US"/>
        </w:rPr>
        <w:t xml:space="preserve"> </w:t>
      </w:r>
      <w:r>
        <w:rPr>
          <w:rFonts w:ascii="Arial" w:hAnsi="Arial" w:cs="Times New Roman"/>
          <w:sz w:val="24"/>
          <w:szCs w:val="20"/>
          <w:lang w:val="en-US"/>
        </w:rPr>
        <w:t>Asynchrony types for each device in the noninvasive ventilation mode</w:t>
      </w:r>
    </w:p>
    <w:p w:rsidR="00BD6DF9" w:rsidRPr="00405800" w:rsidRDefault="00A43276" w:rsidP="00A43276">
      <w:pPr>
        <w:spacing w:line="480" w:lineRule="auto"/>
        <w:jc w:val="both"/>
        <w:rPr>
          <w:rFonts w:ascii="Arial" w:hAnsi="Arial"/>
          <w:lang w:val="en-US"/>
        </w:rPr>
      </w:pPr>
      <w:r w:rsidRPr="006C361D">
        <w:rPr>
          <w:rFonts w:ascii="Arial" w:hAnsi="Arial" w:cs="Times New Roman"/>
          <w:szCs w:val="20"/>
          <w:lang w:val="en-US"/>
        </w:rPr>
        <w:t>Remaining asynchrony types were evaluated for each device under the NIV mode.</w:t>
      </w:r>
      <w:r w:rsidR="006818BA" w:rsidRPr="006C361D">
        <w:rPr>
          <w:rFonts w:ascii="Arial" w:hAnsi="Arial" w:cs="Times New Roman"/>
          <w:szCs w:val="20"/>
          <w:lang w:val="en-US"/>
        </w:rPr>
        <w:t xml:space="preserve"> </w:t>
      </w:r>
      <w:r w:rsidR="002C5822">
        <w:rPr>
          <w:rFonts w:ascii="Arial" w:hAnsi="Arial" w:cs="Times New Roman"/>
          <w:szCs w:val="20"/>
          <w:lang w:val="en-US"/>
        </w:rPr>
        <w:t xml:space="preserve">Two devices depicted an AI below 10% under the NIV mode (R860 and Servo U). </w:t>
      </w:r>
      <w:r w:rsidR="006818BA" w:rsidRPr="006C361D">
        <w:rPr>
          <w:rFonts w:ascii="Arial" w:hAnsi="Arial" w:cs="Times New Roman"/>
          <w:szCs w:val="20"/>
          <w:lang w:val="en-US"/>
        </w:rPr>
        <w:t xml:space="preserve">Most frequent asynchronies were prolonged cycles and ineffective efforts (IE), </w:t>
      </w:r>
      <w:r w:rsidR="006818BA" w:rsidRPr="00405800">
        <w:rPr>
          <w:rFonts w:ascii="Arial" w:hAnsi="Arial"/>
          <w:lang w:val="en-US"/>
        </w:rPr>
        <w:t>IE being most of the time associated with prolonged cycles.</w:t>
      </w:r>
    </w:p>
    <w:p w:rsidR="009330C8" w:rsidRPr="00405800" w:rsidRDefault="00BD6DF9" w:rsidP="00A43276">
      <w:pPr>
        <w:spacing w:line="480" w:lineRule="auto"/>
        <w:jc w:val="both"/>
        <w:rPr>
          <w:rFonts w:ascii="Arial" w:hAnsi="Arial" w:cs="Times New Roman"/>
          <w:szCs w:val="32"/>
          <w:u w:color="243778"/>
        </w:rPr>
      </w:pPr>
      <w:r w:rsidRPr="00405800">
        <w:rPr>
          <w:rFonts w:ascii="Arial" w:hAnsi="Arial"/>
          <w:lang w:val="en-US"/>
        </w:rPr>
        <w:t>* P&lt;0.05</w:t>
      </w:r>
    </w:p>
    <w:p w:rsidR="009330C8" w:rsidRDefault="009330C8" w:rsidP="00124672">
      <w:pPr>
        <w:spacing w:line="480" w:lineRule="auto"/>
        <w:jc w:val="both"/>
        <w:rPr>
          <w:rFonts w:ascii="Arial" w:hAnsi="Arial" w:cs="Times New Roman"/>
          <w:szCs w:val="32"/>
          <w:u w:color="243778"/>
        </w:rPr>
      </w:pPr>
    </w:p>
    <w:p w:rsidR="00124672" w:rsidRPr="00A83A29" w:rsidRDefault="00124672" w:rsidP="00124672">
      <w:pPr>
        <w:spacing w:line="480" w:lineRule="auto"/>
        <w:jc w:val="both"/>
        <w:rPr>
          <w:rFonts w:ascii="Arial" w:hAnsi="Arial" w:cs="Times New Roman"/>
          <w:szCs w:val="20"/>
          <w:lang w:val="en-US"/>
        </w:rPr>
      </w:pPr>
    </w:p>
    <w:p w:rsidR="008C321E" w:rsidRPr="00440D21" w:rsidRDefault="008C321E">
      <w:pPr>
        <w:rPr>
          <w:lang w:val="en-US"/>
        </w:rPr>
      </w:pPr>
    </w:p>
    <w:sectPr w:rsidR="008C321E" w:rsidRPr="00440D21" w:rsidSect="00EA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3B82"/>
    <w:multiLevelType w:val="hybridMultilevel"/>
    <w:tmpl w:val="5D807724"/>
    <w:lvl w:ilvl="0" w:tplc="EBC0B0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78C1"/>
    <w:multiLevelType w:val="hybridMultilevel"/>
    <w:tmpl w:val="CBD653E2"/>
    <w:lvl w:ilvl="0" w:tplc="935259C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461CD0"/>
    <w:rsid w:val="00052B71"/>
    <w:rsid w:val="000850FD"/>
    <w:rsid w:val="000D4A36"/>
    <w:rsid w:val="001242D2"/>
    <w:rsid w:val="00124672"/>
    <w:rsid w:val="00135A31"/>
    <w:rsid w:val="00183854"/>
    <w:rsid w:val="001A545C"/>
    <w:rsid w:val="001A7248"/>
    <w:rsid w:val="001D4F1B"/>
    <w:rsid w:val="001E6B37"/>
    <w:rsid w:val="001F0D52"/>
    <w:rsid w:val="0020656A"/>
    <w:rsid w:val="00272C03"/>
    <w:rsid w:val="002772F8"/>
    <w:rsid w:val="00277B63"/>
    <w:rsid w:val="002B0679"/>
    <w:rsid w:val="002C5822"/>
    <w:rsid w:val="003445CB"/>
    <w:rsid w:val="003B5D81"/>
    <w:rsid w:val="003E161A"/>
    <w:rsid w:val="003F5C30"/>
    <w:rsid w:val="00404EC5"/>
    <w:rsid w:val="00405800"/>
    <w:rsid w:val="00440D21"/>
    <w:rsid w:val="00461CD0"/>
    <w:rsid w:val="004C7479"/>
    <w:rsid w:val="004E5C32"/>
    <w:rsid w:val="00544553"/>
    <w:rsid w:val="00596413"/>
    <w:rsid w:val="005A433D"/>
    <w:rsid w:val="005D23E3"/>
    <w:rsid w:val="005E316A"/>
    <w:rsid w:val="005E4E37"/>
    <w:rsid w:val="006136FB"/>
    <w:rsid w:val="006818BA"/>
    <w:rsid w:val="0068478D"/>
    <w:rsid w:val="00696D89"/>
    <w:rsid w:val="006B1535"/>
    <w:rsid w:val="006C0B6D"/>
    <w:rsid w:val="006C361D"/>
    <w:rsid w:val="006D008D"/>
    <w:rsid w:val="006D56F4"/>
    <w:rsid w:val="006F5F54"/>
    <w:rsid w:val="00733401"/>
    <w:rsid w:val="00796E03"/>
    <w:rsid w:val="007B133B"/>
    <w:rsid w:val="0081348D"/>
    <w:rsid w:val="0083643A"/>
    <w:rsid w:val="008C321E"/>
    <w:rsid w:val="008C7141"/>
    <w:rsid w:val="008E3266"/>
    <w:rsid w:val="00911E3B"/>
    <w:rsid w:val="00924CCF"/>
    <w:rsid w:val="009330C8"/>
    <w:rsid w:val="00935F15"/>
    <w:rsid w:val="00974860"/>
    <w:rsid w:val="009C13B0"/>
    <w:rsid w:val="00A07521"/>
    <w:rsid w:val="00A10D15"/>
    <w:rsid w:val="00A24812"/>
    <w:rsid w:val="00A42312"/>
    <w:rsid w:val="00A43276"/>
    <w:rsid w:val="00A83A29"/>
    <w:rsid w:val="00A875D9"/>
    <w:rsid w:val="00AA00C2"/>
    <w:rsid w:val="00AF652A"/>
    <w:rsid w:val="00B74C82"/>
    <w:rsid w:val="00BB71E4"/>
    <w:rsid w:val="00BD6DF9"/>
    <w:rsid w:val="00BE0A43"/>
    <w:rsid w:val="00C40F5F"/>
    <w:rsid w:val="00C55684"/>
    <w:rsid w:val="00C8144C"/>
    <w:rsid w:val="00C91AF2"/>
    <w:rsid w:val="00C952B9"/>
    <w:rsid w:val="00CA1F52"/>
    <w:rsid w:val="00CF64B4"/>
    <w:rsid w:val="00D00463"/>
    <w:rsid w:val="00D30FE0"/>
    <w:rsid w:val="00D52EEA"/>
    <w:rsid w:val="00D66532"/>
    <w:rsid w:val="00D764E0"/>
    <w:rsid w:val="00E148F3"/>
    <w:rsid w:val="00E24F81"/>
    <w:rsid w:val="00E33380"/>
    <w:rsid w:val="00EA7C77"/>
    <w:rsid w:val="00ED4F8B"/>
    <w:rsid w:val="00EE04C5"/>
    <w:rsid w:val="00EE5251"/>
    <w:rsid w:val="00F3275F"/>
    <w:rsid w:val="00F373AA"/>
    <w:rsid w:val="00F733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C7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0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A4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A4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46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A4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A43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A433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">
    <w:name w:val="p"/>
    <w:basedOn w:val="Normal"/>
    <w:rsid w:val="005A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433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D008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E5251"/>
    <w:pPr>
      <w:ind w:left="720"/>
      <w:contextualSpacing/>
    </w:pPr>
  </w:style>
  <w:style w:type="paragraph" w:styleId="En-tte">
    <w:name w:val="header"/>
    <w:basedOn w:val="Normal"/>
    <w:link w:val="En-tteCar"/>
    <w:rsid w:val="009C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C13B0"/>
  </w:style>
  <w:style w:type="paragraph" w:styleId="Pieddepage">
    <w:name w:val="footer"/>
    <w:basedOn w:val="Normal"/>
    <w:link w:val="PieddepageCar"/>
    <w:rsid w:val="009C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C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8565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Marjanovic</dc:creator>
  <cp:lastModifiedBy>Maison</cp:lastModifiedBy>
  <cp:revision>2</cp:revision>
  <dcterms:created xsi:type="dcterms:W3CDTF">2017-06-15T04:09:00Z</dcterms:created>
  <dcterms:modified xsi:type="dcterms:W3CDTF">2017-06-15T04:09:00Z</dcterms:modified>
</cp:coreProperties>
</file>