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CA271" w14:textId="66910CBB" w:rsidR="00CD11DC" w:rsidRPr="00B20F04" w:rsidRDefault="00CD11DC" w:rsidP="00F13CDF">
      <w:pPr>
        <w:keepNext w:val="0"/>
        <w:spacing w:afterLines="120" w:after="288" w:line="480" w:lineRule="auto"/>
        <w:rPr>
          <w:b/>
          <w:noProof/>
          <w:sz w:val="28"/>
          <w:szCs w:val="28"/>
          <w:lang w:val="en-US" w:eastAsia="en-GB"/>
        </w:rPr>
      </w:pPr>
      <w:r w:rsidRPr="00B20F04">
        <w:rPr>
          <w:b/>
          <w:noProof/>
          <w:sz w:val="28"/>
          <w:szCs w:val="28"/>
          <w:lang w:val="en-US" w:eastAsia="en-GB"/>
        </w:rPr>
        <w:t>Additional File 1</w:t>
      </w:r>
    </w:p>
    <w:p w14:paraId="0B478AF8" w14:textId="0971A1D2" w:rsidR="001256BD" w:rsidRPr="00B20F04" w:rsidRDefault="001256BD" w:rsidP="001256BD">
      <w:pPr>
        <w:keepNext w:val="0"/>
        <w:spacing w:afterLines="120" w:after="288" w:line="480" w:lineRule="auto"/>
        <w:rPr>
          <w:b/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t>Supplementary Table 1.</w:t>
      </w:r>
      <w:r w:rsidRPr="00B20F04">
        <w:rPr>
          <w:noProof/>
          <w:szCs w:val="24"/>
          <w:lang w:val="en-US" w:eastAsia="en-GB"/>
        </w:rPr>
        <w:t xml:space="preserve"> Analysis of sustained CID events by previous treatment with a LABA and / or LAMA (ITT popu</w:t>
      </w:r>
      <w:bookmarkStart w:id="0" w:name="_GoBack"/>
      <w:bookmarkEnd w:id="0"/>
      <w:r w:rsidRPr="00B20F04">
        <w:rPr>
          <w:noProof/>
          <w:szCs w:val="24"/>
          <w:lang w:val="en-US" w:eastAsia="en-GB"/>
        </w:rPr>
        <w:t>lation)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0"/>
        <w:gridCol w:w="1655"/>
        <w:gridCol w:w="1538"/>
        <w:gridCol w:w="1498"/>
        <w:gridCol w:w="1495"/>
      </w:tblGrid>
      <w:tr w:rsidR="001256BD" w:rsidRPr="00B20F04" w14:paraId="1208009A" w14:textId="77777777" w:rsidTr="000E275B">
        <w:trPr>
          <w:trHeight w:val="285"/>
        </w:trPr>
        <w:tc>
          <w:tcPr>
            <w:tcW w:w="157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B14D9" w14:textId="299695F8" w:rsidR="001256BD" w:rsidRPr="00B20F04" w:rsidRDefault="009A5FC7" w:rsidP="009A5FC7">
            <w:pPr>
              <w:keepNext w:val="0"/>
              <w:spacing w:after="0" w:line="480" w:lineRule="auto"/>
              <w:rPr>
                <w:b/>
                <w:szCs w:val="36"/>
                <w:lang w:eastAsia="en-GB"/>
              </w:rPr>
            </w:pPr>
            <w:r w:rsidRPr="00B20F04">
              <w:rPr>
                <w:b/>
                <w:color w:val="000000"/>
                <w:kern w:val="24"/>
                <w:szCs w:val="22"/>
                <w:lang w:eastAsia="en-GB"/>
              </w:rPr>
              <w:t>Prior</w:t>
            </w:r>
            <w:r w:rsidR="001256BD" w:rsidRPr="00B20F04">
              <w:rPr>
                <w:b/>
                <w:color w:val="000000"/>
                <w:kern w:val="24"/>
                <w:szCs w:val="22"/>
                <w:lang w:eastAsia="en-GB"/>
              </w:rPr>
              <w:t xml:space="preserve"> LABA or LAMA</w:t>
            </w:r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BB0FC" w14:textId="77777777" w:rsidR="001256BD" w:rsidRPr="00B20F04" w:rsidRDefault="001256BD" w:rsidP="000E275B">
            <w:pPr>
              <w:keepNext w:val="0"/>
              <w:spacing w:after="0" w:line="480" w:lineRule="auto"/>
              <w:jc w:val="center"/>
              <w:textAlignment w:val="bottom"/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</w:pP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t xml:space="preserve">AB/FF </w:t>
            </w: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br/>
              <w:t>400/12 µg</w:t>
            </w:r>
          </w:p>
        </w:tc>
        <w:tc>
          <w:tcPr>
            <w:tcW w:w="85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17974" w14:textId="77777777" w:rsidR="001256BD" w:rsidRPr="00B20F04" w:rsidRDefault="001256BD" w:rsidP="000E275B">
            <w:pPr>
              <w:keepNext w:val="0"/>
              <w:spacing w:after="0" w:line="480" w:lineRule="auto"/>
              <w:jc w:val="center"/>
              <w:textAlignment w:val="bottom"/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</w:pP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t xml:space="preserve">AB </w:t>
            </w: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br/>
              <w:t>400 µg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D430A" w14:textId="77777777" w:rsidR="001256BD" w:rsidRPr="00B20F04" w:rsidRDefault="001256BD" w:rsidP="000E275B">
            <w:pPr>
              <w:keepNext w:val="0"/>
              <w:spacing w:after="0" w:line="480" w:lineRule="auto"/>
              <w:jc w:val="center"/>
              <w:textAlignment w:val="bottom"/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</w:pP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t xml:space="preserve">FF </w:t>
            </w: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br/>
              <w:t>12 µg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719FB0" w14:textId="77777777" w:rsidR="001256BD" w:rsidRPr="00B20F04" w:rsidRDefault="001256BD" w:rsidP="000E275B">
            <w:pPr>
              <w:keepNext w:val="0"/>
              <w:spacing w:after="0" w:line="480" w:lineRule="auto"/>
              <w:jc w:val="center"/>
              <w:textAlignment w:val="bottom"/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</w:pP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t>Placebo</w:t>
            </w:r>
          </w:p>
        </w:tc>
      </w:tr>
      <w:tr w:rsidR="001256BD" w:rsidRPr="00B20F04" w14:paraId="5881AF8E" w14:textId="77777777" w:rsidTr="000E275B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BC95E" w14:textId="1BEB05AB" w:rsidR="001256BD" w:rsidRPr="00B20F04" w:rsidRDefault="009A5FC7" w:rsidP="000E275B">
            <w:pPr>
              <w:keepNext w:val="0"/>
              <w:spacing w:after="0" w:line="480" w:lineRule="auto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Yes, 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9088B" w14:textId="1A738BB4" w:rsidR="001256BD" w:rsidRPr="00B20F04" w:rsidRDefault="009A5FC7" w:rsidP="000E275B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355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99DD4" w14:textId="07DAD879" w:rsidR="001256BD" w:rsidRPr="00B20F04" w:rsidRDefault="009A5FC7" w:rsidP="000E275B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371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8A5FC" w14:textId="31FE6479" w:rsidR="001256BD" w:rsidRPr="00B20F04" w:rsidRDefault="009A5FC7" w:rsidP="000E275B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362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2F047177" w14:textId="3FC9B681" w:rsidR="001256BD" w:rsidRPr="00B20F04" w:rsidRDefault="009A5FC7" w:rsidP="000E275B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254</w:t>
            </w:r>
          </w:p>
        </w:tc>
      </w:tr>
      <w:tr w:rsidR="009A5FC7" w:rsidRPr="00B20F04" w14:paraId="3A8EA8CB" w14:textId="77777777" w:rsidTr="00715B3D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8C5D0" w14:textId="77777777" w:rsidR="009A5FC7" w:rsidRPr="00B20F04" w:rsidRDefault="009A5FC7" w:rsidP="009A5FC7">
            <w:pPr>
              <w:keepNext w:val="0"/>
              <w:spacing w:after="0" w:line="480" w:lineRule="auto"/>
              <w:ind w:left="170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placebo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96D44" w14:textId="493D93D0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0.55***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1A618" w14:textId="265B813B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0.48***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DAFC5" w14:textId="1206CB20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0.74*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428D1C97" w14:textId="77777777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-</w:t>
            </w:r>
          </w:p>
        </w:tc>
      </w:tr>
      <w:tr w:rsidR="009A5FC7" w:rsidRPr="00B20F04" w14:paraId="33F0F41B" w14:textId="77777777" w:rsidTr="00715B3D">
        <w:trPr>
          <w:trHeight w:val="285"/>
        </w:trPr>
        <w:tc>
          <w:tcPr>
            <w:tcW w:w="157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E48B8" w14:textId="77777777" w:rsidR="009A5FC7" w:rsidRPr="00B20F04" w:rsidRDefault="009A5FC7" w:rsidP="009A5FC7">
            <w:pPr>
              <w:keepNext w:val="0"/>
              <w:spacing w:after="0" w:line="480" w:lineRule="auto"/>
              <w:ind w:left="170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AB 400 µg</w:t>
            </w:r>
          </w:p>
        </w:tc>
        <w:tc>
          <w:tcPr>
            <w:tcW w:w="9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86D93" w14:textId="2CC1975B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1.16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052C2" w14:textId="60FC5791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39259" w14:textId="4BB840D3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lang w:eastAsia="en-GB"/>
              </w:rPr>
            </w:pPr>
            <w:r w:rsidRPr="00B20F04">
              <w:rPr>
                <w:lang w:eastAsia="en-GB"/>
              </w:rPr>
              <w:t>-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</w:tcPr>
          <w:p w14:paraId="4002512D" w14:textId="77777777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lang w:eastAsia="en-GB"/>
              </w:rPr>
            </w:pPr>
            <w:r w:rsidRPr="00B20F04">
              <w:rPr>
                <w:lang w:eastAsia="en-GB"/>
              </w:rPr>
              <w:t>-</w:t>
            </w:r>
          </w:p>
        </w:tc>
      </w:tr>
      <w:tr w:rsidR="009A5FC7" w:rsidRPr="00B20F04" w14:paraId="660866B7" w14:textId="77777777" w:rsidTr="00715B3D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7199" w14:textId="77777777" w:rsidR="009A5FC7" w:rsidRPr="00B20F04" w:rsidRDefault="009A5FC7" w:rsidP="009A5FC7">
            <w:pPr>
              <w:keepNext w:val="0"/>
              <w:spacing w:after="0" w:line="480" w:lineRule="auto"/>
              <w:ind w:left="170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FF 12 µg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C07E" w14:textId="16CFDBC2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0.75*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8674F" w14:textId="72078915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0.65***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0AC1" w14:textId="769BAEBF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96BC6" w14:textId="77777777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</w:tr>
      <w:tr w:rsidR="001256BD" w:rsidRPr="00B20F04" w14:paraId="4E45DAB4" w14:textId="77777777" w:rsidTr="000E275B">
        <w:trPr>
          <w:trHeight w:val="285"/>
        </w:trPr>
        <w:tc>
          <w:tcPr>
            <w:tcW w:w="15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967E0" w14:textId="2C1ADE90" w:rsidR="001256BD" w:rsidRPr="00B20F04" w:rsidRDefault="009A5FC7" w:rsidP="000E275B">
            <w:pPr>
              <w:keepNext w:val="0"/>
              <w:spacing w:after="0" w:line="480" w:lineRule="auto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No</w:t>
            </w:r>
            <w:r w:rsidR="001256BD" w:rsidRPr="00B20F04">
              <w:rPr>
                <w:color w:val="000000"/>
                <w:kern w:val="24"/>
                <w:szCs w:val="22"/>
                <w:lang w:eastAsia="en-GB"/>
              </w:rPr>
              <w:t>, n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2DDB5" w14:textId="41096581" w:rsidR="001256BD" w:rsidRPr="00B20F04" w:rsidRDefault="009A5FC7" w:rsidP="000E275B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365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040CC" w14:textId="17ACD8A6" w:rsidR="001256BD" w:rsidRPr="00B20F04" w:rsidRDefault="009A5FC7" w:rsidP="000E275B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349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295FE" w14:textId="2EDF610F" w:rsidR="001256BD" w:rsidRPr="00B20F04" w:rsidRDefault="009A5FC7" w:rsidP="000E275B">
            <w:pPr>
              <w:keepNext w:val="0"/>
              <w:spacing w:after="0" w:line="480" w:lineRule="auto"/>
              <w:jc w:val="center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353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right w:val="nil"/>
            </w:tcBorders>
          </w:tcPr>
          <w:p w14:paraId="48B120D8" w14:textId="7E0B169E" w:rsidR="001256BD" w:rsidRPr="00B20F04" w:rsidRDefault="009A5FC7" w:rsidP="000E275B">
            <w:pPr>
              <w:keepNext w:val="0"/>
              <w:spacing w:after="0" w:line="480" w:lineRule="auto"/>
              <w:jc w:val="center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271</w:t>
            </w:r>
          </w:p>
        </w:tc>
      </w:tr>
      <w:tr w:rsidR="009A5FC7" w:rsidRPr="00B20F04" w14:paraId="48085CE7" w14:textId="77777777" w:rsidTr="00CC14F1">
        <w:trPr>
          <w:trHeight w:val="285"/>
        </w:trPr>
        <w:tc>
          <w:tcPr>
            <w:tcW w:w="1573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41C3B" w14:textId="77777777" w:rsidR="009A5FC7" w:rsidRPr="00B20F04" w:rsidRDefault="009A5FC7" w:rsidP="009A5FC7">
            <w:pPr>
              <w:keepNext w:val="0"/>
              <w:spacing w:after="0" w:line="480" w:lineRule="auto"/>
              <w:ind w:left="170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placebo</w:t>
            </w:r>
          </w:p>
        </w:tc>
        <w:tc>
          <w:tcPr>
            <w:tcW w:w="91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BF268" w14:textId="46D27250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0.48***</w:t>
            </w:r>
          </w:p>
        </w:tc>
        <w:tc>
          <w:tcPr>
            <w:tcW w:w="85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F33A1" w14:textId="2D051112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0.61***</w:t>
            </w:r>
          </w:p>
        </w:tc>
        <w:tc>
          <w:tcPr>
            <w:tcW w:w="830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C9C01" w14:textId="01F9E7F8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0.58***</w:t>
            </w:r>
          </w:p>
        </w:tc>
        <w:tc>
          <w:tcPr>
            <w:tcW w:w="828" w:type="pct"/>
            <w:tcBorders>
              <w:left w:val="nil"/>
              <w:bottom w:val="nil"/>
              <w:right w:val="nil"/>
            </w:tcBorders>
          </w:tcPr>
          <w:p w14:paraId="40599726" w14:textId="77777777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-</w:t>
            </w:r>
          </w:p>
        </w:tc>
      </w:tr>
      <w:tr w:rsidR="009A5FC7" w:rsidRPr="00B20F04" w14:paraId="573D6A26" w14:textId="77777777" w:rsidTr="00CC14F1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0EA6E" w14:textId="77777777" w:rsidR="009A5FC7" w:rsidRPr="00B20F04" w:rsidRDefault="009A5FC7" w:rsidP="009A5FC7">
            <w:pPr>
              <w:keepNext w:val="0"/>
              <w:spacing w:before="6" w:after="0" w:line="480" w:lineRule="auto"/>
              <w:ind w:left="170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AB 400 µg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E2FA3" w14:textId="48A15CC8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0.78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6A76" w14:textId="2CF7290C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F2070" w14:textId="20EE8236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1DBC2E00" w14:textId="77777777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</w:tr>
      <w:tr w:rsidR="009A5FC7" w:rsidRPr="00B20F04" w14:paraId="6EA2368C" w14:textId="77777777" w:rsidTr="00CC14F1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E1DD3" w14:textId="77777777" w:rsidR="009A5FC7" w:rsidRPr="00B20F04" w:rsidRDefault="009A5FC7" w:rsidP="009A5FC7">
            <w:pPr>
              <w:keepNext w:val="0"/>
              <w:spacing w:after="0" w:line="480" w:lineRule="auto"/>
              <w:ind w:left="170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FF 12 µg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B28AE" w14:textId="05FD2C1F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0.82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46CCF" w14:textId="75875FCB" w:rsidR="009A5FC7" w:rsidRPr="00B20F04" w:rsidRDefault="009A5FC7" w:rsidP="009A5FC7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</w:rPr>
              <w:t>1.05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F139F" w14:textId="76EFDC09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308D1B" w14:textId="77777777" w:rsidR="009A5FC7" w:rsidRPr="00B20F04" w:rsidRDefault="009A5FC7" w:rsidP="009A5FC7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</w:tr>
    </w:tbl>
    <w:p w14:paraId="60138EDF" w14:textId="03D419C9" w:rsidR="001256BD" w:rsidRPr="00B20F04" w:rsidRDefault="009A5FC7" w:rsidP="001256BD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t xml:space="preserve">*p&lt;0.05, </w:t>
      </w:r>
      <w:r w:rsidR="001256BD" w:rsidRPr="00B20F04">
        <w:rPr>
          <w:noProof/>
          <w:szCs w:val="24"/>
          <w:lang w:val="en-US" w:eastAsia="en-GB"/>
        </w:rPr>
        <w:t xml:space="preserve">***p&lt;0.001 </w:t>
      </w:r>
      <w:r w:rsidR="001256BD" w:rsidRPr="00B20F04">
        <w:rPr>
          <w:noProof/>
          <w:szCs w:val="24"/>
          <w:lang w:val="en-US" w:eastAsia="en-GB"/>
        </w:rPr>
        <w:br/>
        <w:t xml:space="preserve">The risk of a </w:t>
      </w:r>
      <w:r w:rsidR="000A295F">
        <w:rPr>
          <w:noProof/>
          <w:szCs w:val="24"/>
          <w:lang w:val="en-US" w:eastAsia="en-GB"/>
        </w:rPr>
        <w:t>sustained</w:t>
      </w:r>
      <w:r w:rsidR="001256BD" w:rsidRPr="00B20F04">
        <w:rPr>
          <w:noProof/>
          <w:szCs w:val="24"/>
          <w:lang w:val="en-US" w:eastAsia="en-GB"/>
        </w:rPr>
        <w:t xml:space="preserve"> CID event was analyzed using a Cox-Proportional Hazard model including study, treatment group, and smoking status as covariates</w:t>
      </w:r>
      <w:r w:rsidR="001256BD" w:rsidRPr="00B20F04">
        <w:rPr>
          <w:noProof/>
          <w:szCs w:val="24"/>
          <w:lang w:val="en-US" w:eastAsia="en-GB"/>
        </w:rPr>
        <w:br/>
        <w:t>AB, aclidinium bromide; CID, clinically important deterioration; FF, formoterol fumarate; HR, hazard ratio</w:t>
      </w:r>
      <w:r w:rsidRPr="00B20F04">
        <w:rPr>
          <w:noProof/>
          <w:szCs w:val="24"/>
          <w:lang w:val="en-US" w:eastAsia="en-GB"/>
        </w:rPr>
        <w:t>; LABA, long-acting β</w:t>
      </w:r>
      <w:r w:rsidRPr="00B20F04">
        <w:rPr>
          <w:noProof/>
          <w:szCs w:val="24"/>
          <w:vertAlign w:val="subscript"/>
          <w:lang w:val="en-US" w:eastAsia="en-GB"/>
        </w:rPr>
        <w:t>2</w:t>
      </w:r>
      <w:r w:rsidRPr="00B20F04">
        <w:rPr>
          <w:noProof/>
          <w:szCs w:val="24"/>
          <w:lang w:val="en-US" w:eastAsia="en-GB"/>
        </w:rPr>
        <w:t>-agonist; LAMA, long-acting muscarinic antagonist</w:t>
      </w:r>
    </w:p>
    <w:p w14:paraId="1DD66950" w14:textId="77777777" w:rsidR="009A5FC7" w:rsidRPr="00B20F04" w:rsidRDefault="009A5FC7" w:rsidP="001256BD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</w:p>
    <w:p w14:paraId="026A74F1" w14:textId="0FA5E0D3" w:rsidR="00945833" w:rsidRPr="00B20F04" w:rsidRDefault="006524BA" w:rsidP="001256BD">
      <w:pPr>
        <w:spacing w:afterLines="120" w:after="288" w:line="480" w:lineRule="auto"/>
        <w:rPr>
          <w:b/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lastRenderedPageBreak/>
        <w:t>Supplementary Table 2.</w:t>
      </w:r>
      <w:r w:rsidRPr="00B20F04">
        <w:rPr>
          <w:noProof/>
          <w:szCs w:val="24"/>
          <w:lang w:val="en-US" w:eastAsia="en-GB"/>
        </w:rPr>
        <w:t xml:space="preserve"> </w:t>
      </w:r>
      <w:r w:rsidR="00945833" w:rsidRPr="00B20F04">
        <w:rPr>
          <w:noProof/>
          <w:szCs w:val="24"/>
          <w:lang w:val="en-US" w:eastAsia="en-GB"/>
        </w:rPr>
        <w:t xml:space="preserve">Analysis of sustained CID </w:t>
      </w:r>
      <w:r w:rsidR="001256BD" w:rsidRPr="00B20F04">
        <w:rPr>
          <w:noProof/>
          <w:szCs w:val="24"/>
          <w:lang w:val="en-US" w:eastAsia="en-GB"/>
        </w:rPr>
        <w:t xml:space="preserve">events </w:t>
      </w:r>
      <w:r w:rsidR="00945833" w:rsidRPr="00B20F04">
        <w:rPr>
          <w:noProof/>
          <w:szCs w:val="24"/>
          <w:lang w:val="en-US" w:eastAsia="en-GB"/>
        </w:rPr>
        <w:t>by COPD severity at baseline</w:t>
      </w:r>
      <w:r w:rsidRPr="00B20F04">
        <w:rPr>
          <w:noProof/>
          <w:szCs w:val="24"/>
          <w:lang w:val="en-US" w:eastAsia="en-GB"/>
        </w:rPr>
        <w:t xml:space="preserve"> (ITT population)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0"/>
        <w:gridCol w:w="1655"/>
        <w:gridCol w:w="1538"/>
        <w:gridCol w:w="1498"/>
        <w:gridCol w:w="1495"/>
      </w:tblGrid>
      <w:tr w:rsidR="001256BD" w:rsidRPr="00B20F04" w14:paraId="2C0C6735" w14:textId="380998BD" w:rsidTr="001256BD">
        <w:trPr>
          <w:trHeight w:val="285"/>
        </w:trPr>
        <w:tc>
          <w:tcPr>
            <w:tcW w:w="157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115C3" w14:textId="7975DEB0" w:rsidR="001256BD" w:rsidRPr="00B20F04" w:rsidRDefault="001256BD" w:rsidP="006524BA">
            <w:pPr>
              <w:keepNext w:val="0"/>
              <w:spacing w:after="0" w:line="480" w:lineRule="auto"/>
              <w:rPr>
                <w:b/>
                <w:szCs w:val="36"/>
                <w:lang w:eastAsia="en-GB"/>
              </w:rPr>
            </w:pPr>
            <w:r w:rsidRPr="00B20F04">
              <w:rPr>
                <w:b/>
                <w:color w:val="000000"/>
                <w:kern w:val="24"/>
                <w:szCs w:val="22"/>
                <w:lang w:eastAsia="en-GB"/>
              </w:rPr>
              <w:t>COPD at baseline</w:t>
            </w:r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CA0BA" w14:textId="60C43AFA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</w:pP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t xml:space="preserve">AB/FF </w:t>
            </w: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br/>
              <w:t>400/12 µg</w:t>
            </w:r>
          </w:p>
        </w:tc>
        <w:tc>
          <w:tcPr>
            <w:tcW w:w="85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EC39A" w14:textId="63177371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</w:pP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t xml:space="preserve">AB </w:t>
            </w: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br/>
              <w:t>400 µg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2E874" w14:textId="15B4A21A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</w:pP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t xml:space="preserve">FF </w:t>
            </w: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br/>
              <w:t>12 µg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354CBF" w14:textId="22DA999E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</w:pPr>
            <w:r w:rsidRPr="00B20F04">
              <w:rPr>
                <w:b/>
                <w:bCs/>
                <w:color w:val="000000" w:themeColor="text1"/>
                <w:kern w:val="24"/>
                <w:szCs w:val="22"/>
                <w:lang w:eastAsia="en-GB"/>
              </w:rPr>
              <w:t>Placebo</w:t>
            </w:r>
          </w:p>
        </w:tc>
      </w:tr>
      <w:tr w:rsidR="001256BD" w:rsidRPr="00B20F04" w14:paraId="20AA4ABA" w14:textId="0ECE1D2C" w:rsidTr="001256BD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593A8" w14:textId="3F904B21" w:rsidR="001256BD" w:rsidRPr="00B20F04" w:rsidRDefault="001256BD" w:rsidP="006524BA">
            <w:pPr>
              <w:keepNext w:val="0"/>
              <w:spacing w:after="0" w:line="480" w:lineRule="auto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Moderate</w:t>
            </w:r>
            <w:r w:rsidRPr="00B20F04">
              <w:rPr>
                <w:color w:val="000000"/>
                <w:kern w:val="24"/>
                <w:szCs w:val="22"/>
                <w:vertAlign w:val="superscript"/>
                <w:lang w:eastAsia="en-GB"/>
              </w:rPr>
              <w:t>a</w:t>
            </w:r>
            <w:r w:rsidRPr="00B20F04">
              <w:rPr>
                <w:color w:val="000000"/>
                <w:kern w:val="24"/>
                <w:szCs w:val="22"/>
                <w:lang w:eastAsia="en-GB"/>
              </w:rPr>
              <w:t>, 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E6E8B" w14:textId="551AE14D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418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3B484" w14:textId="0342180D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411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12D0E" w14:textId="19A14C5E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436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1441D609" w14:textId="4DBB7013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293</w:t>
            </w:r>
          </w:p>
        </w:tc>
      </w:tr>
      <w:tr w:rsidR="001256BD" w:rsidRPr="00B20F04" w14:paraId="47F3C334" w14:textId="3CBCE1D3" w:rsidTr="001256BD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F978F" w14:textId="77777777" w:rsidR="001256BD" w:rsidRPr="00B20F04" w:rsidRDefault="001256BD" w:rsidP="001256BD">
            <w:pPr>
              <w:keepNext w:val="0"/>
              <w:spacing w:after="0" w:line="480" w:lineRule="auto"/>
              <w:ind w:left="170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placebo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60EB5" w14:textId="77777777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0.57***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F13B7" w14:textId="77777777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0.50***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424C8" w14:textId="77777777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0.61***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35302B3A" w14:textId="496537D8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-</w:t>
            </w:r>
          </w:p>
        </w:tc>
      </w:tr>
      <w:tr w:rsidR="001256BD" w:rsidRPr="00B20F04" w14:paraId="53983C32" w14:textId="13F7262A" w:rsidTr="001256BD">
        <w:trPr>
          <w:trHeight w:val="285"/>
        </w:trPr>
        <w:tc>
          <w:tcPr>
            <w:tcW w:w="157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47715" w14:textId="77777777" w:rsidR="001256BD" w:rsidRPr="00B20F04" w:rsidRDefault="001256BD" w:rsidP="001256BD">
            <w:pPr>
              <w:keepNext w:val="0"/>
              <w:spacing w:after="0" w:line="480" w:lineRule="auto"/>
              <w:ind w:left="170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AB 400 µg</w:t>
            </w:r>
          </w:p>
        </w:tc>
        <w:tc>
          <w:tcPr>
            <w:tcW w:w="9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964BB" w14:textId="77777777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1.13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A1667" w14:textId="10087B6D" w:rsidR="001256BD" w:rsidRPr="00B20F04" w:rsidRDefault="001256BD" w:rsidP="006524BA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A374D" w14:textId="3073C3B0" w:rsidR="001256BD" w:rsidRPr="00B20F04" w:rsidRDefault="001256BD" w:rsidP="006524BA">
            <w:pPr>
              <w:keepNext w:val="0"/>
              <w:spacing w:after="0" w:line="480" w:lineRule="auto"/>
              <w:jc w:val="center"/>
              <w:rPr>
                <w:lang w:eastAsia="en-GB"/>
              </w:rPr>
            </w:pPr>
            <w:r w:rsidRPr="00B20F04">
              <w:rPr>
                <w:lang w:eastAsia="en-GB"/>
              </w:rPr>
              <w:t>-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</w:tcPr>
          <w:p w14:paraId="0B7FE7C9" w14:textId="64270E87" w:rsidR="001256BD" w:rsidRPr="00B20F04" w:rsidRDefault="001256BD" w:rsidP="006524BA">
            <w:pPr>
              <w:keepNext w:val="0"/>
              <w:spacing w:after="0" w:line="480" w:lineRule="auto"/>
              <w:jc w:val="center"/>
              <w:rPr>
                <w:lang w:eastAsia="en-GB"/>
              </w:rPr>
            </w:pPr>
            <w:r w:rsidRPr="00B20F04">
              <w:rPr>
                <w:lang w:eastAsia="en-GB"/>
              </w:rPr>
              <w:t>-</w:t>
            </w:r>
          </w:p>
        </w:tc>
      </w:tr>
      <w:tr w:rsidR="001256BD" w:rsidRPr="00B20F04" w14:paraId="055D6326" w14:textId="44EBCB48" w:rsidTr="001256BD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374B3" w14:textId="77777777" w:rsidR="001256BD" w:rsidRPr="00B20F04" w:rsidRDefault="001256BD" w:rsidP="001256BD">
            <w:pPr>
              <w:keepNext w:val="0"/>
              <w:spacing w:after="0" w:line="480" w:lineRule="auto"/>
              <w:ind w:left="170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FF 12 µg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0D7FB" w14:textId="77777777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0.94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ABA08" w14:textId="77777777" w:rsidR="001256BD" w:rsidRPr="00B20F04" w:rsidRDefault="001256BD" w:rsidP="006524BA">
            <w:pPr>
              <w:keepNext w:val="0"/>
              <w:spacing w:after="0" w:line="480" w:lineRule="auto"/>
              <w:jc w:val="center"/>
              <w:textAlignment w:val="bottom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0.83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FBCDE" w14:textId="4B1C3B66" w:rsidR="001256BD" w:rsidRPr="00B20F04" w:rsidRDefault="001256BD" w:rsidP="006524BA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26B04" w14:textId="151FA168" w:rsidR="001256BD" w:rsidRPr="00B20F04" w:rsidRDefault="001256BD" w:rsidP="006524BA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</w:tr>
      <w:tr w:rsidR="001256BD" w:rsidRPr="00B20F04" w14:paraId="39C1CB28" w14:textId="1D303479" w:rsidTr="001256BD">
        <w:trPr>
          <w:trHeight w:val="285"/>
        </w:trPr>
        <w:tc>
          <w:tcPr>
            <w:tcW w:w="15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5A0CC" w14:textId="32E0648F" w:rsidR="001256BD" w:rsidRPr="00B20F04" w:rsidRDefault="001256BD" w:rsidP="001A7576">
            <w:pPr>
              <w:keepNext w:val="0"/>
              <w:spacing w:after="0" w:line="480" w:lineRule="auto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Severe</w:t>
            </w:r>
            <w:r w:rsidRPr="00B20F04">
              <w:rPr>
                <w:color w:val="000000"/>
                <w:kern w:val="24"/>
                <w:szCs w:val="22"/>
                <w:vertAlign w:val="superscript"/>
                <w:lang w:eastAsia="en-GB"/>
              </w:rPr>
              <w:t>b</w:t>
            </w:r>
            <w:r w:rsidRPr="00B20F04">
              <w:rPr>
                <w:color w:val="000000"/>
                <w:kern w:val="24"/>
                <w:szCs w:val="22"/>
                <w:lang w:eastAsia="en-GB"/>
              </w:rPr>
              <w:t>, n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6AA38" w14:textId="3D7A4C53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301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D06C6" w14:textId="17CEF282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306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9D15E" w14:textId="793A1D58" w:rsidR="001256BD" w:rsidRPr="00B20F04" w:rsidRDefault="001256BD" w:rsidP="001A7576">
            <w:pPr>
              <w:keepNext w:val="0"/>
              <w:spacing w:after="0" w:line="480" w:lineRule="auto"/>
              <w:jc w:val="center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278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right w:val="nil"/>
            </w:tcBorders>
          </w:tcPr>
          <w:p w14:paraId="5D59CC63" w14:textId="4584BB0B" w:rsidR="001256BD" w:rsidRPr="00B20F04" w:rsidRDefault="001256BD" w:rsidP="001A7576">
            <w:pPr>
              <w:keepNext w:val="0"/>
              <w:spacing w:after="0" w:line="480" w:lineRule="auto"/>
              <w:jc w:val="center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231</w:t>
            </w:r>
          </w:p>
        </w:tc>
      </w:tr>
      <w:tr w:rsidR="001256BD" w:rsidRPr="00B20F04" w14:paraId="5F3CDB56" w14:textId="5902E847" w:rsidTr="001256BD">
        <w:trPr>
          <w:trHeight w:val="285"/>
        </w:trPr>
        <w:tc>
          <w:tcPr>
            <w:tcW w:w="1573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7FFC5" w14:textId="5A80C0BA" w:rsidR="001256BD" w:rsidRPr="00B20F04" w:rsidRDefault="001256BD" w:rsidP="001256BD">
            <w:pPr>
              <w:keepNext w:val="0"/>
              <w:spacing w:after="0" w:line="480" w:lineRule="auto"/>
              <w:ind w:left="170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placebo</w:t>
            </w:r>
          </w:p>
        </w:tc>
        <w:tc>
          <w:tcPr>
            <w:tcW w:w="91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BD752" w14:textId="186E73A5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0.44***</w:t>
            </w:r>
          </w:p>
        </w:tc>
        <w:tc>
          <w:tcPr>
            <w:tcW w:w="85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04BD1" w14:textId="60572CC6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0.60***</w:t>
            </w:r>
          </w:p>
        </w:tc>
        <w:tc>
          <w:tcPr>
            <w:tcW w:w="830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97866" w14:textId="0B5D8BBD" w:rsidR="001256BD" w:rsidRPr="00B20F04" w:rsidRDefault="001256BD" w:rsidP="001A7576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0.77*</w:t>
            </w:r>
          </w:p>
        </w:tc>
        <w:tc>
          <w:tcPr>
            <w:tcW w:w="828" w:type="pct"/>
            <w:tcBorders>
              <w:left w:val="nil"/>
              <w:bottom w:val="nil"/>
              <w:right w:val="nil"/>
            </w:tcBorders>
          </w:tcPr>
          <w:p w14:paraId="5F95BE5D" w14:textId="4EAEF13E" w:rsidR="001256BD" w:rsidRPr="00B20F04" w:rsidRDefault="001256BD" w:rsidP="001A7576">
            <w:pPr>
              <w:keepNext w:val="0"/>
              <w:spacing w:after="0" w:line="480" w:lineRule="auto"/>
              <w:jc w:val="center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-</w:t>
            </w:r>
          </w:p>
        </w:tc>
      </w:tr>
      <w:tr w:rsidR="001256BD" w:rsidRPr="00B20F04" w14:paraId="207C3056" w14:textId="0EB4D612" w:rsidTr="001256BD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60C2E" w14:textId="1EC6830A" w:rsidR="001256BD" w:rsidRPr="00B20F04" w:rsidRDefault="001256BD" w:rsidP="001256BD">
            <w:pPr>
              <w:keepNext w:val="0"/>
              <w:spacing w:before="6" w:after="0" w:line="480" w:lineRule="auto"/>
              <w:ind w:left="170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AB 400 µg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DF41D" w14:textId="409DE502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0.74*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AC73C" w14:textId="2869C3CC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9A4CAC" w14:textId="7C892EA4" w:rsidR="001256BD" w:rsidRPr="00B20F04" w:rsidRDefault="001256BD" w:rsidP="001A7576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4A8533AD" w14:textId="03886F7E" w:rsidR="001256BD" w:rsidRPr="00B20F04" w:rsidRDefault="001256BD" w:rsidP="001A7576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</w:tr>
      <w:tr w:rsidR="001256BD" w:rsidRPr="00B20F04" w14:paraId="3A7AF151" w14:textId="731C4418" w:rsidTr="001256BD">
        <w:trPr>
          <w:trHeight w:val="285"/>
        </w:trPr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793CF" w14:textId="0467576B" w:rsidR="001256BD" w:rsidRPr="00B20F04" w:rsidRDefault="001256BD" w:rsidP="001256BD">
            <w:pPr>
              <w:keepNext w:val="0"/>
              <w:spacing w:after="0" w:line="480" w:lineRule="auto"/>
              <w:ind w:left="170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HR vs FF 12 µg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E3720" w14:textId="0B91679C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0.58***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5B90B" w14:textId="644086F0" w:rsidR="001256BD" w:rsidRPr="00B20F04" w:rsidRDefault="001256BD" w:rsidP="001A7576">
            <w:pPr>
              <w:keepNext w:val="0"/>
              <w:spacing w:after="0" w:line="480" w:lineRule="auto"/>
              <w:jc w:val="center"/>
              <w:textAlignment w:val="bottom"/>
              <w:rPr>
                <w:color w:val="000000"/>
                <w:kern w:val="24"/>
                <w:szCs w:val="22"/>
                <w:lang w:eastAsia="en-GB"/>
              </w:rPr>
            </w:pPr>
            <w:r w:rsidRPr="00B20F04">
              <w:rPr>
                <w:color w:val="000000"/>
                <w:kern w:val="24"/>
                <w:szCs w:val="22"/>
                <w:lang w:eastAsia="en-GB"/>
              </w:rPr>
              <w:t>0.78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89C8F" w14:textId="75136430" w:rsidR="001256BD" w:rsidRPr="00B20F04" w:rsidRDefault="001256BD" w:rsidP="001A7576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6D3B2A" w14:textId="6FEC551C" w:rsidR="001256BD" w:rsidRPr="00B20F04" w:rsidRDefault="001256BD" w:rsidP="001A7576">
            <w:pPr>
              <w:keepNext w:val="0"/>
              <w:spacing w:after="0" w:line="480" w:lineRule="auto"/>
              <w:jc w:val="center"/>
              <w:rPr>
                <w:szCs w:val="36"/>
                <w:lang w:eastAsia="en-GB"/>
              </w:rPr>
            </w:pPr>
            <w:r w:rsidRPr="00B20F04">
              <w:rPr>
                <w:szCs w:val="36"/>
                <w:lang w:eastAsia="en-GB"/>
              </w:rPr>
              <w:t>-</w:t>
            </w:r>
          </w:p>
        </w:tc>
      </w:tr>
    </w:tbl>
    <w:p w14:paraId="1B0E8330" w14:textId="43BD57CD" w:rsidR="000B5C08" w:rsidRPr="00B20F04" w:rsidRDefault="000B5C08" w:rsidP="00F13CDF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t xml:space="preserve">*p&lt;0.05, ***p&lt;0.001 </w:t>
      </w:r>
      <w:r w:rsidRPr="00B20F04">
        <w:rPr>
          <w:noProof/>
          <w:szCs w:val="24"/>
          <w:lang w:val="en-US" w:eastAsia="en-GB"/>
        </w:rPr>
        <w:br/>
      </w:r>
      <w:r w:rsidRPr="00B20F04">
        <w:rPr>
          <w:noProof/>
          <w:szCs w:val="24"/>
          <w:vertAlign w:val="superscript"/>
          <w:lang w:val="en-US" w:eastAsia="en-GB"/>
        </w:rPr>
        <w:t>a</w:t>
      </w:r>
      <w:r w:rsidRPr="00B20F04">
        <w:rPr>
          <w:noProof/>
          <w:szCs w:val="24"/>
          <w:lang w:val="en-US" w:eastAsia="en-GB"/>
        </w:rPr>
        <w:t>Patients with ≥50% predicted post-bronchodilator FEV</w:t>
      </w:r>
      <w:r w:rsidRPr="00B20F04">
        <w:rPr>
          <w:noProof/>
          <w:szCs w:val="24"/>
          <w:vertAlign w:val="subscript"/>
          <w:lang w:val="en-US" w:eastAsia="en-GB"/>
        </w:rPr>
        <w:t>1</w:t>
      </w:r>
      <w:r w:rsidRPr="00B20F04">
        <w:rPr>
          <w:noProof/>
          <w:szCs w:val="24"/>
          <w:lang w:val="en-US" w:eastAsia="en-GB"/>
        </w:rPr>
        <w:t xml:space="preserve">; </w:t>
      </w:r>
      <w:r w:rsidRPr="00B20F04">
        <w:rPr>
          <w:noProof/>
          <w:szCs w:val="24"/>
          <w:vertAlign w:val="superscript"/>
          <w:lang w:val="en-US" w:eastAsia="en-GB"/>
        </w:rPr>
        <w:t>b</w:t>
      </w:r>
      <w:r w:rsidRPr="00B20F04">
        <w:rPr>
          <w:noProof/>
          <w:szCs w:val="24"/>
          <w:lang w:val="en-US" w:eastAsia="en-GB"/>
        </w:rPr>
        <w:t>Patients with &lt;50%predicted post-bronchodilator FEV</w:t>
      </w:r>
      <w:r w:rsidRPr="00B20F04">
        <w:rPr>
          <w:noProof/>
          <w:szCs w:val="24"/>
          <w:vertAlign w:val="subscript"/>
          <w:lang w:val="en-US" w:eastAsia="en-GB"/>
        </w:rPr>
        <w:t>1</w:t>
      </w:r>
      <w:r w:rsidRPr="00B20F04">
        <w:rPr>
          <w:noProof/>
          <w:szCs w:val="24"/>
          <w:lang w:val="en-US" w:eastAsia="en-GB"/>
        </w:rPr>
        <w:br/>
        <w:t xml:space="preserve">The risk of a </w:t>
      </w:r>
      <w:r w:rsidR="00891958">
        <w:rPr>
          <w:noProof/>
          <w:szCs w:val="24"/>
          <w:lang w:val="en-US" w:eastAsia="en-GB"/>
        </w:rPr>
        <w:t>sustained</w:t>
      </w:r>
      <w:r w:rsidRPr="00B20F04">
        <w:rPr>
          <w:noProof/>
          <w:szCs w:val="24"/>
          <w:lang w:val="en-US" w:eastAsia="en-GB"/>
        </w:rPr>
        <w:t xml:space="preserve"> CID event was analyzed using a Cox-Proportional Hazard model including study, treatment group, and smoking status as covariates</w:t>
      </w:r>
      <w:r w:rsidRPr="00B20F04">
        <w:rPr>
          <w:noProof/>
          <w:szCs w:val="24"/>
          <w:lang w:val="en-US" w:eastAsia="en-GB"/>
        </w:rPr>
        <w:br/>
        <w:t>AB, aclidinium bromide; CID, clinically important deterioration; COPD, chronic obstructive pulmonary disease; FF, formoterol fumarate; HR, hazard ratio</w:t>
      </w:r>
      <w:r w:rsidR="00891958">
        <w:rPr>
          <w:noProof/>
          <w:szCs w:val="24"/>
          <w:lang w:val="en-US" w:eastAsia="en-GB"/>
        </w:rPr>
        <w:t>; ITT population</w:t>
      </w:r>
    </w:p>
    <w:p w14:paraId="4A008936" w14:textId="77777777" w:rsidR="00945833" w:rsidRPr="00B20F04" w:rsidRDefault="00945833" w:rsidP="00F13CDF">
      <w:pPr>
        <w:keepNext w:val="0"/>
        <w:spacing w:afterLines="120" w:after="288" w:line="480" w:lineRule="auto"/>
        <w:rPr>
          <w:b/>
          <w:noProof/>
          <w:szCs w:val="24"/>
          <w:lang w:val="en-US" w:eastAsia="en-GB"/>
        </w:rPr>
      </w:pPr>
    </w:p>
    <w:p w14:paraId="741CE1B1" w14:textId="1063E314" w:rsidR="000C4DC8" w:rsidRPr="00B20F04" w:rsidRDefault="000C4DC8" w:rsidP="009A5FC7">
      <w:pPr>
        <w:spacing w:afterLines="120" w:after="288" w:line="480" w:lineRule="auto"/>
        <w:rPr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lastRenderedPageBreak/>
        <w:t>Supplement</w:t>
      </w:r>
      <w:r w:rsidR="008C5C56" w:rsidRPr="00B20F04">
        <w:rPr>
          <w:b/>
          <w:noProof/>
          <w:szCs w:val="24"/>
          <w:lang w:val="en-US" w:eastAsia="en-GB"/>
        </w:rPr>
        <w:t>ary</w:t>
      </w:r>
      <w:r w:rsidRPr="00B20F04">
        <w:rPr>
          <w:b/>
          <w:noProof/>
          <w:szCs w:val="24"/>
          <w:lang w:val="en-US" w:eastAsia="en-GB"/>
        </w:rPr>
        <w:t xml:space="preserve"> Table </w:t>
      </w:r>
      <w:r w:rsidR="009A5FC7" w:rsidRPr="00B20F04">
        <w:rPr>
          <w:b/>
          <w:noProof/>
          <w:szCs w:val="24"/>
          <w:lang w:val="en-US" w:eastAsia="en-GB"/>
        </w:rPr>
        <w:t>3</w:t>
      </w:r>
      <w:r w:rsidRPr="00B20F04">
        <w:rPr>
          <w:b/>
          <w:noProof/>
          <w:szCs w:val="24"/>
          <w:lang w:val="en-US" w:eastAsia="en-GB"/>
        </w:rPr>
        <w:t>.</w:t>
      </w:r>
      <w:r w:rsidRPr="00B20F04">
        <w:rPr>
          <w:noProof/>
          <w:szCs w:val="24"/>
          <w:lang w:val="en-US" w:eastAsia="en-GB"/>
        </w:rPr>
        <w:t xml:space="preserve"> Sensitivity analysis of </w:t>
      </w:r>
      <w:r w:rsidR="0059518E" w:rsidRPr="00B20F04">
        <w:rPr>
          <w:noProof/>
          <w:szCs w:val="24"/>
          <w:lang w:val="en-US" w:eastAsia="en-GB"/>
        </w:rPr>
        <w:t xml:space="preserve">the </w:t>
      </w:r>
      <w:r w:rsidR="0059518E" w:rsidRPr="00B20F04">
        <w:rPr>
          <w:iCs/>
          <w:szCs w:val="24"/>
          <w:lang w:val="en-US"/>
        </w:rPr>
        <w:t xml:space="preserve">risk of </w:t>
      </w:r>
      <w:r w:rsidR="006D6993" w:rsidRPr="00B20F04">
        <w:rPr>
          <w:iCs/>
          <w:szCs w:val="24"/>
          <w:lang w:val="en-US"/>
        </w:rPr>
        <w:t>first CID event</w:t>
      </w:r>
      <w:r w:rsidR="00692464" w:rsidRPr="00B20F04">
        <w:rPr>
          <w:iCs/>
          <w:szCs w:val="24"/>
          <w:lang w:val="en-US"/>
        </w:rPr>
        <w:t>s</w:t>
      </w:r>
      <w:r w:rsidR="006D6993" w:rsidRPr="00B20F04">
        <w:rPr>
          <w:iCs/>
          <w:szCs w:val="24"/>
          <w:lang w:val="en-US"/>
        </w:rPr>
        <w:t xml:space="preserve"> </w:t>
      </w:r>
      <w:r w:rsidRPr="00B20F04">
        <w:rPr>
          <w:noProof/>
          <w:szCs w:val="24"/>
          <w:lang w:val="en-US" w:eastAsia="en-GB"/>
        </w:rPr>
        <w:t>for common visits</w:t>
      </w:r>
      <w:r w:rsidR="006D6993" w:rsidRPr="00B20F04">
        <w:rPr>
          <w:iCs/>
          <w:szCs w:val="24"/>
          <w:lang w:val="en-US"/>
        </w:rPr>
        <w:t xml:space="preserve"> over 24 weeks</w:t>
      </w:r>
      <w:r w:rsidR="00132A42" w:rsidRPr="00B20F04">
        <w:rPr>
          <w:iCs/>
          <w:szCs w:val="24"/>
          <w:lang w:val="en-US"/>
        </w:rPr>
        <w:t xml:space="preserve"> (ITT population)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1455"/>
        <w:gridCol w:w="1350"/>
        <w:gridCol w:w="1350"/>
        <w:gridCol w:w="1347"/>
      </w:tblGrid>
      <w:tr w:rsidR="00674B41" w:rsidRPr="00B20F04" w14:paraId="5F41668D" w14:textId="433E3805" w:rsidTr="00674B41">
        <w:tc>
          <w:tcPr>
            <w:tcW w:w="1952" w:type="pct"/>
            <w:tcBorders>
              <w:top w:val="single" w:sz="4" w:space="0" w:color="auto"/>
            </w:tcBorders>
          </w:tcPr>
          <w:p w14:paraId="130B46CE" w14:textId="1D215D66" w:rsidR="00674B41" w:rsidRPr="00B20F04" w:rsidRDefault="00674B41" w:rsidP="006D6993">
            <w:pPr>
              <w:keepNext w:val="0"/>
              <w:spacing w:after="0" w:line="480" w:lineRule="auto"/>
              <w:rPr>
                <w:b/>
                <w:noProof/>
                <w:szCs w:val="24"/>
                <w:lang w:val="en-US" w:eastAsia="en-GB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14:paraId="32A7F7EC" w14:textId="21A448B1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AB/FF</w:t>
            </w:r>
            <w:r w:rsidRPr="00B20F04">
              <w:rPr>
                <w:b/>
                <w:iCs/>
                <w:szCs w:val="24"/>
                <w:lang w:val="en-US"/>
              </w:rPr>
              <w:br/>
              <w:t>400/12 µg</w:t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720)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14:paraId="70DEDD37" w14:textId="52494BE8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AB</w:t>
            </w:r>
            <w:r w:rsidRPr="00B20F04">
              <w:rPr>
                <w:b/>
                <w:iCs/>
                <w:szCs w:val="24"/>
                <w:lang w:val="en-US"/>
              </w:rPr>
              <w:br/>
              <w:t>400 µg</w:t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720)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14:paraId="30D987EF" w14:textId="3AAB5533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FF</w:t>
            </w:r>
            <w:r w:rsidRPr="00B20F04">
              <w:rPr>
                <w:b/>
                <w:iCs/>
                <w:szCs w:val="24"/>
                <w:lang w:val="en-US"/>
              </w:rPr>
              <w:br/>
              <w:t>12 µg</w:t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715)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574721A2" w14:textId="77777777" w:rsidR="006B1015" w:rsidRPr="00B20F04" w:rsidRDefault="00674B41" w:rsidP="006D6993">
            <w:pPr>
              <w:keepNext w:val="0"/>
              <w:spacing w:after="0" w:line="480" w:lineRule="auto"/>
              <w:jc w:val="center"/>
              <w:rPr>
                <w:b/>
                <w:iCs/>
                <w:szCs w:val="24"/>
                <w:lang w:val="en-US"/>
              </w:rPr>
            </w:pPr>
            <w:r w:rsidRPr="00B20F04">
              <w:rPr>
                <w:b/>
                <w:iCs/>
                <w:szCs w:val="24"/>
                <w:lang w:val="en-US"/>
              </w:rPr>
              <w:t>Placebo</w:t>
            </w:r>
            <w:r w:rsidRPr="00B20F04">
              <w:rPr>
                <w:b/>
                <w:iCs/>
                <w:szCs w:val="24"/>
                <w:lang w:val="en-US"/>
              </w:rPr>
              <w:br/>
            </w:r>
          </w:p>
          <w:p w14:paraId="44F7ECEF" w14:textId="5EE22016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b/>
                <w:iCs/>
                <w:szCs w:val="24"/>
                <w:lang w:val="en-US"/>
              </w:rPr>
            </w:pPr>
            <w:r w:rsidRPr="00B20F04">
              <w:rPr>
                <w:b/>
                <w:iCs/>
                <w:szCs w:val="24"/>
                <w:lang w:val="en-US"/>
              </w:rPr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525)</w:t>
            </w:r>
          </w:p>
        </w:tc>
      </w:tr>
      <w:tr w:rsidR="00674B41" w:rsidRPr="00B20F04" w14:paraId="26D0E1A2" w14:textId="764973D9" w:rsidTr="00674B41">
        <w:tc>
          <w:tcPr>
            <w:tcW w:w="1952" w:type="pct"/>
          </w:tcPr>
          <w:p w14:paraId="7D280417" w14:textId="5C99273E" w:rsidR="00674B41" w:rsidRPr="00B20F04" w:rsidRDefault="00674B41" w:rsidP="00674B41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 xml:space="preserve">Percentage of patients with </w:t>
            </w:r>
            <w:r w:rsidR="00AA2EC9" w:rsidRPr="00B20F04">
              <w:rPr>
                <w:noProof/>
                <w:szCs w:val="24"/>
                <w:lang w:val="en-US" w:eastAsia="en-GB"/>
              </w:rPr>
              <w:br/>
            </w:r>
            <w:r w:rsidRPr="00B20F04">
              <w:rPr>
                <w:noProof/>
                <w:szCs w:val="24"/>
                <w:lang w:val="en-US" w:eastAsia="en-GB"/>
              </w:rPr>
              <w:t>≥1 CID during the study</w:t>
            </w:r>
            <w:r w:rsidRPr="00B20F04">
              <w:rPr>
                <w:noProof/>
                <w:szCs w:val="24"/>
                <w:vertAlign w:val="superscript"/>
                <w:lang w:val="en-US" w:eastAsia="en-GB"/>
              </w:rPr>
              <w:t>a</w:t>
            </w:r>
          </w:p>
        </w:tc>
        <w:tc>
          <w:tcPr>
            <w:tcW w:w="806" w:type="pct"/>
          </w:tcPr>
          <w:p w14:paraId="0331ED61" w14:textId="13FBA304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54.6</w:t>
            </w:r>
          </w:p>
        </w:tc>
        <w:tc>
          <w:tcPr>
            <w:tcW w:w="748" w:type="pct"/>
          </w:tcPr>
          <w:p w14:paraId="2D6C6201" w14:textId="584A29A4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60.4</w:t>
            </w:r>
          </w:p>
        </w:tc>
        <w:tc>
          <w:tcPr>
            <w:tcW w:w="748" w:type="pct"/>
          </w:tcPr>
          <w:p w14:paraId="31F889F2" w14:textId="0046F0A8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61.7</w:t>
            </w:r>
          </w:p>
        </w:tc>
        <w:tc>
          <w:tcPr>
            <w:tcW w:w="747" w:type="pct"/>
          </w:tcPr>
          <w:p w14:paraId="7AEE42AA" w14:textId="3D1687A2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70.3</w:t>
            </w:r>
          </w:p>
        </w:tc>
      </w:tr>
      <w:tr w:rsidR="00674B41" w:rsidRPr="00B20F04" w14:paraId="3ACF133C" w14:textId="21807742" w:rsidTr="00674B41">
        <w:tc>
          <w:tcPr>
            <w:tcW w:w="1952" w:type="pct"/>
          </w:tcPr>
          <w:p w14:paraId="67D05BDE" w14:textId="2F2E257D" w:rsidR="00674B41" w:rsidRPr="00B20F04" w:rsidRDefault="00674B41" w:rsidP="00674B41">
            <w:pPr>
              <w:keepNext w:val="0"/>
              <w:spacing w:after="0" w:line="480" w:lineRule="auto"/>
              <w:ind w:left="284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HR vs placebo</w:t>
            </w:r>
          </w:p>
        </w:tc>
        <w:tc>
          <w:tcPr>
            <w:tcW w:w="806" w:type="pct"/>
          </w:tcPr>
          <w:p w14:paraId="3F614384" w14:textId="3961D23A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0.61***</w:t>
            </w:r>
          </w:p>
        </w:tc>
        <w:tc>
          <w:tcPr>
            <w:tcW w:w="748" w:type="pct"/>
          </w:tcPr>
          <w:p w14:paraId="11680010" w14:textId="6195F0B8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0.71***</w:t>
            </w:r>
          </w:p>
        </w:tc>
        <w:tc>
          <w:tcPr>
            <w:tcW w:w="748" w:type="pct"/>
          </w:tcPr>
          <w:p w14:paraId="5DD728DF" w14:textId="3448958C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0.74***</w:t>
            </w:r>
          </w:p>
        </w:tc>
        <w:tc>
          <w:tcPr>
            <w:tcW w:w="747" w:type="pct"/>
          </w:tcPr>
          <w:p w14:paraId="586BF06C" w14:textId="245E3668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</w:tr>
      <w:tr w:rsidR="00674B41" w:rsidRPr="00B20F04" w14:paraId="7BDCDD5F" w14:textId="3FF34A15" w:rsidTr="00674B41">
        <w:tc>
          <w:tcPr>
            <w:tcW w:w="1952" w:type="pct"/>
          </w:tcPr>
          <w:p w14:paraId="3521B439" w14:textId="5A84D617" w:rsidR="00674B41" w:rsidRPr="00B20F04" w:rsidRDefault="00674B41" w:rsidP="00674B41">
            <w:pPr>
              <w:keepNext w:val="0"/>
              <w:spacing w:after="0" w:line="480" w:lineRule="auto"/>
              <w:ind w:left="284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 xml:space="preserve">HR vs AB 400 µg </w:t>
            </w:r>
          </w:p>
        </w:tc>
        <w:tc>
          <w:tcPr>
            <w:tcW w:w="806" w:type="pct"/>
          </w:tcPr>
          <w:p w14:paraId="690BB6DC" w14:textId="3F77438A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0.85*</w:t>
            </w:r>
          </w:p>
        </w:tc>
        <w:tc>
          <w:tcPr>
            <w:tcW w:w="748" w:type="pct"/>
          </w:tcPr>
          <w:p w14:paraId="0173130E" w14:textId="06B92820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  <w:tc>
          <w:tcPr>
            <w:tcW w:w="748" w:type="pct"/>
          </w:tcPr>
          <w:p w14:paraId="36AEC09A" w14:textId="77777777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  <w:tc>
          <w:tcPr>
            <w:tcW w:w="747" w:type="pct"/>
          </w:tcPr>
          <w:p w14:paraId="736DE237" w14:textId="4D5A047B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</w:tr>
      <w:tr w:rsidR="00674B41" w:rsidRPr="00B20F04" w14:paraId="53618463" w14:textId="598C48F9" w:rsidTr="00674B41">
        <w:tc>
          <w:tcPr>
            <w:tcW w:w="1952" w:type="pct"/>
            <w:tcBorders>
              <w:bottom w:val="single" w:sz="4" w:space="0" w:color="auto"/>
            </w:tcBorders>
          </w:tcPr>
          <w:p w14:paraId="0AED1435" w14:textId="0700C1CE" w:rsidR="00674B41" w:rsidRPr="00B20F04" w:rsidRDefault="00674B41" w:rsidP="00674B41">
            <w:pPr>
              <w:keepNext w:val="0"/>
              <w:spacing w:after="0" w:line="480" w:lineRule="auto"/>
              <w:ind w:left="284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HR vs FF 12 µg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442CEB94" w14:textId="67E1D46F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0.82**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0A565AB2" w14:textId="222F8535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0.97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DE20E8B" w14:textId="2A91EC52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75D84EFF" w14:textId="44AA2B0E" w:rsidR="00674B41" w:rsidRPr="00B20F04" w:rsidRDefault="00674B41" w:rsidP="006D6993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</w:tr>
    </w:tbl>
    <w:p w14:paraId="136318DB" w14:textId="77777777" w:rsidR="009B5DB9" w:rsidRPr="00B20F04" w:rsidRDefault="009B5DB9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t>*p&lt;0.05, **p&lt;0.01, ***p&lt;0.001</w:t>
      </w:r>
    </w:p>
    <w:p w14:paraId="5BBD3730" w14:textId="49B6C0EE" w:rsidR="00C8133A" w:rsidRPr="00B20F04" w:rsidRDefault="007E0ABE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vertAlign w:val="superscript"/>
          <w:lang w:val="en-US" w:eastAsia="en-GB"/>
        </w:rPr>
        <w:t>a</w:t>
      </w:r>
      <w:r w:rsidR="00C8133A" w:rsidRPr="00B20F04">
        <w:rPr>
          <w:noProof/>
          <w:szCs w:val="24"/>
          <w:lang w:val="en-US" w:eastAsia="en-GB"/>
        </w:rPr>
        <w:t>Weeks 4, 12</w:t>
      </w:r>
      <w:r w:rsidR="006B1015" w:rsidRPr="00B20F04">
        <w:rPr>
          <w:noProof/>
          <w:szCs w:val="24"/>
          <w:lang w:val="en-US" w:eastAsia="en-GB"/>
        </w:rPr>
        <w:t>,</w:t>
      </w:r>
      <w:r w:rsidR="00C8133A" w:rsidRPr="00B20F04">
        <w:rPr>
          <w:noProof/>
          <w:szCs w:val="24"/>
          <w:lang w:val="en-US" w:eastAsia="en-GB"/>
        </w:rPr>
        <w:t xml:space="preserve"> and 24</w:t>
      </w:r>
    </w:p>
    <w:p w14:paraId="6F27DCC8" w14:textId="58F83704" w:rsidR="0030729C" w:rsidRPr="00B20F04" w:rsidRDefault="0030729C" w:rsidP="0030729C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szCs w:val="24"/>
          <w:lang w:val="en-US"/>
        </w:rPr>
        <w:t>The risk of a</w:t>
      </w:r>
      <w:r w:rsidR="00D36A98" w:rsidRPr="00B20F04">
        <w:rPr>
          <w:szCs w:val="24"/>
          <w:lang w:val="en-US"/>
        </w:rPr>
        <w:t xml:space="preserve"> first</w:t>
      </w:r>
      <w:r w:rsidRPr="00B20F04">
        <w:rPr>
          <w:szCs w:val="24"/>
          <w:lang w:val="en-US"/>
        </w:rPr>
        <w:t xml:space="preserve"> CID event was analyzed using a Cox-Proportional Hazard model including study, treatment group, and smoking status as covariates</w:t>
      </w:r>
    </w:p>
    <w:p w14:paraId="0CCBE7AD" w14:textId="61BD7BB1" w:rsidR="006B1015" w:rsidRPr="00B20F04" w:rsidRDefault="006B1015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t>AB, aclidinium bromide; CID, clinically important deterioration; FF, formoterol fumarate; HR, hazard ratio; ITT, intent-to-treat</w:t>
      </w:r>
    </w:p>
    <w:p w14:paraId="28D5E298" w14:textId="77777777" w:rsidR="006B1015" w:rsidRPr="00B20F04" w:rsidRDefault="006B1015" w:rsidP="00F13CDF">
      <w:pPr>
        <w:keepNext w:val="0"/>
        <w:spacing w:afterLines="120" w:after="288" w:line="480" w:lineRule="auto"/>
        <w:rPr>
          <w:b/>
          <w:noProof/>
          <w:szCs w:val="24"/>
          <w:lang w:val="en-US" w:eastAsia="en-GB"/>
        </w:rPr>
        <w:sectPr w:rsidR="006B1015" w:rsidRPr="00B20F04" w:rsidSect="00B51135">
          <w:footerReference w:type="default" r:id="rId11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A55AFA2" w14:textId="36A3FAF5" w:rsidR="000C4DC8" w:rsidRPr="00B20F04" w:rsidRDefault="000C4DC8" w:rsidP="00F13CDF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lastRenderedPageBreak/>
        <w:t>Supplement</w:t>
      </w:r>
      <w:r w:rsidR="008C5C56" w:rsidRPr="00B20F04">
        <w:rPr>
          <w:b/>
          <w:noProof/>
          <w:szCs w:val="24"/>
          <w:lang w:val="en-US" w:eastAsia="en-GB"/>
        </w:rPr>
        <w:t>ary</w:t>
      </w:r>
      <w:r w:rsidRPr="00B20F04">
        <w:rPr>
          <w:b/>
          <w:noProof/>
          <w:szCs w:val="24"/>
          <w:lang w:val="en-US" w:eastAsia="en-GB"/>
        </w:rPr>
        <w:t xml:space="preserve"> Table </w:t>
      </w:r>
      <w:r w:rsidR="009A5FC7" w:rsidRPr="00B20F04">
        <w:rPr>
          <w:b/>
          <w:noProof/>
          <w:szCs w:val="24"/>
          <w:lang w:val="en-US" w:eastAsia="en-GB"/>
        </w:rPr>
        <w:t>4</w:t>
      </w:r>
      <w:r w:rsidRPr="00B20F04">
        <w:rPr>
          <w:b/>
          <w:noProof/>
          <w:szCs w:val="24"/>
          <w:lang w:val="en-US" w:eastAsia="en-GB"/>
        </w:rPr>
        <w:t>.</w:t>
      </w:r>
      <w:r w:rsidRPr="00B20F04">
        <w:rPr>
          <w:noProof/>
          <w:szCs w:val="24"/>
          <w:lang w:val="en-US" w:eastAsia="en-GB"/>
        </w:rPr>
        <w:t xml:space="preserve"> </w:t>
      </w:r>
      <w:r w:rsidR="006D6993" w:rsidRPr="00B20F04">
        <w:rPr>
          <w:noProof/>
          <w:szCs w:val="24"/>
          <w:lang w:val="en-US" w:eastAsia="en-GB"/>
        </w:rPr>
        <w:t xml:space="preserve">Sensitivity analysis of </w:t>
      </w:r>
      <w:r w:rsidR="0059518E" w:rsidRPr="00B20F04">
        <w:rPr>
          <w:noProof/>
          <w:szCs w:val="24"/>
          <w:lang w:val="en-US" w:eastAsia="en-GB"/>
        </w:rPr>
        <w:t xml:space="preserve">the </w:t>
      </w:r>
      <w:r w:rsidR="0059518E" w:rsidRPr="00B20F04">
        <w:rPr>
          <w:iCs/>
          <w:szCs w:val="24"/>
          <w:lang w:val="en-US"/>
        </w:rPr>
        <w:t xml:space="preserve">risk of </w:t>
      </w:r>
      <w:r w:rsidR="006D6993" w:rsidRPr="00B20F04">
        <w:rPr>
          <w:iCs/>
          <w:szCs w:val="24"/>
          <w:lang w:val="en-US"/>
        </w:rPr>
        <w:t>sustained CID event</w:t>
      </w:r>
      <w:r w:rsidR="00692464" w:rsidRPr="00B20F04">
        <w:rPr>
          <w:iCs/>
          <w:szCs w:val="24"/>
          <w:lang w:val="en-US"/>
        </w:rPr>
        <w:t>s</w:t>
      </w:r>
      <w:r w:rsidR="006D6993" w:rsidRPr="00B20F04">
        <w:rPr>
          <w:iCs/>
          <w:szCs w:val="24"/>
          <w:lang w:val="en-US"/>
        </w:rPr>
        <w:t xml:space="preserve"> </w:t>
      </w:r>
      <w:r w:rsidR="006D6993" w:rsidRPr="00B20F04">
        <w:rPr>
          <w:noProof/>
          <w:szCs w:val="24"/>
          <w:lang w:val="en-US" w:eastAsia="en-GB"/>
        </w:rPr>
        <w:t>for common visits</w:t>
      </w:r>
      <w:r w:rsidR="006D6993" w:rsidRPr="00B20F04">
        <w:rPr>
          <w:iCs/>
          <w:szCs w:val="24"/>
          <w:lang w:val="en-US"/>
        </w:rPr>
        <w:t xml:space="preserve"> over 24 weeks</w:t>
      </w:r>
      <w:r w:rsidR="00132A42" w:rsidRPr="00B20F04">
        <w:rPr>
          <w:iCs/>
          <w:szCs w:val="24"/>
          <w:lang w:val="en-US"/>
        </w:rPr>
        <w:t xml:space="preserve"> (ITT population)</w:t>
      </w:r>
    </w:p>
    <w:tbl>
      <w:tblPr>
        <w:tblStyle w:val="TableGrid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420"/>
        <w:gridCol w:w="1276"/>
        <w:gridCol w:w="1273"/>
        <w:gridCol w:w="1275"/>
      </w:tblGrid>
      <w:tr w:rsidR="00674B41" w:rsidRPr="00B20F04" w14:paraId="3AEC5146" w14:textId="3F9463DC" w:rsidTr="006B1015">
        <w:tc>
          <w:tcPr>
            <w:tcW w:w="2154" w:type="pct"/>
            <w:tcBorders>
              <w:top w:val="single" w:sz="4" w:space="0" w:color="auto"/>
            </w:tcBorders>
          </w:tcPr>
          <w:p w14:paraId="443FC214" w14:textId="5810D3D7" w:rsidR="00674B41" w:rsidRPr="00B20F04" w:rsidRDefault="00674B41" w:rsidP="00F13CDF">
            <w:pPr>
              <w:keepNext w:val="0"/>
              <w:spacing w:after="0" w:line="480" w:lineRule="auto"/>
              <w:rPr>
                <w:b/>
                <w:noProof/>
                <w:szCs w:val="24"/>
                <w:lang w:val="en-US" w:eastAsia="en-GB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5D054637" w14:textId="5BDB901A" w:rsidR="00674B41" w:rsidRPr="00B20F04" w:rsidRDefault="00674B41" w:rsidP="00F13CDF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AB/FF</w:t>
            </w:r>
            <w:r w:rsidRPr="00B20F04">
              <w:rPr>
                <w:b/>
                <w:iCs/>
                <w:szCs w:val="24"/>
                <w:lang w:val="en-US"/>
              </w:rPr>
              <w:br/>
              <w:t>400/12 µg</w:t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720)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2E639ABA" w14:textId="145DDF27" w:rsidR="00674B41" w:rsidRPr="00B20F04" w:rsidRDefault="00674B41" w:rsidP="00F13CDF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AB</w:t>
            </w:r>
            <w:r w:rsidRPr="00B20F04">
              <w:rPr>
                <w:b/>
                <w:iCs/>
                <w:szCs w:val="24"/>
                <w:lang w:val="en-US"/>
              </w:rPr>
              <w:br/>
              <w:t>400 µg</w:t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720)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14:paraId="3E3396E1" w14:textId="5F597069" w:rsidR="00674B41" w:rsidRPr="00B20F04" w:rsidRDefault="00674B41" w:rsidP="00F13CDF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FF</w:t>
            </w:r>
            <w:r w:rsidRPr="00B20F04">
              <w:rPr>
                <w:b/>
                <w:iCs/>
                <w:szCs w:val="24"/>
                <w:lang w:val="en-US"/>
              </w:rPr>
              <w:br/>
              <w:t>12 µg</w:t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715)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604AE15C" w14:textId="77777777" w:rsidR="006B1015" w:rsidRPr="00B20F04" w:rsidRDefault="00674B41" w:rsidP="00F13CDF">
            <w:pPr>
              <w:keepNext w:val="0"/>
              <w:spacing w:after="0" w:line="480" w:lineRule="auto"/>
              <w:jc w:val="center"/>
              <w:rPr>
                <w:b/>
                <w:iCs/>
                <w:szCs w:val="24"/>
                <w:lang w:val="en-US"/>
              </w:rPr>
            </w:pPr>
            <w:r w:rsidRPr="00B20F04">
              <w:rPr>
                <w:b/>
                <w:iCs/>
                <w:szCs w:val="24"/>
                <w:lang w:val="en-US"/>
              </w:rPr>
              <w:t>Placebo</w:t>
            </w:r>
            <w:r w:rsidRPr="00B20F04">
              <w:rPr>
                <w:b/>
                <w:iCs/>
                <w:szCs w:val="24"/>
                <w:lang w:val="en-US"/>
              </w:rPr>
              <w:br/>
            </w:r>
          </w:p>
          <w:p w14:paraId="3AC7D427" w14:textId="33B47E02" w:rsidR="00674B41" w:rsidRPr="00B20F04" w:rsidRDefault="00674B41" w:rsidP="00F13CDF">
            <w:pPr>
              <w:keepNext w:val="0"/>
              <w:spacing w:after="0" w:line="480" w:lineRule="auto"/>
              <w:jc w:val="center"/>
              <w:rPr>
                <w:b/>
                <w:iCs/>
                <w:szCs w:val="24"/>
                <w:lang w:val="en-US"/>
              </w:rPr>
            </w:pPr>
            <w:r w:rsidRPr="00B20F04">
              <w:rPr>
                <w:b/>
                <w:iCs/>
                <w:szCs w:val="24"/>
                <w:lang w:val="en-US"/>
              </w:rPr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525)</w:t>
            </w:r>
          </w:p>
        </w:tc>
      </w:tr>
      <w:tr w:rsidR="00674B41" w:rsidRPr="00B20F04" w14:paraId="605EC1C3" w14:textId="1F229EDB" w:rsidTr="006B1015">
        <w:tc>
          <w:tcPr>
            <w:tcW w:w="2154" w:type="pct"/>
          </w:tcPr>
          <w:p w14:paraId="22B69D33" w14:textId="2E941CD9" w:rsidR="00674B41" w:rsidRPr="00B20F04" w:rsidRDefault="00674B41" w:rsidP="006A0194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 xml:space="preserve">Percentage of patients with </w:t>
            </w:r>
            <w:r w:rsidR="00AA2EC9" w:rsidRPr="00B20F04">
              <w:rPr>
                <w:noProof/>
                <w:szCs w:val="24"/>
                <w:lang w:val="en-US" w:eastAsia="en-GB"/>
              </w:rPr>
              <w:br/>
            </w:r>
            <w:r w:rsidRPr="00B20F04">
              <w:rPr>
                <w:noProof/>
                <w:szCs w:val="24"/>
                <w:lang w:val="en-US" w:eastAsia="en-GB"/>
              </w:rPr>
              <w:t xml:space="preserve">≥1 </w:t>
            </w:r>
            <w:r w:rsidR="006A0194" w:rsidRPr="00B20F04">
              <w:rPr>
                <w:noProof/>
                <w:szCs w:val="24"/>
                <w:lang w:val="en-US" w:eastAsia="en-GB"/>
              </w:rPr>
              <w:t xml:space="preserve">sustained </w:t>
            </w:r>
            <w:r w:rsidRPr="00B20F04">
              <w:rPr>
                <w:noProof/>
                <w:szCs w:val="24"/>
                <w:lang w:val="en-US" w:eastAsia="en-GB"/>
              </w:rPr>
              <w:t>CID during the study</w:t>
            </w:r>
            <w:r w:rsidRPr="00B20F04">
              <w:rPr>
                <w:noProof/>
                <w:szCs w:val="24"/>
                <w:vertAlign w:val="superscript"/>
                <w:lang w:val="en-US" w:eastAsia="en-GB"/>
              </w:rPr>
              <w:t>a</w:t>
            </w:r>
          </w:p>
        </w:tc>
        <w:tc>
          <w:tcPr>
            <w:tcW w:w="770" w:type="pct"/>
          </w:tcPr>
          <w:p w14:paraId="52B96A4B" w14:textId="03A46821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19.7</w:t>
            </w:r>
          </w:p>
        </w:tc>
        <w:tc>
          <w:tcPr>
            <w:tcW w:w="692" w:type="pct"/>
          </w:tcPr>
          <w:p w14:paraId="2E2FA500" w14:textId="38443EA1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22.5</w:t>
            </w:r>
          </w:p>
        </w:tc>
        <w:tc>
          <w:tcPr>
            <w:tcW w:w="691" w:type="pct"/>
          </w:tcPr>
          <w:p w14:paraId="74D9BE19" w14:textId="24042CA7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27.1</w:t>
            </w:r>
          </w:p>
        </w:tc>
        <w:tc>
          <w:tcPr>
            <w:tcW w:w="692" w:type="pct"/>
          </w:tcPr>
          <w:p w14:paraId="0E35045D" w14:textId="691AF673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37.5</w:t>
            </w:r>
          </w:p>
        </w:tc>
      </w:tr>
      <w:tr w:rsidR="00674B41" w:rsidRPr="00B20F04" w14:paraId="28F13ED1" w14:textId="22F51E3B" w:rsidTr="006B1015">
        <w:tc>
          <w:tcPr>
            <w:tcW w:w="2154" w:type="pct"/>
          </w:tcPr>
          <w:p w14:paraId="272184AF" w14:textId="6E3F787D" w:rsidR="00674B41" w:rsidRPr="00B20F04" w:rsidRDefault="00674B41" w:rsidP="006A0194">
            <w:pPr>
              <w:keepNext w:val="0"/>
              <w:spacing w:after="0" w:line="480" w:lineRule="auto"/>
              <w:ind w:left="284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HR vs placebo</w:t>
            </w:r>
          </w:p>
        </w:tc>
        <w:tc>
          <w:tcPr>
            <w:tcW w:w="770" w:type="pct"/>
          </w:tcPr>
          <w:p w14:paraId="4BEC0038" w14:textId="5F592F7D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0.47***</w:t>
            </w:r>
          </w:p>
        </w:tc>
        <w:tc>
          <w:tcPr>
            <w:tcW w:w="692" w:type="pct"/>
          </w:tcPr>
          <w:p w14:paraId="37D14B99" w14:textId="7B7FC312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0.54***</w:t>
            </w:r>
          </w:p>
        </w:tc>
        <w:tc>
          <w:tcPr>
            <w:tcW w:w="691" w:type="pct"/>
          </w:tcPr>
          <w:p w14:paraId="734DEB98" w14:textId="6F6B8E16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0.66***</w:t>
            </w:r>
          </w:p>
        </w:tc>
        <w:tc>
          <w:tcPr>
            <w:tcW w:w="692" w:type="pct"/>
          </w:tcPr>
          <w:p w14:paraId="30958AFC" w14:textId="4A6D91E3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</w:tr>
      <w:tr w:rsidR="00674B41" w:rsidRPr="00B20F04" w14:paraId="052D7299" w14:textId="7401BF4F" w:rsidTr="006B1015">
        <w:tc>
          <w:tcPr>
            <w:tcW w:w="2154" w:type="pct"/>
          </w:tcPr>
          <w:p w14:paraId="4A03931E" w14:textId="13FE4408" w:rsidR="00674B41" w:rsidRPr="00B20F04" w:rsidRDefault="00674B41" w:rsidP="006A0194">
            <w:pPr>
              <w:keepNext w:val="0"/>
              <w:spacing w:after="0" w:line="480" w:lineRule="auto"/>
              <w:ind w:left="284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 xml:space="preserve">HR vs AB 400 µg </w:t>
            </w:r>
          </w:p>
        </w:tc>
        <w:tc>
          <w:tcPr>
            <w:tcW w:w="770" w:type="pct"/>
          </w:tcPr>
          <w:p w14:paraId="062FD2C6" w14:textId="6D233244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0.86</w:t>
            </w:r>
          </w:p>
        </w:tc>
        <w:tc>
          <w:tcPr>
            <w:tcW w:w="692" w:type="pct"/>
          </w:tcPr>
          <w:p w14:paraId="73B5A67B" w14:textId="4CE5D16C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  <w:tc>
          <w:tcPr>
            <w:tcW w:w="691" w:type="pct"/>
          </w:tcPr>
          <w:p w14:paraId="1AC0B180" w14:textId="27A009A2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  <w:tc>
          <w:tcPr>
            <w:tcW w:w="692" w:type="pct"/>
          </w:tcPr>
          <w:p w14:paraId="02152AC5" w14:textId="688291D2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</w:tr>
      <w:tr w:rsidR="00674B41" w:rsidRPr="00B20F04" w14:paraId="5B86428B" w14:textId="01167ECB" w:rsidTr="00CD11DC">
        <w:tc>
          <w:tcPr>
            <w:tcW w:w="2154" w:type="pct"/>
            <w:tcBorders>
              <w:bottom w:val="single" w:sz="2" w:space="0" w:color="auto"/>
            </w:tcBorders>
          </w:tcPr>
          <w:p w14:paraId="3B920F41" w14:textId="38E3765B" w:rsidR="00674B41" w:rsidRPr="00B20F04" w:rsidRDefault="00674B41" w:rsidP="006A0194">
            <w:pPr>
              <w:keepNext w:val="0"/>
              <w:spacing w:after="0" w:line="480" w:lineRule="auto"/>
              <w:ind w:left="284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HR vs FF 12 µg</w:t>
            </w:r>
          </w:p>
        </w:tc>
        <w:tc>
          <w:tcPr>
            <w:tcW w:w="770" w:type="pct"/>
            <w:tcBorders>
              <w:bottom w:val="single" w:sz="2" w:space="0" w:color="auto"/>
            </w:tcBorders>
          </w:tcPr>
          <w:p w14:paraId="6D6008E0" w14:textId="3F4C4C98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0.71**</w:t>
            </w:r>
          </w:p>
        </w:tc>
        <w:tc>
          <w:tcPr>
            <w:tcW w:w="692" w:type="pct"/>
            <w:tcBorders>
              <w:bottom w:val="single" w:sz="2" w:space="0" w:color="auto"/>
            </w:tcBorders>
          </w:tcPr>
          <w:p w14:paraId="18417888" w14:textId="525DE7A9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0.82</w:t>
            </w:r>
          </w:p>
        </w:tc>
        <w:tc>
          <w:tcPr>
            <w:tcW w:w="691" w:type="pct"/>
            <w:tcBorders>
              <w:bottom w:val="single" w:sz="2" w:space="0" w:color="auto"/>
            </w:tcBorders>
          </w:tcPr>
          <w:p w14:paraId="22B9B653" w14:textId="700FBE41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570AE034" w14:textId="344C7F9B" w:rsidR="00674B41" w:rsidRPr="00B20F04" w:rsidRDefault="00674B41" w:rsidP="00674B41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-</w:t>
            </w:r>
          </w:p>
        </w:tc>
      </w:tr>
    </w:tbl>
    <w:p w14:paraId="48B3A590" w14:textId="37503EC4" w:rsidR="0003249E" w:rsidRPr="00B20F04" w:rsidRDefault="0003249E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t>*</w:t>
      </w:r>
      <w:r w:rsidR="00692464" w:rsidRPr="00B20F04">
        <w:rPr>
          <w:noProof/>
          <w:szCs w:val="24"/>
          <w:lang w:val="en-US" w:eastAsia="en-GB"/>
        </w:rPr>
        <w:t>*</w:t>
      </w:r>
      <w:r w:rsidRPr="00B20F04">
        <w:rPr>
          <w:noProof/>
          <w:szCs w:val="24"/>
          <w:lang w:val="en-US" w:eastAsia="en-GB"/>
        </w:rPr>
        <w:t>p&lt;0.0</w:t>
      </w:r>
      <w:r w:rsidR="00692464" w:rsidRPr="00B20F04">
        <w:rPr>
          <w:noProof/>
          <w:szCs w:val="24"/>
          <w:lang w:val="en-US" w:eastAsia="en-GB"/>
        </w:rPr>
        <w:t>1</w:t>
      </w:r>
      <w:r w:rsidRPr="00B20F04">
        <w:rPr>
          <w:noProof/>
          <w:szCs w:val="24"/>
          <w:lang w:val="en-US" w:eastAsia="en-GB"/>
        </w:rPr>
        <w:t>, ***p&lt;0.0</w:t>
      </w:r>
      <w:r w:rsidR="00642753" w:rsidRPr="00B20F04">
        <w:rPr>
          <w:noProof/>
          <w:szCs w:val="24"/>
          <w:lang w:val="en-US" w:eastAsia="en-GB"/>
        </w:rPr>
        <w:t>01</w:t>
      </w:r>
    </w:p>
    <w:p w14:paraId="2EE361B3" w14:textId="397DDF02" w:rsidR="0003249E" w:rsidRPr="00B20F04" w:rsidRDefault="0003249E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vertAlign w:val="superscript"/>
          <w:lang w:val="en-US" w:eastAsia="en-GB"/>
        </w:rPr>
        <w:t>a</w:t>
      </w:r>
      <w:r w:rsidRPr="00B20F04">
        <w:rPr>
          <w:noProof/>
          <w:szCs w:val="24"/>
          <w:lang w:val="en-US" w:eastAsia="en-GB"/>
        </w:rPr>
        <w:t>Weeks 4, 12</w:t>
      </w:r>
      <w:r w:rsidR="006B1015" w:rsidRPr="00B20F04">
        <w:rPr>
          <w:noProof/>
          <w:szCs w:val="24"/>
          <w:lang w:val="en-US" w:eastAsia="en-GB"/>
        </w:rPr>
        <w:t>,</w:t>
      </w:r>
      <w:r w:rsidRPr="00B20F04">
        <w:rPr>
          <w:noProof/>
          <w:szCs w:val="24"/>
          <w:lang w:val="en-US" w:eastAsia="en-GB"/>
        </w:rPr>
        <w:t xml:space="preserve"> and 24</w:t>
      </w:r>
    </w:p>
    <w:p w14:paraId="7B8F8707" w14:textId="7E24EA7B" w:rsidR="0030729C" w:rsidRPr="00B20F04" w:rsidRDefault="0030729C" w:rsidP="00C023DE">
      <w:pPr>
        <w:keepNext w:val="0"/>
        <w:spacing w:after="0" w:line="480" w:lineRule="auto"/>
        <w:rPr>
          <w:szCs w:val="24"/>
          <w:lang w:val="en-US"/>
        </w:rPr>
      </w:pPr>
      <w:r w:rsidRPr="00B20F04">
        <w:rPr>
          <w:szCs w:val="24"/>
          <w:lang w:val="en-US"/>
        </w:rPr>
        <w:t xml:space="preserve">The risk of a </w:t>
      </w:r>
      <w:r w:rsidR="00D36A98" w:rsidRPr="00B20F04">
        <w:rPr>
          <w:szCs w:val="24"/>
          <w:lang w:val="en-US"/>
        </w:rPr>
        <w:t xml:space="preserve">sustained </w:t>
      </w:r>
      <w:r w:rsidRPr="00B20F04">
        <w:rPr>
          <w:szCs w:val="24"/>
          <w:lang w:val="en-US"/>
        </w:rPr>
        <w:t>CID event was analyzed using a Cox-Proportional Hazard model including study, treatment group, and smoking status as covariates</w:t>
      </w:r>
    </w:p>
    <w:p w14:paraId="64586400" w14:textId="4C3BFF18" w:rsidR="006B1015" w:rsidRPr="00B20F04" w:rsidRDefault="006B1015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t>AB, aclidinium bromide; CID, clinically important deterioration; FF, formoterol fumarate; HR, hazard ratio; ITT, intent-to-treat</w:t>
      </w:r>
    </w:p>
    <w:p w14:paraId="03F17836" w14:textId="77777777" w:rsidR="006B1015" w:rsidRPr="00B20F04" w:rsidRDefault="006B1015" w:rsidP="00F13CDF">
      <w:pPr>
        <w:keepNext w:val="0"/>
        <w:spacing w:afterLines="120" w:after="288" w:line="480" w:lineRule="auto"/>
        <w:rPr>
          <w:b/>
          <w:noProof/>
          <w:szCs w:val="24"/>
          <w:lang w:val="en-US" w:eastAsia="en-GB"/>
        </w:rPr>
      </w:pPr>
    </w:p>
    <w:p w14:paraId="64FA4915" w14:textId="77777777" w:rsidR="0003249E" w:rsidRPr="00B20F04" w:rsidRDefault="00B4555E" w:rsidP="00F13CDF">
      <w:pPr>
        <w:keepNext w:val="0"/>
        <w:spacing w:afterLines="120" w:after="288" w:line="480" w:lineRule="auto"/>
        <w:rPr>
          <w:b/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t xml:space="preserve"> </w:t>
      </w:r>
    </w:p>
    <w:p w14:paraId="70D292ED" w14:textId="77777777" w:rsidR="0003249E" w:rsidRPr="00B20F04" w:rsidRDefault="0003249E" w:rsidP="00F13CDF">
      <w:pPr>
        <w:keepNext w:val="0"/>
        <w:spacing w:afterLines="120" w:after="288" w:line="480" w:lineRule="auto"/>
        <w:rPr>
          <w:b/>
          <w:noProof/>
          <w:szCs w:val="24"/>
          <w:lang w:val="en-US" w:eastAsia="en-GB"/>
        </w:rPr>
        <w:sectPr w:rsidR="0003249E" w:rsidRPr="00B20F04" w:rsidSect="00EE7472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595B884E" w14:textId="7ADC9187" w:rsidR="000C4DC8" w:rsidRPr="00B20F04" w:rsidRDefault="000C4DC8" w:rsidP="00F13CDF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lastRenderedPageBreak/>
        <w:t>Supplement</w:t>
      </w:r>
      <w:r w:rsidR="008C5C56" w:rsidRPr="00B20F04">
        <w:rPr>
          <w:b/>
          <w:noProof/>
          <w:szCs w:val="24"/>
          <w:lang w:val="en-US" w:eastAsia="en-GB"/>
        </w:rPr>
        <w:t>ary</w:t>
      </w:r>
      <w:r w:rsidRPr="00B20F04">
        <w:rPr>
          <w:b/>
          <w:noProof/>
          <w:szCs w:val="24"/>
          <w:lang w:val="en-US" w:eastAsia="en-GB"/>
        </w:rPr>
        <w:t xml:space="preserve"> Table </w:t>
      </w:r>
      <w:r w:rsidR="009A5FC7" w:rsidRPr="00B20F04">
        <w:rPr>
          <w:b/>
          <w:noProof/>
          <w:szCs w:val="24"/>
          <w:lang w:val="en-US" w:eastAsia="en-GB"/>
        </w:rPr>
        <w:t>5</w:t>
      </w:r>
      <w:r w:rsidRPr="00B20F04">
        <w:rPr>
          <w:b/>
          <w:noProof/>
          <w:szCs w:val="24"/>
          <w:lang w:val="en-US" w:eastAsia="en-GB"/>
        </w:rPr>
        <w:t>.</w:t>
      </w:r>
      <w:r w:rsidRPr="00B20F04">
        <w:rPr>
          <w:noProof/>
          <w:szCs w:val="24"/>
          <w:lang w:val="en-US" w:eastAsia="en-GB"/>
        </w:rPr>
        <w:t xml:space="preserve"> </w:t>
      </w:r>
      <w:r w:rsidR="006B1015" w:rsidRPr="00B20F04">
        <w:rPr>
          <w:szCs w:val="24"/>
          <w:lang w:val="en-US" w:eastAsia="en-GB"/>
        </w:rPr>
        <w:t>Characteriz</w:t>
      </w:r>
      <w:r w:rsidRPr="00B20F04">
        <w:rPr>
          <w:szCs w:val="24"/>
          <w:lang w:val="en-US" w:eastAsia="en-GB"/>
        </w:rPr>
        <w:t>ation</w:t>
      </w:r>
      <w:r w:rsidRPr="00B20F04">
        <w:rPr>
          <w:noProof/>
          <w:szCs w:val="24"/>
          <w:lang w:val="en-US" w:eastAsia="en-GB"/>
        </w:rPr>
        <w:t xml:space="preserve"> of patients according to CID endpoints </w:t>
      </w:r>
      <w:r w:rsidR="00132A42" w:rsidRPr="00B20F04">
        <w:rPr>
          <w:noProof/>
          <w:szCs w:val="24"/>
          <w:lang w:val="en-US" w:eastAsia="en-GB"/>
        </w:rPr>
        <w:t>achieved (ITT population)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4"/>
        <w:gridCol w:w="1506"/>
        <w:gridCol w:w="1506"/>
        <w:gridCol w:w="1504"/>
      </w:tblGrid>
      <w:tr w:rsidR="00823D22" w:rsidRPr="00B20F04" w14:paraId="710B532D" w14:textId="77777777" w:rsidTr="001E017C"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2788FC11" w14:textId="121FA3A6" w:rsidR="00823D22" w:rsidRPr="00B20F04" w:rsidRDefault="00823D22" w:rsidP="004B6F94">
            <w:pPr>
              <w:keepNext w:val="0"/>
              <w:spacing w:after="0" w:line="480" w:lineRule="auto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noProof/>
                <w:szCs w:val="24"/>
                <w:lang w:val="en-US" w:eastAsia="en-GB"/>
              </w:rPr>
              <w:t>Number of CIDs</w:t>
            </w:r>
            <w:r w:rsidR="004B6F94" w:rsidRPr="00B20F04">
              <w:rPr>
                <w:b/>
                <w:noProof/>
                <w:szCs w:val="24"/>
                <w:lang w:val="en-US" w:eastAsia="en-GB"/>
              </w:rPr>
              <w:t>, n (%)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4D3AE8F3" w14:textId="088ED462" w:rsidR="00823D22" w:rsidRPr="00B20F04" w:rsidRDefault="00823D22" w:rsidP="00F13CDF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AB/FF</w:t>
            </w:r>
            <w:r w:rsidRPr="00B20F04">
              <w:rPr>
                <w:b/>
                <w:iCs/>
                <w:szCs w:val="24"/>
                <w:lang w:val="en-US"/>
              </w:rPr>
              <w:br/>
              <w:t>400/12 µg</w:t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="001E017C" w:rsidRPr="00B20F04">
              <w:rPr>
                <w:b/>
                <w:iCs/>
                <w:szCs w:val="24"/>
                <w:lang w:val="en-US"/>
              </w:rPr>
              <w:t>462</w:t>
            </w:r>
            <w:r w:rsidRPr="00B20F04">
              <w:rPr>
                <w:b/>
                <w:iCs/>
                <w:szCs w:val="24"/>
                <w:lang w:val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680784C5" w14:textId="5A210A29" w:rsidR="00823D22" w:rsidRPr="00B20F04" w:rsidRDefault="00823D22" w:rsidP="00F13CDF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AB</w:t>
            </w:r>
            <w:r w:rsidRPr="00B20F04">
              <w:rPr>
                <w:b/>
                <w:iCs/>
                <w:szCs w:val="24"/>
                <w:lang w:val="en-US"/>
              </w:rPr>
              <w:br/>
              <w:t>400 µg</w:t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="001E017C" w:rsidRPr="00B20F04">
              <w:rPr>
                <w:b/>
                <w:iCs/>
                <w:szCs w:val="24"/>
                <w:lang w:val="en-US"/>
              </w:rPr>
              <w:t>511</w:t>
            </w:r>
            <w:r w:rsidRPr="00B20F04">
              <w:rPr>
                <w:b/>
                <w:iCs/>
                <w:szCs w:val="24"/>
                <w:lang w:val="en-US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037D7940" w14:textId="65B668AF" w:rsidR="00823D22" w:rsidRPr="00B20F04" w:rsidRDefault="00823D22" w:rsidP="00F13CDF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FF</w:t>
            </w:r>
            <w:r w:rsidRPr="00B20F04">
              <w:rPr>
                <w:b/>
                <w:iCs/>
                <w:szCs w:val="24"/>
                <w:lang w:val="en-US"/>
              </w:rPr>
              <w:br/>
              <w:t>12 µg</w:t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="001E017C" w:rsidRPr="00B20F04">
              <w:rPr>
                <w:b/>
                <w:iCs/>
                <w:szCs w:val="24"/>
                <w:lang w:val="en-US"/>
              </w:rPr>
              <w:t>519</w:t>
            </w:r>
            <w:r w:rsidRPr="00B20F04">
              <w:rPr>
                <w:b/>
                <w:iCs/>
                <w:szCs w:val="24"/>
                <w:lang w:val="en-US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7FA12D24" w14:textId="685352CF" w:rsidR="00823D22" w:rsidRPr="00B20F04" w:rsidRDefault="00823D22" w:rsidP="00F13CDF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iCs/>
                <w:szCs w:val="24"/>
                <w:lang w:val="en-US"/>
              </w:rPr>
              <w:t>Placebo</w:t>
            </w:r>
            <w:r w:rsidRPr="00B20F04">
              <w:rPr>
                <w:b/>
                <w:iCs/>
                <w:szCs w:val="24"/>
                <w:lang w:val="en-US"/>
              </w:rPr>
              <w:br/>
            </w:r>
            <w:r w:rsidRPr="00B20F04">
              <w:rPr>
                <w:b/>
                <w:iCs/>
                <w:szCs w:val="24"/>
                <w:lang w:val="en-US"/>
              </w:rPr>
              <w:br/>
              <w:t>(n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Pr="00B20F04">
              <w:rPr>
                <w:b/>
                <w:iCs/>
                <w:szCs w:val="24"/>
                <w:lang w:val="en-US"/>
              </w:rPr>
              <w:t>=</w:t>
            </w:r>
            <w:r w:rsidR="006B1015" w:rsidRPr="00B20F04">
              <w:rPr>
                <w:b/>
                <w:iCs/>
                <w:szCs w:val="24"/>
                <w:lang w:val="en-US"/>
              </w:rPr>
              <w:t xml:space="preserve"> </w:t>
            </w:r>
            <w:r w:rsidR="001E017C" w:rsidRPr="00B20F04">
              <w:rPr>
                <w:b/>
                <w:iCs/>
                <w:szCs w:val="24"/>
                <w:lang w:val="en-US"/>
              </w:rPr>
              <w:t>444</w:t>
            </w:r>
            <w:r w:rsidRPr="00B20F04">
              <w:rPr>
                <w:b/>
                <w:iCs/>
                <w:szCs w:val="24"/>
                <w:lang w:val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654DB450" w14:textId="1CB98082" w:rsidR="00823D22" w:rsidRPr="00B20F04" w:rsidRDefault="00823D22" w:rsidP="00F13CDF">
            <w:pPr>
              <w:keepNext w:val="0"/>
              <w:spacing w:after="0" w:line="480" w:lineRule="auto"/>
              <w:jc w:val="center"/>
              <w:rPr>
                <w:b/>
                <w:noProof/>
                <w:szCs w:val="24"/>
                <w:lang w:val="en-US" w:eastAsia="en-GB"/>
              </w:rPr>
            </w:pPr>
            <w:r w:rsidRPr="00B20F04">
              <w:rPr>
                <w:b/>
                <w:noProof/>
                <w:szCs w:val="24"/>
                <w:lang w:val="en-US" w:eastAsia="en-GB"/>
              </w:rPr>
              <w:t>Total</w:t>
            </w:r>
            <w:r w:rsidRPr="00B20F04">
              <w:rPr>
                <w:b/>
                <w:noProof/>
                <w:szCs w:val="24"/>
                <w:lang w:val="en-US" w:eastAsia="en-GB"/>
              </w:rPr>
              <w:br/>
            </w:r>
            <w:r w:rsidRPr="00B20F04">
              <w:rPr>
                <w:b/>
                <w:noProof/>
                <w:szCs w:val="24"/>
                <w:lang w:val="en-US" w:eastAsia="en-GB"/>
              </w:rPr>
              <w:br/>
            </w:r>
            <w:r w:rsidR="00134778" w:rsidRPr="00B20F04">
              <w:rPr>
                <w:b/>
                <w:noProof/>
                <w:szCs w:val="24"/>
                <w:lang w:val="en-US" w:eastAsia="en-GB"/>
              </w:rPr>
              <w:t>(n</w:t>
            </w:r>
            <w:r w:rsidR="006B1015" w:rsidRPr="00B20F04">
              <w:rPr>
                <w:b/>
                <w:noProof/>
                <w:szCs w:val="24"/>
                <w:lang w:val="en-US" w:eastAsia="en-GB"/>
              </w:rPr>
              <w:t xml:space="preserve"> </w:t>
            </w:r>
            <w:r w:rsidR="00134778" w:rsidRPr="00B20F04">
              <w:rPr>
                <w:b/>
                <w:noProof/>
                <w:szCs w:val="24"/>
                <w:lang w:val="en-US" w:eastAsia="en-GB"/>
              </w:rPr>
              <w:t>=</w:t>
            </w:r>
            <w:r w:rsidR="006B1015" w:rsidRPr="00B20F04">
              <w:rPr>
                <w:b/>
                <w:noProof/>
                <w:szCs w:val="24"/>
                <w:lang w:val="en-US" w:eastAsia="en-GB"/>
              </w:rPr>
              <w:t xml:space="preserve"> </w:t>
            </w:r>
            <w:r w:rsidR="001E017C" w:rsidRPr="00B20F04">
              <w:rPr>
                <w:b/>
                <w:noProof/>
                <w:szCs w:val="24"/>
                <w:lang w:val="en-US" w:eastAsia="en-GB"/>
              </w:rPr>
              <w:t>1936</w:t>
            </w:r>
            <w:r w:rsidR="00134778" w:rsidRPr="00B20F04">
              <w:rPr>
                <w:b/>
                <w:noProof/>
                <w:szCs w:val="24"/>
                <w:lang w:val="en-US" w:eastAsia="en-GB"/>
              </w:rPr>
              <w:t>)</w:t>
            </w:r>
          </w:p>
        </w:tc>
      </w:tr>
      <w:tr w:rsidR="00823D22" w:rsidRPr="00B20F04" w14:paraId="1A2CAC42" w14:textId="77777777" w:rsidTr="001E017C">
        <w:tc>
          <w:tcPr>
            <w:tcW w:w="833" w:type="pct"/>
          </w:tcPr>
          <w:p w14:paraId="5A82D7B0" w14:textId="77777777" w:rsidR="00823D22" w:rsidRPr="00B20F04" w:rsidRDefault="00823D22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1</w:t>
            </w:r>
            <w:r w:rsidRPr="00B20F04">
              <w:rPr>
                <w:noProof/>
                <w:szCs w:val="24"/>
                <w:vertAlign w:val="superscript"/>
                <w:lang w:val="en-US" w:eastAsia="en-GB"/>
              </w:rPr>
              <w:t>a</w:t>
            </w:r>
          </w:p>
        </w:tc>
        <w:tc>
          <w:tcPr>
            <w:tcW w:w="833" w:type="pct"/>
          </w:tcPr>
          <w:p w14:paraId="68995BF8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258 (</w:t>
            </w:r>
            <w:r w:rsidR="001E017C" w:rsidRPr="00B20F04">
              <w:rPr>
                <w:noProof/>
                <w:szCs w:val="24"/>
                <w:lang w:val="en-US" w:eastAsia="en-GB"/>
              </w:rPr>
              <w:t>55.</w:t>
            </w:r>
            <w:r w:rsidR="0079709F" w:rsidRPr="00B20F04">
              <w:rPr>
                <w:noProof/>
                <w:szCs w:val="24"/>
                <w:lang w:val="en-US" w:eastAsia="en-GB"/>
              </w:rPr>
              <w:t>8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3" w:type="pct"/>
          </w:tcPr>
          <w:p w14:paraId="5E6A1B8C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281 (</w:t>
            </w:r>
            <w:r w:rsidR="00C503D3" w:rsidRPr="00B20F04">
              <w:rPr>
                <w:noProof/>
                <w:szCs w:val="24"/>
                <w:lang w:val="en-US" w:eastAsia="en-GB"/>
              </w:rPr>
              <w:t>55.0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4" w:type="pct"/>
          </w:tcPr>
          <w:p w14:paraId="27AFBDA0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234 (</w:t>
            </w:r>
            <w:r w:rsidR="00C503D3" w:rsidRPr="00B20F04">
              <w:rPr>
                <w:noProof/>
                <w:szCs w:val="24"/>
                <w:lang w:val="en-US" w:eastAsia="en-GB"/>
              </w:rPr>
              <w:t>45.1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4" w:type="pct"/>
          </w:tcPr>
          <w:p w14:paraId="1C0A6EF4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170 (3</w:t>
            </w:r>
            <w:r w:rsidR="00C503D3" w:rsidRPr="00B20F04">
              <w:rPr>
                <w:noProof/>
                <w:szCs w:val="24"/>
                <w:lang w:val="en-US" w:eastAsia="en-GB"/>
              </w:rPr>
              <w:t>8</w:t>
            </w:r>
            <w:r w:rsidRPr="00B20F04">
              <w:rPr>
                <w:noProof/>
                <w:szCs w:val="24"/>
                <w:lang w:val="en-US" w:eastAsia="en-GB"/>
              </w:rPr>
              <w:t>.</w:t>
            </w:r>
            <w:r w:rsidR="00C503D3" w:rsidRPr="00B20F04">
              <w:rPr>
                <w:noProof/>
                <w:szCs w:val="24"/>
                <w:lang w:val="en-US" w:eastAsia="en-GB"/>
              </w:rPr>
              <w:t>3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3" w:type="pct"/>
          </w:tcPr>
          <w:p w14:paraId="574F5996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943 (</w:t>
            </w:r>
            <w:r w:rsidR="00C503D3" w:rsidRPr="00B20F04">
              <w:rPr>
                <w:noProof/>
                <w:szCs w:val="24"/>
                <w:lang w:val="en-US" w:eastAsia="en-GB"/>
              </w:rPr>
              <w:t>48.7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</w:tr>
      <w:tr w:rsidR="00823D22" w:rsidRPr="00B20F04" w14:paraId="7EBEA460" w14:textId="77777777" w:rsidTr="001E017C">
        <w:tc>
          <w:tcPr>
            <w:tcW w:w="833" w:type="pct"/>
          </w:tcPr>
          <w:p w14:paraId="3ED90E82" w14:textId="77777777" w:rsidR="00823D22" w:rsidRPr="00B20F04" w:rsidRDefault="00823D22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2</w:t>
            </w:r>
            <w:r w:rsidRPr="00B20F04">
              <w:rPr>
                <w:noProof/>
                <w:szCs w:val="24"/>
                <w:vertAlign w:val="superscript"/>
                <w:lang w:val="en-US" w:eastAsia="en-GB"/>
              </w:rPr>
              <w:t>b</w:t>
            </w:r>
          </w:p>
        </w:tc>
        <w:tc>
          <w:tcPr>
            <w:tcW w:w="833" w:type="pct"/>
          </w:tcPr>
          <w:p w14:paraId="280E635A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138 (</w:t>
            </w:r>
            <w:r w:rsidR="001E017C" w:rsidRPr="00B20F04">
              <w:rPr>
                <w:noProof/>
                <w:szCs w:val="24"/>
                <w:lang w:val="en-US" w:eastAsia="en-GB"/>
              </w:rPr>
              <w:t>29.9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3" w:type="pct"/>
          </w:tcPr>
          <w:p w14:paraId="4B062A2B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152 (</w:t>
            </w:r>
            <w:r w:rsidR="00C503D3" w:rsidRPr="00B20F04">
              <w:rPr>
                <w:noProof/>
                <w:szCs w:val="24"/>
                <w:lang w:val="en-US" w:eastAsia="en-GB"/>
              </w:rPr>
              <w:t>29.7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4" w:type="pct"/>
          </w:tcPr>
          <w:p w14:paraId="468C8F7C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202 (</w:t>
            </w:r>
            <w:r w:rsidR="00C503D3" w:rsidRPr="00B20F04">
              <w:rPr>
                <w:noProof/>
                <w:szCs w:val="24"/>
                <w:lang w:val="en-US" w:eastAsia="en-GB"/>
              </w:rPr>
              <w:t>38.9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4" w:type="pct"/>
          </w:tcPr>
          <w:p w14:paraId="1969560D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173 (3</w:t>
            </w:r>
            <w:r w:rsidR="00C503D3" w:rsidRPr="00B20F04">
              <w:rPr>
                <w:noProof/>
                <w:szCs w:val="24"/>
                <w:lang w:val="en-US" w:eastAsia="en-GB"/>
              </w:rPr>
              <w:t>9</w:t>
            </w:r>
            <w:r w:rsidRPr="00B20F04">
              <w:rPr>
                <w:noProof/>
                <w:szCs w:val="24"/>
                <w:lang w:val="en-US" w:eastAsia="en-GB"/>
              </w:rPr>
              <w:t>.0)</w:t>
            </w:r>
          </w:p>
        </w:tc>
        <w:tc>
          <w:tcPr>
            <w:tcW w:w="833" w:type="pct"/>
          </w:tcPr>
          <w:p w14:paraId="7916E791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665 (</w:t>
            </w:r>
            <w:r w:rsidR="00C503D3" w:rsidRPr="00B20F04">
              <w:rPr>
                <w:noProof/>
                <w:szCs w:val="24"/>
                <w:lang w:val="en-US" w:eastAsia="en-GB"/>
              </w:rPr>
              <w:t>34.3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</w:tr>
      <w:tr w:rsidR="00823D22" w:rsidRPr="00B20F04" w14:paraId="7B269E37" w14:textId="77777777" w:rsidTr="001E017C">
        <w:tc>
          <w:tcPr>
            <w:tcW w:w="833" w:type="pct"/>
          </w:tcPr>
          <w:p w14:paraId="72B4FD12" w14:textId="77777777" w:rsidR="00823D22" w:rsidRPr="00B20F04" w:rsidRDefault="00823D22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3</w:t>
            </w:r>
            <w:r w:rsidRPr="00B20F04">
              <w:rPr>
                <w:noProof/>
                <w:szCs w:val="24"/>
                <w:vertAlign w:val="superscript"/>
                <w:lang w:val="en-US" w:eastAsia="en-GB"/>
              </w:rPr>
              <w:t>c</w:t>
            </w:r>
          </w:p>
        </w:tc>
        <w:tc>
          <w:tcPr>
            <w:tcW w:w="833" w:type="pct"/>
          </w:tcPr>
          <w:p w14:paraId="245D81AB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60 (</w:t>
            </w:r>
            <w:r w:rsidR="001E017C" w:rsidRPr="00B20F04">
              <w:rPr>
                <w:noProof/>
                <w:szCs w:val="24"/>
                <w:lang w:val="en-US" w:eastAsia="en-GB"/>
              </w:rPr>
              <w:t>13.0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3" w:type="pct"/>
          </w:tcPr>
          <w:p w14:paraId="324446C7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67 (</w:t>
            </w:r>
            <w:r w:rsidR="00C503D3" w:rsidRPr="00B20F04">
              <w:rPr>
                <w:noProof/>
                <w:szCs w:val="24"/>
                <w:lang w:val="en-US" w:eastAsia="en-GB"/>
              </w:rPr>
              <w:t>13.1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4" w:type="pct"/>
          </w:tcPr>
          <w:p w14:paraId="005C08FA" w14:textId="77777777" w:rsidR="00823D22" w:rsidRPr="00B20F04" w:rsidRDefault="00C503D3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74 (14.3</w:t>
            </w:r>
            <w:r w:rsidR="00134778"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4" w:type="pct"/>
          </w:tcPr>
          <w:p w14:paraId="65D119A3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87 (</w:t>
            </w:r>
            <w:r w:rsidR="00C503D3" w:rsidRPr="00B20F04">
              <w:rPr>
                <w:noProof/>
                <w:szCs w:val="24"/>
                <w:lang w:val="en-US" w:eastAsia="en-GB"/>
              </w:rPr>
              <w:t>19.6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3" w:type="pct"/>
          </w:tcPr>
          <w:p w14:paraId="21D1729C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288 (</w:t>
            </w:r>
            <w:r w:rsidR="00C503D3" w:rsidRPr="00B20F04">
              <w:rPr>
                <w:noProof/>
                <w:szCs w:val="24"/>
                <w:lang w:val="en-US" w:eastAsia="en-GB"/>
              </w:rPr>
              <w:t>14.9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</w:tr>
      <w:tr w:rsidR="00823D22" w:rsidRPr="00B20F04" w14:paraId="0D07ECEE" w14:textId="77777777" w:rsidTr="001E017C">
        <w:tc>
          <w:tcPr>
            <w:tcW w:w="833" w:type="pct"/>
            <w:tcBorders>
              <w:bottom w:val="single" w:sz="4" w:space="0" w:color="auto"/>
            </w:tcBorders>
          </w:tcPr>
          <w:p w14:paraId="13909221" w14:textId="77777777" w:rsidR="00823D22" w:rsidRPr="00B20F04" w:rsidRDefault="00823D22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4</w:t>
            </w:r>
            <w:r w:rsidRPr="00B20F04">
              <w:rPr>
                <w:noProof/>
                <w:szCs w:val="24"/>
                <w:vertAlign w:val="superscript"/>
                <w:lang w:val="en-US" w:eastAsia="en-GB"/>
              </w:rPr>
              <w:t>d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C42B011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6 (</w:t>
            </w:r>
            <w:r w:rsidR="001E017C" w:rsidRPr="00B20F04">
              <w:rPr>
                <w:noProof/>
                <w:szCs w:val="24"/>
                <w:lang w:val="en-US" w:eastAsia="en-GB"/>
              </w:rPr>
              <w:t>1.3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56938DF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11 (</w:t>
            </w:r>
            <w:r w:rsidR="00C503D3" w:rsidRPr="00B20F04">
              <w:rPr>
                <w:noProof/>
                <w:szCs w:val="24"/>
                <w:lang w:val="en-US" w:eastAsia="en-GB"/>
              </w:rPr>
              <w:t>2.</w:t>
            </w:r>
            <w:r w:rsidR="00DC4150" w:rsidRPr="00B20F04">
              <w:rPr>
                <w:noProof/>
                <w:szCs w:val="24"/>
                <w:lang w:val="en-US" w:eastAsia="en-GB"/>
              </w:rPr>
              <w:t>2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0B77B70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9 (1.</w:t>
            </w:r>
            <w:r w:rsidR="00C503D3" w:rsidRPr="00B20F04">
              <w:rPr>
                <w:noProof/>
                <w:szCs w:val="24"/>
                <w:lang w:val="en-US" w:eastAsia="en-GB"/>
              </w:rPr>
              <w:t>7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A07228D" w14:textId="77777777" w:rsidR="00823D22" w:rsidRPr="00B20F04" w:rsidRDefault="00134778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14 (</w:t>
            </w:r>
            <w:r w:rsidR="00C503D3" w:rsidRPr="00B20F04">
              <w:rPr>
                <w:noProof/>
                <w:szCs w:val="24"/>
                <w:lang w:val="en-US" w:eastAsia="en-GB"/>
              </w:rPr>
              <w:t>3.2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EC52ACE" w14:textId="77777777" w:rsidR="00823D22" w:rsidRPr="00B20F04" w:rsidRDefault="00291646" w:rsidP="00F13CDF">
            <w:pPr>
              <w:keepNext w:val="0"/>
              <w:spacing w:after="0" w:line="480" w:lineRule="auto"/>
              <w:jc w:val="center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40 (</w:t>
            </w:r>
            <w:r w:rsidR="00C503D3" w:rsidRPr="00B20F04">
              <w:rPr>
                <w:noProof/>
                <w:szCs w:val="24"/>
                <w:lang w:val="en-US" w:eastAsia="en-GB"/>
              </w:rPr>
              <w:t>2.1</w:t>
            </w:r>
            <w:r w:rsidRPr="00B20F04">
              <w:rPr>
                <w:noProof/>
                <w:szCs w:val="24"/>
                <w:lang w:val="en-US" w:eastAsia="en-GB"/>
              </w:rPr>
              <w:t>)</w:t>
            </w:r>
          </w:p>
        </w:tc>
      </w:tr>
    </w:tbl>
    <w:p w14:paraId="04191841" w14:textId="5BC50A3D" w:rsidR="00BF32A8" w:rsidRPr="00B20F04" w:rsidRDefault="0068784B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vertAlign w:val="superscript"/>
          <w:lang w:val="en-US" w:eastAsia="en-GB"/>
        </w:rPr>
        <w:t>a</w:t>
      </w:r>
      <w:r w:rsidR="006B1015" w:rsidRPr="00B20F04">
        <w:rPr>
          <w:noProof/>
          <w:szCs w:val="24"/>
          <w:lang w:val="en-US" w:eastAsia="en-GB"/>
        </w:rPr>
        <w:t>D</w:t>
      </w:r>
      <w:r w:rsidRPr="00B20F04">
        <w:rPr>
          <w:noProof/>
          <w:szCs w:val="24"/>
          <w:lang w:val="en-US" w:eastAsia="en-GB"/>
        </w:rPr>
        <w:t>eterioration in</w:t>
      </w:r>
      <w:r w:rsidRPr="00B20F04">
        <w:rPr>
          <w:noProof/>
          <w:szCs w:val="24"/>
          <w:vertAlign w:val="superscript"/>
          <w:lang w:val="en-US" w:eastAsia="en-GB"/>
        </w:rPr>
        <w:t xml:space="preserve"> </w:t>
      </w:r>
      <w:r w:rsidR="006B1015" w:rsidRPr="00B20F04">
        <w:rPr>
          <w:noProof/>
          <w:szCs w:val="24"/>
          <w:lang w:val="en-US" w:eastAsia="en-GB"/>
        </w:rPr>
        <w:t>any CID</w:t>
      </w:r>
      <w:r w:rsidR="00823D22" w:rsidRPr="00B20F04">
        <w:rPr>
          <w:noProof/>
          <w:szCs w:val="24"/>
          <w:lang w:val="en-US" w:eastAsia="en-GB"/>
        </w:rPr>
        <w:t xml:space="preserve"> </w:t>
      </w:r>
      <w:r w:rsidR="00F23435" w:rsidRPr="00B20F04">
        <w:rPr>
          <w:noProof/>
          <w:szCs w:val="24"/>
          <w:lang w:val="en-US" w:eastAsia="en-GB"/>
        </w:rPr>
        <w:t xml:space="preserve">component </w:t>
      </w:r>
      <w:r w:rsidR="00823D22" w:rsidRPr="00B20F04">
        <w:rPr>
          <w:noProof/>
          <w:szCs w:val="24"/>
          <w:lang w:val="en-US" w:eastAsia="en-GB"/>
        </w:rPr>
        <w:t xml:space="preserve">of </w:t>
      </w:r>
      <w:r w:rsidR="00663769" w:rsidRPr="00B20F04">
        <w:rPr>
          <w:noProof/>
          <w:szCs w:val="24"/>
          <w:lang w:val="en-US" w:eastAsia="en-GB"/>
        </w:rPr>
        <w:t xml:space="preserve">trough </w:t>
      </w:r>
      <w:r w:rsidR="00823D22" w:rsidRPr="00B20F04">
        <w:rPr>
          <w:noProof/>
          <w:szCs w:val="24"/>
          <w:lang w:val="en-US" w:eastAsia="en-GB"/>
        </w:rPr>
        <w:t>FEV</w:t>
      </w:r>
      <w:r w:rsidRPr="00B20F04">
        <w:rPr>
          <w:noProof/>
          <w:szCs w:val="24"/>
          <w:vertAlign w:val="subscript"/>
          <w:lang w:val="en-US" w:eastAsia="en-GB"/>
        </w:rPr>
        <w:t>1</w:t>
      </w:r>
      <w:r w:rsidR="00823D22" w:rsidRPr="00B20F04">
        <w:rPr>
          <w:noProof/>
          <w:szCs w:val="24"/>
          <w:lang w:val="en-US" w:eastAsia="en-GB"/>
        </w:rPr>
        <w:t>, TDI</w:t>
      </w:r>
      <w:r w:rsidR="00250B12" w:rsidRPr="00B20F04">
        <w:rPr>
          <w:noProof/>
          <w:szCs w:val="24"/>
          <w:lang w:val="en-US" w:eastAsia="en-GB"/>
        </w:rPr>
        <w:t xml:space="preserve"> focal score</w:t>
      </w:r>
      <w:r w:rsidR="00823D22" w:rsidRPr="00B20F04">
        <w:rPr>
          <w:noProof/>
          <w:szCs w:val="24"/>
          <w:lang w:val="en-US" w:eastAsia="en-GB"/>
        </w:rPr>
        <w:t xml:space="preserve">, SGRQ </w:t>
      </w:r>
      <w:r w:rsidR="00250B12" w:rsidRPr="00B20F04">
        <w:rPr>
          <w:noProof/>
          <w:szCs w:val="24"/>
          <w:lang w:val="en-US" w:eastAsia="en-GB"/>
        </w:rPr>
        <w:t>total score</w:t>
      </w:r>
      <w:r w:rsidR="006B1015" w:rsidRPr="00B20F04">
        <w:rPr>
          <w:noProof/>
          <w:szCs w:val="24"/>
          <w:lang w:val="en-US" w:eastAsia="en-GB"/>
        </w:rPr>
        <w:t>,</w:t>
      </w:r>
      <w:r w:rsidR="00250B12" w:rsidRPr="00B20F04">
        <w:rPr>
          <w:noProof/>
          <w:szCs w:val="24"/>
          <w:lang w:val="en-US" w:eastAsia="en-GB"/>
        </w:rPr>
        <w:t xml:space="preserve"> </w:t>
      </w:r>
      <w:r w:rsidR="00823D22" w:rsidRPr="00B20F04">
        <w:rPr>
          <w:noProof/>
          <w:szCs w:val="24"/>
          <w:lang w:val="en-US" w:eastAsia="en-GB"/>
        </w:rPr>
        <w:t>or exacerbation</w:t>
      </w:r>
    </w:p>
    <w:p w14:paraId="51C430C5" w14:textId="5120964C" w:rsidR="00823D22" w:rsidRPr="00B20F04" w:rsidRDefault="0068784B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vertAlign w:val="superscript"/>
          <w:lang w:val="en-US" w:eastAsia="en-GB"/>
        </w:rPr>
        <w:t>b</w:t>
      </w:r>
      <w:r w:rsidR="006B1015" w:rsidRPr="00B20F04">
        <w:rPr>
          <w:noProof/>
          <w:szCs w:val="24"/>
          <w:lang w:val="en-US" w:eastAsia="en-GB"/>
        </w:rPr>
        <w:t>A</w:t>
      </w:r>
      <w:r w:rsidR="00823D22" w:rsidRPr="00B20F04">
        <w:rPr>
          <w:noProof/>
          <w:szCs w:val="24"/>
          <w:lang w:val="en-US" w:eastAsia="en-GB"/>
        </w:rPr>
        <w:t xml:space="preserve">ny two CIDs of </w:t>
      </w:r>
      <w:r w:rsidR="00663769" w:rsidRPr="00B20F04">
        <w:rPr>
          <w:noProof/>
          <w:szCs w:val="24"/>
          <w:lang w:val="en-US" w:eastAsia="en-GB"/>
        </w:rPr>
        <w:t xml:space="preserve">trough </w:t>
      </w:r>
      <w:r w:rsidR="00823D22" w:rsidRPr="00B20F04">
        <w:rPr>
          <w:noProof/>
          <w:szCs w:val="24"/>
          <w:lang w:val="en-US" w:eastAsia="en-GB"/>
        </w:rPr>
        <w:t>FEV</w:t>
      </w:r>
      <w:r w:rsidR="00823D22" w:rsidRPr="00B20F04">
        <w:rPr>
          <w:noProof/>
          <w:szCs w:val="24"/>
          <w:vertAlign w:val="subscript"/>
          <w:lang w:val="en-US" w:eastAsia="en-GB"/>
        </w:rPr>
        <w:t>1</w:t>
      </w:r>
      <w:r w:rsidR="00823D22" w:rsidRPr="00B20F04">
        <w:rPr>
          <w:noProof/>
          <w:szCs w:val="24"/>
          <w:lang w:val="en-US" w:eastAsia="en-GB"/>
        </w:rPr>
        <w:t xml:space="preserve"> + TDI</w:t>
      </w:r>
      <w:r w:rsidR="00250B12" w:rsidRPr="00B20F04">
        <w:rPr>
          <w:noProof/>
          <w:szCs w:val="24"/>
          <w:lang w:val="en-US" w:eastAsia="en-GB"/>
        </w:rPr>
        <w:t xml:space="preserve"> focal score</w:t>
      </w:r>
      <w:r w:rsidR="00823D22" w:rsidRPr="00B20F04">
        <w:rPr>
          <w:noProof/>
          <w:szCs w:val="24"/>
          <w:lang w:val="en-US" w:eastAsia="en-GB"/>
        </w:rPr>
        <w:t xml:space="preserve">, </w:t>
      </w:r>
      <w:r w:rsidR="00663769" w:rsidRPr="00B20F04">
        <w:rPr>
          <w:noProof/>
          <w:szCs w:val="24"/>
          <w:lang w:val="en-US" w:eastAsia="en-GB"/>
        </w:rPr>
        <w:t xml:space="preserve">trough </w:t>
      </w:r>
      <w:r w:rsidR="00823D22" w:rsidRPr="00B20F04">
        <w:rPr>
          <w:noProof/>
          <w:szCs w:val="24"/>
          <w:lang w:val="en-US" w:eastAsia="en-GB"/>
        </w:rPr>
        <w:t>FEV</w:t>
      </w:r>
      <w:r w:rsidRPr="00B20F04">
        <w:rPr>
          <w:noProof/>
          <w:szCs w:val="24"/>
          <w:vertAlign w:val="subscript"/>
          <w:lang w:val="en-US" w:eastAsia="en-GB"/>
        </w:rPr>
        <w:t>1</w:t>
      </w:r>
      <w:r w:rsidR="00823D22" w:rsidRPr="00B20F04">
        <w:rPr>
          <w:noProof/>
          <w:szCs w:val="24"/>
          <w:lang w:val="en-US" w:eastAsia="en-GB"/>
        </w:rPr>
        <w:t xml:space="preserve"> + SGRQ</w:t>
      </w:r>
      <w:r w:rsidR="00250B12" w:rsidRPr="00B20F04">
        <w:rPr>
          <w:noProof/>
          <w:szCs w:val="24"/>
          <w:lang w:val="en-US" w:eastAsia="en-GB"/>
        </w:rPr>
        <w:t xml:space="preserve"> total score</w:t>
      </w:r>
      <w:r w:rsidR="00823D22" w:rsidRPr="00B20F04">
        <w:rPr>
          <w:noProof/>
          <w:szCs w:val="24"/>
          <w:lang w:val="en-US" w:eastAsia="en-GB"/>
        </w:rPr>
        <w:t xml:space="preserve">, </w:t>
      </w:r>
      <w:r w:rsidR="00663769" w:rsidRPr="00B20F04">
        <w:rPr>
          <w:noProof/>
          <w:szCs w:val="24"/>
          <w:lang w:val="en-US" w:eastAsia="en-GB"/>
        </w:rPr>
        <w:t xml:space="preserve">trough </w:t>
      </w:r>
      <w:r w:rsidR="00823D22" w:rsidRPr="00B20F04">
        <w:rPr>
          <w:noProof/>
          <w:szCs w:val="24"/>
          <w:lang w:val="en-US" w:eastAsia="en-GB"/>
        </w:rPr>
        <w:t>FEV</w:t>
      </w:r>
      <w:r w:rsidR="00823D22" w:rsidRPr="00B20F04">
        <w:rPr>
          <w:noProof/>
          <w:szCs w:val="24"/>
          <w:vertAlign w:val="subscript"/>
          <w:lang w:val="en-US" w:eastAsia="en-GB"/>
        </w:rPr>
        <w:t>1</w:t>
      </w:r>
      <w:r w:rsidR="00823D22" w:rsidRPr="00B20F04">
        <w:rPr>
          <w:noProof/>
          <w:szCs w:val="24"/>
          <w:lang w:val="en-US" w:eastAsia="en-GB"/>
        </w:rPr>
        <w:t xml:space="preserve"> + exacerbation, TDI </w:t>
      </w:r>
      <w:r w:rsidR="00250B12" w:rsidRPr="00B20F04">
        <w:rPr>
          <w:noProof/>
          <w:szCs w:val="24"/>
          <w:lang w:val="en-US" w:eastAsia="en-GB"/>
        </w:rPr>
        <w:t xml:space="preserve">focal score </w:t>
      </w:r>
      <w:r w:rsidR="00823D22" w:rsidRPr="00B20F04">
        <w:rPr>
          <w:noProof/>
          <w:szCs w:val="24"/>
          <w:lang w:val="en-US" w:eastAsia="en-GB"/>
        </w:rPr>
        <w:t>+ SGRQ</w:t>
      </w:r>
      <w:r w:rsidR="00250B12" w:rsidRPr="00B20F04">
        <w:rPr>
          <w:noProof/>
          <w:szCs w:val="24"/>
          <w:lang w:val="en-US" w:eastAsia="en-GB"/>
        </w:rPr>
        <w:t xml:space="preserve"> total score</w:t>
      </w:r>
      <w:r w:rsidR="00823D22" w:rsidRPr="00B20F04">
        <w:rPr>
          <w:noProof/>
          <w:szCs w:val="24"/>
          <w:lang w:val="en-US" w:eastAsia="en-GB"/>
        </w:rPr>
        <w:t xml:space="preserve">, TDI </w:t>
      </w:r>
      <w:r w:rsidR="00250B12" w:rsidRPr="00B20F04">
        <w:rPr>
          <w:noProof/>
          <w:szCs w:val="24"/>
          <w:lang w:val="en-US" w:eastAsia="en-GB"/>
        </w:rPr>
        <w:t xml:space="preserve">focal score </w:t>
      </w:r>
      <w:r w:rsidR="00823D22" w:rsidRPr="00B20F04">
        <w:rPr>
          <w:noProof/>
          <w:szCs w:val="24"/>
          <w:lang w:val="en-US" w:eastAsia="en-GB"/>
        </w:rPr>
        <w:t>+ exacerbation</w:t>
      </w:r>
      <w:r w:rsidR="006B1015" w:rsidRPr="00B20F04">
        <w:rPr>
          <w:noProof/>
          <w:szCs w:val="24"/>
          <w:lang w:val="en-US" w:eastAsia="en-GB"/>
        </w:rPr>
        <w:t>,</w:t>
      </w:r>
      <w:r w:rsidR="00823D22" w:rsidRPr="00B20F04">
        <w:rPr>
          <w:noProof/>
          <w:szCs w:val="24"/>
          <w:lang w:val="en-US" w:eastAsia="en-GB"/>
        </w:rPr>
        <w:t xml:space="preserve"> or SGRQ </w:t>
      </w:r>
      <w:r w:rsidR="00250B12" w:rsidRPr="00B20F04">
        <w:rPr>
          <w:noProof/>
          <w:szCs w:val="24"/>
          <w:lang w:val="en-US" w:eastAsia="en-GB"/>
        </w:rPr>
        <w:t xml:space="preserve">total score </w:t>
      </w:r>
      <w:r w:rsidR="00823D22" w:rsidRPr="00B20F04">
        <w:rPr>
          <w:noProof/>
          <w:szCs w:val="24"/>
          <w:lang w:val="en-US" w:eastAsia="en-GB"/>
        </w:rPr>
        <w:t>+ exacerbation</w:t>
      </w:r>
    </w:p>
    <w:p w14:paraId="6E8FCBC5" w14:textId="3BD676DB" w:rsidR="00823D22" w:rsidRPr="00B20F04" w:rsidRDefault="0068784B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vertAlign w:val="superscript"/>
          <w:lang w:val="en-US" w:eastAsia="en-GB"/>
        </w:rPr>
        <w:t>c</w:t>
      </w:r>
      <w:r w:rsidR="006B1015" w:rsidRPr="00B20F04">
        <w:rPr>
          <w:noProof/>
          <w:szCs w:val="24"/>
          <w:lang w:val="en-US" w:eastAsia="en-GB"/>
        </w:rPr>
        <w:t>A</w:t>
      </w:r>
      <w:r w:rsidR="00823D22" w:rsidRPr="00B20F04">
        <w:rPr>
          <w:noProof/>
          <w:szCs w:val="24"/>
          <w:lang w:val="en-US" w:eastAsia="en-GB"/>
        </w:rPr>
        <w:t xml:space="preserve">ny three CIDs of </w:t>
      </w:r>
      <w:r w:rsidR="00663769" w:rsidRPr="00B20F04">
        <w:rPr>
          <w:noProof/>
          <w:szCs w:val="24"/>
          <w:lang w:val="en-US" w:eastAsia="en-GB"/>
        </w:rPr>
        <w:t xml:space="preserve">trough </w:t>
      </w:r>
      <w:r w:rsidR="00823D22" w:rsidRPr="00B20F04">
        <w:rPr>
          <w:noProof/>
          <w:szCs w:val="24"/>
          <w:lang w:val="en-US" w:eastAsia="en-GB"/>
        </w:rPr>
        <w:t>FEV</w:t>
      </w:r>
      <w:r w:rsidR="00823D22" w:rsidRPr="00B20F04">
        <w:rPr>
          <w:noProof/>
          <w:szCs w:val="24"/>
          <w:vertAlign w:val="subscript"/>
          <w:lang w:val="en-US" w:eastAsia="en-GB"/>
        </w:rPr>
        <w:t>1</w:t>
      </w:r>
      <w:r w:rsidR="00823D22" w:rsidRPr="00B20F04">
        <w:rPr>
          <w:noProof/>
          <w:szCs w:val="24"/>
          <w:lang w:val="en-US" w:eastAsia="en-GB"/>
        </w:rPr>
        <w:t xml:space="preserve"> + TDI</w:t>
      </w:r>
      <w:r w:rsidR="00250B12" w:rsidRPr="00B20F04">
        <w:rPr>
          <w:noProof/>
          <w:szCs w:val="24"/>
          <w:lang w:val="en-US" w:eastAsia="en-GB"/>
        </w:rPr>
        <w:t xml:space="preserve"> focal score</w:t>
      </w:r>
      <w:r w:rsidR="00823D22" w:rsidRPr="00B20F04">
        <w:rPr>
          <w:noProof/>
          <w:szCs w:val="24"/>
          <w:lang w:val="en-US" w:eastAsia="en-GB"/>
        </w:rPr>
        <w:t xml:space="preserve"> + SGRQ</w:t>
      </w:r>
      <w:r w:rsidR="00250B12" w:rsidRPr="00B20F04">
        <w:rPr>
          <w:noProof/>
          <w:szCs w:val="24"/>
          <w:lang w:val="en-US" w:eastAsia="en-GB"/>
        </w:rPr>
        <w:t xml:space="preserve"> total score</w:t>
      </w:r>
      <w:r w:rsidR="00823D22" w:rsidRPr="00B20F04">
        <w:rPr>
          <w:noProof/>
          <w:szCs w:val="24"/>
          <w:lang w:val="en-US" w:eastAsia="en-GB"/>
        </w:rPr>
        <w:t>, FEV</w:t>
      </w:r>
      <w:r w:rsidR="00823D22" w:rsidRPr="00B20F04">
        <w:rPr>
          <w:noProof/>
          <w:szCs w:val="24"/>
          <w:vertAlign w:val="subscript"/>
          <w:lang w:val="en-US" w:eastAsia="en-GB"/>
        </w:rPr>
        <w:t>1</w:t>
      </w:r>
      <w:r w:rsidR="00823D22" w:rsidRPr="00B20F04">
        <w:rPr>
          <w:noProof/>
          <w:szCs w:val="24"/>
          <w:lang w:val="en-US" w:eastAsia="en-GB"/>
        </w:rPr>
        <w:t xml:space="preserve"> +</w:t>
      </w:r>
      <w:r w:rsidR="006B1015" w:rsidRPr="00B20F04">
        <w:rPr>
          <w:noProof/>
          <w:szCs w:val="24"/>
          <w:lang w:val="en-US" w:eastAsia="en-GB"/>
        </w:rPr>
        <w:t xml:space="preserve"> </w:t>
      </w:r>
      <w:r w:rsidR="00823D22" w:rsidRPr="00B20F04">
        <w:rPr>
          <w:noProof/>
          <w:szCs w:val="24"/>
          <w:lang w:val="en-US" w:eastAsia="en-GB"/>
        </w:rPr>
        <w:t xml:space="preserve">TDI </w:t>
      </w:r>
      <w:r w:rsidR="00250B12" w:rsidRPr="00B20F04">
        <w:rPr>
          <w:noProof/>
          <w:szCs w:val="24"/>
          <w:lang w:val="en-US" w:eastAsia="en-GB"/>
        </w:rPr>
        <w:t xml:space="preserve">focal score </w:t>
      </w:r>
      <w:r w:rsidR="00823D22" w:rsidRPr="00B20F04">
        <w:rPr>
          <w:noProof/>
          <w:szCs w:val="24"/>
          <w:lang w:val="en-US" w:eastAsia="en-GB"/>
        </w:rPr>
        <w:t xml:space="preserve">+ exacerbation, </w:t>
      </w:r>
      <w:r w:rsidR="00663769" w:rsidRPr="00B20F04">
        <w:rPr>
          <w:noProof/>
          <w:szCs w:val="24"/>
          <w:lang w:val="en-US" w:eastAsia="en-GB"/>
        </w:rPr>
        <w:t xml:space="preserve">trough </w:t>
      </w:r>
      <w:r w:rsidR="00823D22" w:rsidRPr="00B20F04">
        <w:rPr>
          <w:noProof/>
          <w:szCs w:val="24"/>
          <w:lang w:val="en-US" w:eastAsia="en-GB"/>
        </w:rPr>
        <w:t>FEV</w:t>
      </w:r>
      <w:r w:rsidR="00823D22" w:rsidRPr="00B20F04">
        <w:rPr>
          <w:noProof/>
          <w:szCs w:val="24"/>
          <w:vertAlign w:val="subscript"/>
          <w:lang w:val="en-US" w:eastAsia="en-GB"/>
        </w:rPr>
        <w:t>1</w:t>
      </w:r>
      <w:r w:rsidR="00823D22" w:rsidRPr="00B20F04">
        <w:rPr>
          <w:noProof/>
          <w:szCs w:val="24"/>
          <w:lang w:val="en-US" w:eastAsia="en-GB"/>
        </w:rPr>
        <w:t xml:space="preserve"> + SGRQ </w:t>
      </w:r>
      <w:r w:rsidR="00250B12" w:rsidRPr="00B20F04">
        <w:rPr>
          <w:noProof/>
          <w:szCs w:val="24"/>
          <w:lang w:val="en-US" w:eastAsia="en-GB"/>
        </w:rPr>
        <w:t xml:space="preserve">total score </w:t>
      </w:r>
      <w:r w:rsidR="00823D22" w:rsidRPr="00B20F04">
        <w:rPr>
          <w:noProof/>
          <w:szCs w:val="24"/>
          <w:lang w:val="en-US" w:eastAsia="en-GB"/>
        </w:rPr>
        <w:t xml:space="preserve">+ exacerbation, TDI </w:t>
      </w:r>
      <w:r w:rsidR="00250B12" w:rsidRPr="00B20F04">
        <w:rPr>
          <w:noProof/>
          <w:szCs w:val="24"/>
          <w:lang w:val="en-US" w:eastAsia="en-GB"/>
        </w:rPr>
        <w:t xml:space="preserve">focal score </w:t>
      </w:r>
      <w:r w:rsidR="00823D22" w:rsidRPr="00B20F04">
        <w:rPr>
          <w:noProof/>
          <w:szCs w:val="24"/>
          <w:lang w:val="en-US" w:eastAsia="en-GB"/>
        </w:rPr>
        <w:t xml:space="preserve">+ SGRQ </w:t>
      </w:r>
      <w:r w:rsidR="00250B12" w:rsidRPr="00B20F04">
        <w:rPr>
          <w:noProof/>
          <w:szCs w:val="24"/>
          <w:lang w:val="en-US" w:eastAsia="en-GB"/>
        </w:rPr>
        <w:t xml:space="preserve">total score </w:t>
      </w:r>
      <w:r w:rsidR="00823D22" w:rsidRPr="00B20F04">
        <w:rPr>
          <w:noProof/>
          <w:szCs w:val="24"/>
          <w:lang w:val="en-US" w:eastAsia="en-GB"/>
        </w:rPr>
        <w:t>+ exacerbation</w:t>
      </w:r>
    </w:p>
    <w:p w14:paraId="1D8930C4" w14:textId="0F89D8AC" w:rsidR="0068784B" w:rsidRPr="00B20F04" w:rsidRDefault="0068784B" w:rsidP="00C023DE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vertAlign w:val="superscript"/>
          <w:lang w:val="en-US" w:eastAsia="en-GB"/>
        </w:rPr>
        <w:t>d</w:t>
      </w:r>
      <w:r w:rsidR="006B1015" w:rsidRPr="00B20F04">
        <w:rPr>
          <w:noProof/>
          <w:szCs w:val="24"/>
          <w:lang w:val="en-US" w:eastAsia="en-GB"/>
        </w:rPr>
        <w:t>A</w:t>
      </w:r>
      <w:r w:rsidRPr="00B20F04">
        <w:rPr>
          <w:noProof/>
          <w:szCs w:val="24"/>
          <w:lang w:val="en-US" w:eastAsia="en-GB"/>
        </w:rPr>
        <w:t xml:space="preserve">ll four exacerbations, </w:t>
      </w:r>
      <w:r w:rsidR="00663769" w:rsidRPr="00B20F04">
        <w:rPr>
          <w:noProof/>
          <w:szCs w:val="24"/>
          <w:lang w:val="en-US" w:eastAsia="en-GB"/>
        </w:rPr>
        <w:t xml:space="preserve">trough </w:t>
      </w:r>
      <w:r w:rsidRPr="00B20F04">
        <w:rPr>
          <w:noProof/>
          <w:szCs w:val="24"/>
          <w:lang w:val="en-US" w:eastAsia="en-GB"/>
        </w:rPr>
        <w:t>FEV</w:t>
      </w:r>
      <w:r w:rsidRPr="00B20F04">
        <w:rPr>
          <w:noProof/>
          <w:szCs w:val="24"/>
          <w:vertAlign w:val="subscript"/>
          <w:lang w:val="en-US" w:eastAsia="en-GB"/>
        </w:rPr>
        <w:t>1</w:t>
      </w:r>
      <w:r w:rsidRPr="00B20F04">
        <w:rPr>
          <w:noProof/>
          <w:szCs w:val="24"/>
          <w:lang w:val="en-US" w:eastAsia="en-GB"/>
        </w:rPr>
        <w:t xml:space="preserve"> + TDI</w:t>
      </w:r>
      <w:r w:rsidR="00250B12" w:rsidRPr="00B20F04">
        <w:rPr>
          <w:noProof/>
          <w:szCs w:val="24"/>
          <w:lang w:val="en-US" w:eastAsia="en-GB"/>
        </w:rPr>
        <w:t xml:space="preserve"> focal score</w:t>
      </w:r>
      <w:r w:rsidRPr="00B20F04">
        <w:rPr>
          <w:noProof/>
          <w:szCs w:val="24"/>
          <w:lang w:val="en-US" w:eastAsia="en-GB"/>
        </w:rPr>
        <w:t xml:space="preserve"> + SGRQ </w:t>
      </w:r>
      <w:r w:rsidR="00250B12" w:rsidRPr="00B20F04">
        <w:rPr>
          <w:noProof/>
          <w:szCs w:val="24"/>
          <w:lang w:val="en-US" w:eastAsia="en-GB"/>
        </w:rPr>
        <w:t xml:space="preserve">total score </w:t>
      </w:r>
      <w:r w:rsidRPr="00B20F04">
        <w:rPr>
          <w:noProof/>
          <w:szCs w:val="24"/>
          <w:lang w:val="en-US" w:eastAsia="en-GB"/>
        </w:rPr>
        <w:t>+ exacerbation</w:t>
      </w:r>
    </w:p>
    <w:p w14:paraId="33208DC5" w14:textId="3DEB2D51" w:rsidR="00BF32A8" w:rsidRPr="00B20F04" w:rsidRDefault="0068784B" w:rsidP="00C023DE">
      <w:pPr>
        <w:keepNext w:val="0"/>
        <w:spacing w:after="0" w:line="480" w:lineRule="auto"/>
        <w:rPr>
          <w:noProof/>
          <w:szCs w:val="24"/>
          <w:lang w:val="en-US" w:eastAsia="en-GB"/>
        </w:rPr>
        <w:sectPr w:rsidR="00BF32A8" w:rsidRPr="00B20F04" w:rsidSect="00EE7472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B20F04">
        <w:rPr>
          <w:noProof/>
          <w:szCs w:val="24"/>
          <w:lang w:val="en-US" w:eastAsia="en-GB"/>
        </w:rPr>
        <w:t>AB, aclidinium bro</w:t>
      </w:r>
      <w:r w:rsidR="006B1015" w:rsidRPr="00B20F04">
        <w:rPr>
          <w:noProof/>
          <w:szCs w:val="24"/>
          <w:lang w:val="en-US" w:eastAsia="en-GB"/>
        </w:rPr>
        <w:t>mide; CID, clinically importan</w:t>
      </w:r>
      <w:r w:rsidRPr="00B20F04">
        <w:rPr>
          <w:noProof/>
          <w:szCs w:val="24"/>
          <w:lang w:val="en-US" w:eastAsia="en-GB"/>
        </w:rPr>
        <w:t>t deterioration; FEV</w:t>
      </w:r>
      <w:r w:rsidRPr="00B20F04">
        <w:rPr>
          <w:noProof/>
          <w:szCs w:val="24"/>
          <w:vertAlign w:val="subscript"/>
          <w:lang w:val="en-US" w:eastAsia="en-GB"/>
        </w:rPr>
        <w:t>1</w:t>
      </w:r>
      <w:r w:rsidRPr="00B20F04">
        <w:rPr>
          <w:noProof/>
          <w:szCs w:val="24"/>
          <w:lang w:val="en-US" w:eastAsia="en-GB"/>
        </w:rPr>
        <w:t xml:space="preserve">, forced expiratory volume in 1 second; FF formoterol fumarate; </w:t>
      </w:r>
      <w:r w:rsidR="001C680D" w:rsidRPr="00B20F04">
        <w:rPr>
          <w:noProof/>
          <w:szCs w:val="24"/>
          <w:lang w:val="en-US" w:eastAsia="en-GB"/>
        </w:rPr>
        <w:t xml:space="preserve">ITT, intent-to-treat; </w:t>
      </w:r>
      <w:r w:rsidRPr="00B20F04">
        <w:rPr>
          <w:noProof/>
          <w:szCs w:val="24"/>
          <w:lang w:val="en-US" w:eastAsia="en-GB"/>
        </w:rPr>
        <w:t>SGRQ, St George’s Respiratory Quest</w:t>
      </w:r>
      <w:r w:rsidR="001C680D" w:rsidRPr="00B20F04">
        <w:rPr>
          <w:noProof/>
          <w:szCs w:val="24"/>
          <w:lang w:val="en-US" w:eastAsia="en-GB"/>
        </w:rPr>
        <w:t>ionnaire; TDI, Transition Dyspn</w:t>
      </w:r>
      <w:r w:rsidRPr="00B20F04">
        <w:rPr>
          <w:noProof/>
          <w:szCs w:val="24"/>
          <w:lang w:val="en-US" w:eastAsia="en-GB"/>
        </w:rPr>
        <w:t>ea Index</w:t>
      </w:r>
    </w:p>
    <w:p w14:paraId="02EB8BBF" w14:textId="0FDF353B" w:rsidR="00BF32A8" w:rsidRPr="00B20F04" w:rsidRDefault="00BF32A8" w:rsidP="00F13CDF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lastRenderedPageBreak/>
        <w:t>Supplement</w:t>
      </w:r>
      <w:r w:rsidR="008C5C56" w:rsidRPr="00B20F04">
        <w:rPr>
          <w:b/>
          <w:noProof/>
          <w:szCs w:val="24"/>
          <w:lang w:val="en-US" w:eastAsia="en-GB"/>
        </w:rPr>
        <w:t>ary</w:t>
      </w:r>
      <w:r w:rsidRPr="00B20F04">
        <w:rPr>
          <w:b/>
          <w:noProof/>
          <w:szCs w:val="24"/>
          <w:lang w:val="en-US" w:eastAsia="en-GB"/>
        </w:rPr>
        <w:t xml:space="preserve"> Table </w:t>
      </w:r>
      <w:r w:rsidR="009A5FC7" w:rsidRPr="00B20F04">
        <w:rPr>
          <w:b/>
          <w:noProof/>
          <w:szCs w:val="24"/>
          <w:lang w:val="en-US" w:eastAsia="en-GB"/>
        </w:rPr>
        <w:t>6</w:t>
      </w:r>
      <w:r w:rsidRPr="00B20F04">
        <w:rPr>
          <w:b/>
          <w:noProof/>
          <w:szCs w:val="24"/>
          <w:lang w:val="en-US" w:eastAsia="en-GB"/>
        </w:rPr>
        <w:t>.</w:t>
      </w:r>
      <w:r w:rsidR="001C680D" w:rsidRPr="00B20F04">
        <w:rPr>
          <w:noProof/>
          <w:szCs w:val="24"/>
          <w:lang w:val="en-US" w:eastAsia="en-GB"/>
        </w:rPr>
        <w:t xml:space="preserve"> List of </w:t>
      </w:r>
      <w:r w:rsidRPr="00B20F04">
        <w:rPr>
          <w:noProof/>
          <w:szCs w:val="24"/>
          <w:lang w:val="en-US" w:eastAsia="en-GB"/>
        </w:rPr>
        <w:t>ethics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8C3" w:rsidRPr="00B20F04" w14:paraId="01701704" w14:textId="77777777" w:rsidTr="00C548C3">
        <w:tc>
          <w:tcPr>
            <w:tcW w:w="9016" w:type="dxa"/>
          </w:tcPr>
          <w:p w14:paraId="215CD550" w14:textId="64A85B92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 xml:space="preserve">Ethikkommission der </w:t>
            </w:r>
            <w:r w:rsidR="001C680D" w:rsidRPr="00B20F04">
              <w:rPr>
                <w:noProof/>
                <w:szCs w:val="24"/>
                <w:lang w:val="en-US" w:eastAsia="en-GB"/>
              </w:rPr>
              <w:t>Medizinischen, Universität Graz</w:t>
            </w:r>
            <w:r w:rsidRPr="00B20F04">
              <w:rPr>
                <w:noProof/>
                <w:szCs w:val="24"/>
                <w:lang w:val="en-US" w:eastAsia="en-GB"/>
              </w:rPr>
              <w:t xml:space="preserve">, </w:t>
            </w:r>
            <w:r w:rsidR="00891958">
              <w:rPr>
                <w:noProof/>
                <w:szCs w:val="24"/>
                <w:lang w:val="en-US" w:eastAsia="en-GB"/>
              </w:rPr>
              <w:t>Auenbruggerplatz</w:t>
            </w:r>
            <w:r w:rsidRPr="00B20F04">
              <w:rPr>
                <w:noProof/>
                <w:szCs w:val="24"/>
                <w:lang w:val="en-US" w:eastAsia="en-GB"/>
              </w:rPr>
              <w:t xml:space="preserve"> 2, Graz, 8036, Austria</w:t>
            </w:r>
          </w:p>
        </w:tc>
      </w:tr>
      <w:tr w:rsidR="00C548C3" w:rsidRPr="00B20F04" w14:paraId="7141DE8A" w14:textId="77777777" w:rsidTr="00C548C3">
        <w:tc>
          <w:tcPr>
            <w:tcW w:w="9016" w:type="dxa"/>
          </w:tcPr>
          <w:p w14:paraId="442F9A5E" w14:textId="2F3E7810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Ethisch Comité UZA, Wilrijkstraat 10,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Pr="00B20F04">
              <w:rPr>
                <w:noProof/>
                <w:szCs w:val="24"/>
                <w:lang w:val="en-US" w:eastAsia="en-GB"/>
              </w:rPr>
              <w:t>Edegem,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Pr="00B20F04">
              <w:rPr>
                <w:noProof/>
                <w:szCs w:val="24"/>
                <w:lang w:val="en-US" w:eastAsia="en-GB"/>
              </w:rPr>
              <w:t>2650, Belgium</w:t>
            </w:r>
          </w:p>
        </w:tc>
      </w:tr>
      <w:tr w:rsidR="00C548C3" w:rsidRPr="00B20F04" w14:paraId="243A8AD7" w14:textId="77777777" w:rsidTr="00C548C3">
        <w:tc>
          <w:tcPr>
            <w:tcW w:w="9016" w:type="dxa"/>
          </w:tcPr>
          <w:p w14:paraId="07034A00" w14:textId="4CE6CA5F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Ethics Committee for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Multicenter Trials (ECMT), 5, ‘Sveta Nedelya’, Square 1000 Sofia, Bul</w:t>
            </w:r>
            <w:r w:rsidRPr="00B20F04">
              <w:rPr>
                <w:noProof/>
                <w:szCs w:val="24"/>
                <w:lang w:val="en-US" w:eastAsia="en-GB"/>
              </w:rPr>
              <w:t>g</w:t>
            </w:r>
            <w:r w:rsidR="001C680D" w:rsidRPr="00B20F04">
              <w:rPr>
                <w:noProof/>
                <w:szCs w:val="24"/>
                <w:lang w:val="en-US" w:eastAsia="en-GB"/>
              </w:rPr>
              <w:t>a</w:t>
            </w:r>
            <w:r w:rsidRPr="00B20F04">
              <w:rPr>
                <w:noProof/>
                <w:szCs w:val="24"/>
                <w:lang w:val="en-US" w:eastAsia="en-GB"/>
              </w:rPr>
              <w:t>ria</w:t>
            </w:r>
          </w:p>
        </w:tc>
      </w:tr>
      <w:tr w:rsidR="00C548C3" w:rsidRPr="00B20F04" w14:paraId="45263F30" w14:textId="77777777" w:rsidTr="00C548C3">
        <w:tc>
          <w:tcPr>
            <w:tcW w:w="9016" w:type="dxa"/>
          </w:tcPr>
          <w:p w14:paraId="74ED0D5B" w14:textId="4CEE817E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Agency for Medicinal Product and Medical Devices of Croatia, Central Ethics Committee, Ksaverska cesta 4 Zagreb,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Pr="00B20F04">
              <w:rPr>
                <w:noProof/>
                <w:szCs w:val="24"/>
                <w:lang w:val="en-US" w:eastAsia="en-GB"/>
              </w:rPr>
              <w:t>10000, Croatia</w:t>
            </w:r>
          </w:p>
        </w:tc>
      </w:tr>
      <w:tr w:rsidR="00C548C3" w:rsidRPr="00B20F04" w14:paraId="7557D6C5" w14:textId="77777777" w:rsidTr="00C548C3">
        <w:tc>
          <w:tcPr>
            <w:tcW w:w="9016" w:type="dxa"/>
          </w:tcPr>
          <w:p w14:paraId="6752FA43" w14:textId="27862B45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Multicentricka eticka komise Fakultni nemocnice u sv. Anny v Brne, Vystavni 17/19,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Pr="00B20F04">
              <w:rPr>
                <w:noProof/>
                <w:szCs w:val="24"/>
                <w:lang w:val="en-US" w:eastAsia="en-GB"/>
              </w:rPr>
              <w:t>Brno,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Pr="00B20F04">
              <w:rPr>
                <w:noProof/>
                <w:szCs w:val="24"/>
                <w:lang w:val="en-US" w:eastAsia="en-GB"/>
              </w:rPr>
              <w:t>656 19, Czech Republic</w:t>
            </w:r>
          </w:p>
        </w:tc>
      </w:tr>
      <w:tr w:rsidR="00C548C3" w:rsidRPr="00B20F04" w14:paraId="6D2A7B81" w14:textId="77777777" w:rsidTr="00C548C3">
        <w:tc>
          <w:tcPr>
            <w:tcW w:w="9016" w:type="dxa"/>
          </w:tcPr>
          <w:p w14:paraId="45D73C20" w14:textId="77777777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De Videnskabsetiske Komitéer for Region Hovedstaden, Kongens Vænge 2, 3400, Hillerød, Denmark</w:t>
            </w:r>
          </w:p>
        </w:tc>
      </w:tr>
      <w:tr w:rsidR="00C548C3" w:rsidRPr="00B20F04" w14:paraId="1590EBA9" w14:textId="77777777" w:rsidTr="00C548C3">
        <w:tc>
          <w:tcPr>
            <w:tcW w:w="9016" w:type="dxa"/>
          </w:tcPr>
          <w:p w14:paraId="11D0E293" w14:textId="77777777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Keski-Suomen sairaanhoitopiiri, Eettinen toimikunta, Sairaanhoitopiirin toimisto Rak. 6/2, Keskussairaalantie 19, 40620 Jyväskylä, Finland</w:t>
            </w:r>
          </w:p>
        </w:tc>
      </w:tr>
      <w:tr w:rsidR="00C548C3" w:rsidRPr="00B20F04" w14:paraId="5E328D4B" w14:textId="77777777" w:rsidTr="00C548C3">
        <w:tc>
          <w:tcPr>
            <w:tcW w:w="9016" w:type="dxa"/>
          </w:tcPr>
          <w:p w14:paraId="73AD6618" w14:textId="66CA2511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Comité de Protection des Personnes Sud Ouest et Outre Mer III, Place Amélie Raba-Léon,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Groupe Hospitalier Pellegrin –</w:t>
            </w:r>
            <w:r w:rsidRPr="00B20F04">
              <w:rPr>
                <w:noProof/>
                <w:szCs w:val="24"/>
                <w:lang w:val="en-US" w:eastAsia="en-GB"/>
              </w:rPr>
              <w:t xml:space="preserve"> Service de Pharmacolog</w:t>
            </w:r>
            <w:r w:rsidR="001C680D" w:rsidRPr="00B20F04">
              <w:rPr>
                <w:noProof/>
                <w:szCs w:val="24"/>
                <w:lang w:val="en-US" w:eastAsia="en-GB"/>
              </w:rPr>
              <w:t>ie Clinique, Bât 1 A, Bordeaux C</w:t>
            </w:r>
            <w:r w:rsidRPr="00B20F04">
              <w:rPr>
                <w:noProof/>
                <w:szCs w:val="24"/>
                <w:lang w:val="en-US" w:eastAsia="en-GB"/>
              </w:rPr>
              <w:t>edex, 33076, France</w:t>
            </w:r>
          </w:p>
        </w:tc>
      </w:tr>
      <w:tr w:rsidR="00C548C3" w:rsidRPr="00B20F04" w14:paraId="04DB4170" w14:textId="77777777" w:rsidTr="00C548C3">
        <w:tc>
          <w:tcPr>
            <w:tcW w:w="9016" w:type="dxa"/>
          </w:tcPr>
          <w:p w14:paraId="546369B6" w14:textId="79AC27EE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Landesärztekammer Rheinland-Pfalz, Place Amélie Raba-Léon,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Groupe Hospitalier Pellegrin –</w:t>
            </w:r>
            <w:r w:rsidRPr="00B20F04">
              <w:rPr>
                <w:noProof/>
                <w:szCs w:val="24"/>
                <w:lang w:val="en-US" w:eastAsia="en-GB"/>
              </w:rPr>
              <w:t xml:space="preserve"> Service de Pharmacologie Clinique, Bât 1 A, Bordeaux cedex, 33076, Germany</w:t>
            </w:r>
          </w:p>
        </w:tc>
      </w:tr>
      <w:tr w:rsidR="00C548C3" w:rsidRPr="00B20F04" w14:paraId="04C42161" w14:textId="77777777" w:rsidTr="00C548C3">
        <w:tc>
          <w:tcPr>
            <w:tcW w:w="9016" w:type="dxa"/>
          </w:tcPr>
          <w:p w14:paraId="6A6A22C0" w14:textId="6E845266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Egészségügyi Tudományos Tanács Klinikai Farmakológiai E</w:t>
            </w:r>
            <w:r w:rsidR="001C680D" w:rsidRPr="00B20F04">
              <w:rPr>
                <w:noProof/>
                <w:szCs w:val="24"/>
                <w:lang w:val="en-US" w:eastAsia="en-GB"/>
              </w:rPr>
              <w:t>tikai Bizottsága, Arany J. u. 6–</w:t>
            </w:r>
            <w:r w:rsidRPr="00B20F04">
              <w:rPr>
                <w:noProof/>
                <w:szCs w:val="24"/>
                <w:lang w:val="en-US" w:eastAsia="en-GB"/>
              </w:rPr>
              <w:t>8, Budapest, H-1051, Hungary</w:t>
            </w:r>
          </w:p>
        </w:tc>
      </w:tr>
      <w:tr w:rsidR="00C548C3" w:rsidRPr="00B20F04" w14:paraId="29AEA360" w14:textId="77777777" w:rsidTr="00C548C3">
        <w:tc>
          <w:tcPr>
            <w:tcW w:w="9016" w:type="dxa"/>
          </w:tcPr>
          <w:p w14:paraId="734142DA" w14:textId="77777777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Comitato Etico Locale per la Sperim. Clin. dei Medicinali dell'Az. Osp.ra Univ.ria Senese di Siena, c/o Farmacia AOUS Viale Bracci, Siena, 53100, Italy</w:t>
            </w:r>
          </w:p>
        </w:tc>
      </w:tr>
      <w:tr w:rsidR="00C548C3" w:rsidRPr="00B20F04" w14:paraId="43BD8CE9" w14:textId="77777777" w:rsidTr="00C548C3">
        <w:tc>
          <w:tcPr>
            <w:tcW w:w="9016" w:type="dxa"/>
          </w:tcPr>
          <w:p w14:paraId="2BBE6F38" w14:textId="4008F550" w:rsidR="00C548C3" w:rsidRPr="00B20F04" w:rsidRDefault="001C680D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METC Catharina Z</w:t>
            </w:r>
            <w:r w:rsidR="00C548C3" w:rsidRPr="00B20F04">
              <w:rPr>
                <w:noProof/>
                <w:szCs w:val="24"/>
                <w:lang w:val="en-US" w:eastAsia="en-GB"/>
              </w:rPr>
              <w:t>iekenhuis, Michelangelolaan 2,</w:t>
            </w:r>
            <w:r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="00C548C3" w:rsidRPr="00B20F04">
              <w:rPr>
                <w:noProof/>
                <w:szCs w:val="24"/>
                <w:lang w:val="en-US" w:eastAsia="en-GB"/>
              </w:rPr>
              <w:t>Eindhoven,</w:t>
            </w:r>
            <w:r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="00C548C3" w:rsidRPr="00B20F04">
              <w:rPr>
                <w:noProof/>
                <w:szCs w:val="24"/>
                <w:lang w:val="en-US" w:eastAsia="en-GB"/>
              </w:rPr>
              <w:t>5623 EJ, Netherlands</w:t>
            </w:r>
          </w:p>
        </w:tc>
      </w:tr>
      <w:tr w:rsidR="00C548C3" w:rsidRPr="00B20F04" w14:paraId="293EAA03" w14:textId="77777777" w:rsidTr="00C548C3">
        <w:tc>
          <w:tcPr>
            <w:tcW w:w="9016" w:type="dxa"/>
          </w:tcPr>
          <w:p w14:paraId="59D3B11E" w14:textId="67895C49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lastRenderedPageBreak/>
              <w:t xml:space="preserve">Komisja Bioetyczna przy Instytucie Gruzlicy I Chorob Pluc, ul. </w:t>
            </w:r>
            <w:r w:rsidR="001C680D" w:rsidRPr="00B20F04">
              <w:rPr>
                <w:noProof/>
                <w:szCs w:val="24"/>
                <w:lang w:val="en-US" w:eastAsia="en-GB"/>
              </w:rPr>
              <w:t>Plocka 26, Warszawa, 01–</w:t>
            </w:r>
            <w:r w:rsidRPr="00B20F04">
              <w:rPr>
                <w:noProof/>
                <w:szCs w:val="24"/>
                <w:lang w:val="en-US" w:eastAsia="en-GB"/>
              </w:rPr>
              <w:t>138, Poland</w:t>
            </w:r>
          </w:p>
        </w:tc>
      </w:tr>
      <w:tr w:rsidR="00C548C3" w:rsidRPr="00B20F04" w14:paraId="5F11CB09" w14:textId="77777777" w:rsidTr="00C548C3">
        <w:tc>
          <w:tcPr>
            <w:tcW w:w="9016" w:type="dxa"/>
          </w:tcPr>
          <w:p w14:paraId="640CEDF5" w14:textId="77777777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Comisia Nationala de Etica, Str. Aviator Sanatescu Nr. 48, Bucuresti, Sector 1, 011478, Romania</w:t>
            </w:r>
          </w:p>
        </w:tc>
      </w:tr>
      <w:tr w:rsidR="00C548C3" w:rsidRPr="00B20F04" w14:paraId="49189D08" w14:textId="77777777" w:rsidTr="00C548C3">
        <w:tc>
          <w:tcPr>
            <w:tcW w:w="9016" w:type="dxa"/>
          </w:tcPr>
          <w:p w14:paraId="48A6FBD9" w14:textId="77777777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Ethical Council at the MoH of RF, 3 Rakhmanovsky Pereulok, Moscow, 127994, Russia</w:t>
            </w:r>
          </w:p>
        </w:tc>
      </w:tr>
      <w:tr w:rsidR="00C548C3" w:rsidRPr="00B20F04" w14:paraId="386A9082" w14:textId="77777777" w:rsidTr="00C548C3">
        <w:tc>
          <w:tcPr>
            <w:tcW w:w="9016" w:type="dxa"/>
          </w:tcPr>
          <w:p w14:paraId="504D16A5" w14:textId="77777777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Fakultná nemocnica s poliklinikou F.D. Roosevelta, Nám. L. Svobodu 1, 975 17 Banská Bystrica, Slovakia</w:t>
            </w:r>
          </w:p>
        </w:tc>
      </w:tr>
      <w:tr w:rsidR="00C548C3" w:rsidRPr="00B20F04" w14:paraId="28ACA2C4" w14:textId="77777777" w:rsidTr="00C548C3">
        <w:tc>
          <w:tcPr>
            <w:tcW w:w="9016" w:type="dxa"/>
          </w:tcPr>
          <w:p w14:paraId="6B369986" w14:textId="52FEB367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CEIC Hospital Universitario Puerta de Hierro Majadahonda, Planta 1ª, Pasillo unidades,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Pr="00B20F04">
              <w:rPr>
                <w:noProof/>
                <w:szCs w:val="24"/>
                <w:lang w:val="en-US" w:eastAsia="en-GB"/>
              </w:rPr>
              <w:t>administrativas de servicios,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Pr="00B20F04">
              <w:rPr>
                <w:noProof/>
                <w:szCs w:val="24"/>
                <w:lang w:val="en-US" w:eastAsia="en-GB"/>
              </w:rPr>
              <w:t>c/ Manuel de Falla, 1, Majadahonda, 28222, Spain</w:t>
            </w:r>
          </w:p>
        </w:tc>
      </w:tr>
      <w:tr w:rsidR="00C548C3" w:rsidRPr="00B20F04" w14:paraId="7C4E7DB4" w14:textId="77777777" w:rsidTr="00C548C3">
        <w:tc>
          <w:tcPr>
            <w:tcW w:w="9016" w:type="dxa"/>
          </w:tcPr>
          <w:p w14:paraId="01ED0110" w14:textId="316CADBF" w:rsidR="00C548C3" w:rsidRPr="00B20F04" w:rsidRDefault="001C680D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Regionala E</w:t>
            </w:r>
            <w:r w:rsidR="00C548C3" w:rsidRPr="00B20F04">
              <w:rPr>
                <w:noProof/>
                <w:szCs w:val="24"/>
                <w:lang w:val="en-US" w:eastAsia="en-GB"/>
              </w:rPr>
              <w:t>tikprövningsnämnden I Lund, Box 133,</w:t>
            </w:r>
            <w:r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="00C548C3" w:rsidRPr="00B20F04">
              <w:rPr>
                <w:noProof/>
                <w:szCs w:val="24"/>
                <w:lang w:val="en-US" w:eastAsia="en-GB"/>
              </w:rPr>
              <w:t>Östra Vallgatan 14/Östervångsvägen 1,</w:t>
            </w:r>
            <w:r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="00C548C3" w:rsidRPr="00B20F04">
              <w:rPr>
                <w:noProof/>
                <w:szCs w:val="24"/>
                <w:lang w:val="en-US" w:eastAsia="en-GB"/>
              </w:rPr>
              <w:t>Lund,</w:t>
            </w:r>
            <w:r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="00C548C3" w:rsidRPr="00B20F04">
              <w:rPr>
                <w:noProof/>
                <w:szCs w:val="24"/>
                <w:lang w:val="en-US" w:eastAsia="en-GB"/>
              </w:rPr>
              <w:t>22100, Sweden</w:t>
            </w:r>
          </w:p>
        </w:tc>
      </w:tr>
      <w:tr w:rsidR="00C548C3" w:rsidRPr="00B20F04" w14:paraId="35351928" w14:textId="77777777" w:rsidTr="00C548C3">
        <w:tc>
          <w:tcPr>
            <w:tcW w:w="9016" w:type="dxa"/>
          </w:tcPr>
          <w:p w14:paraId="6A3959C0" w14:textId="77777777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Central Ethics Commission of the Ministry of Health of Ukraine, 5, Narodnogo Opolchennya St., Kyiv, 03680, Ukraine</w:t>
            </w:r>
          </w:p>
        </w:tc>
      </w:tr>
      <w:tr w:rsidR="00C548C3" w:rsidRPr="00B20F04" w14:paraId="5ADEED13" w14:textId="77777777" w:rsidTr="00C548C3">
        <w:tc>
          <w:tcPr>
            <w:tcW w:w="9016" w:type="dxa"/>
          </w:tcPr>
          <w:p w14:paraId="5112D76A" w14:textId="273D73E7" w:rsidR="00C548C3" w:rsidRPr="00B20F04" w:rsidRDefault="00C548C3" w:rsidP="00F13CDF">
            <w:pPr>
              <w:keepNext w:val="0"/>
              <w:spacing w:after="0" w:line="480" w:lineRule="auto"/>
              <w:rPr>
                <w:noProof/>
                <w:szCs w:val="24"/>
                <w:lang w:val="en-US" w:eastAsia="en-GB"/>
              </w:rPr>
            </w:pPr>
            <w:r w:rsidRPr="00B20F04">
              <w:rPr>
                <w:noProof/>
                <w:szCs w:val="24"/>
                <w:lang w:val="en-US" w:eastAsia="en-GB"/>
              </w:rPr>
              <w:t>NRES Committee North, West-Greater Liverpool, Central, 3</w:t>
            </w:r>
            <w:r w:rsidRPr="00B20F04">
              <w:rPr>
                <w:noProof/>
                <w:szCs w:val="24"/>
                <w:vertAlign w:val="superscript"/>
                <w:lang w:val="en-US" w:eastAsia="en-GB"/>
              </w:rPr>
              <w:t>rd</w:t>
            </w:r>
            <w:r w:rsidRPr="00B20F04">
              <w:rPr>
                <w:noProof/>
                <w:szCs w:val="24"/>
                <w:lang w:val="en-US" w:eastAsia="en-GB"/>
              </w:rPr>
              <w:t xml:space="preserve"> Floor, Barlow House, 4 Minshull Street,</w:t>
            </w:r>
            <w:r w:rsidR="001C680D" w:rsidRPr="00B20F04">
              <w:rPr>
                <w:noProof/>
                <w:szCs w:val="24"/>
                <w:lang w:val="en-US" w:eastAsia="en-GB"/>
              </w:rPr>
              <w:t xml:space="preserve"> </w:t>
            </w:r>
            <w:r w:rsidRPr="00B20F04">
              <w:rPr>
                <w:noProof/>
                <w:szCs w:val="24"/>
                <w:lang w:val="en-US" w:eastAsia="en-GB"/>
              </w:rPr>
              <w:t>Manchester, M1 3DZ, United Kingdom</w:t>
            </w:r>
          </w:p>
        </w:tc>
      </w:tr>
    </w:tbl>
    <w:p w14:paraId="36114B29" w14:textId="77777777" w:rsidR="007F307A" w:rsidRPr="00B20F04" w:rsidRDefault="007F307A" w:rsidP="00F13CDF">
      <w:pPr>
        <w:tabs>
          <w:tab w:val="right" w:pos="540"/>
          <w:tab w:val="left" w:pos="720"/>
        </w:tabs>
        <w:spacing w:afterLines="120" w:after="288" w:line="480" w:lineRule="auto"/>
        <w:rPr>
          <w:noProof/>
          <w:szCs w:val="24"/>
          <w:lang w:val="en-US" w:eastAsia="en-GB"/>
        </w:rPr>
        <w:sectPr w:rsidR="007F307A" w:rsidRPr="00B20F04" w:rsidSect="00D77B51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12C7A3D" w14:textId="6FBA43D7" w:rsidR="007F307A" w:rsidRPr="00B20F04" w:rsidRDefault="001C680D" w:rsidP="007F307A">
      <w:pPr>
        <w:keepNext w:val="0"/>
        <w:spacing w:afterLines="120" w:after="288" w:line="480" w:lineRule="auto"/>
        <w:rPr>
          <w:b/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lastRenderedPageBreak/>
        <w:t>Supplement</w:t>
      </w:r>
      <w:r w:rsidR="008C5C56" w:rsidRPr="00B20F04">
        <w:rPr>
          <w:b/>
          <w:noProof/>
          <w:szCs w:val="24"/>
          <w:lang w:val="en-US" w:eastAsia="en-GB"/>
        </w:rPr>
        <w:t>ary</w:t>
      </w:r>
      <w:r w:rsidRPr="00B20F04">
        <w:rPr>
          <w:b/>
          <w:noProof/>
          <w:szCs w:val="24"/>
          <w:lang w:val="en-US" w:eastAsia="en-GB"/>
        </w:rPr>
        <w:t xml:space="preserve"> F</w:t>
      </w:r>
      <w:r w:rsidR="007F307A" w:rsidRPr="00B20F04">
        <w:rPr>
          <w:b/>
          <w:noProof/>
          <w:szCs w:val="24"/>
          <w:lang w:val="en-US" w:eastAsia="en-GB"/>
        </w:rPr>
        <w:t>igure legend</w:t>
      </w:r>
    </w:p>
    <w:p w14:paraId="5C90020E" w14:textId="166B3E8F" w:rsidR="007F307A" w:rsidRPr="00B20F04" w:rsidRDefault="007F307A" w:rsidP="00D36A98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t>Sup</w:t>
      </w:r>
      <w:r w:rsidR="00987D9F" w:rsidRPr="00B20F04">
        <w:rPr>
          <w:b/>
          <w:noProof/>
          <w:szCs w:val="24"/>
          <w:lang w:val="en-US" w:eastAsia="en-GB"/>
        </w:rPr>
        <w:t>p</w:t>
      </w:r>
      <w:r w:rsidRPr="00B20F04">
        <w:rPr>
          <w:b/>
          <w:noProof/>
          <w:szCs w:val="24"/>
          <w:lang w:val="en-US" w:eastAsia="en-GB"/>
        </w:rPr>
        <w:t>lement</w:t>
      </w:r>
      <w:r w:rsidR="008C5C56" w:rsidRPr="00B20F04">
        <w:rPr>
          <w:b/>
          <w:noProof/>
          <w:szCs w:val="24"/>
          <w:lang w:val="en-US" w:eastAsia="en-GB"/>
        </w:rPr>
        <w:t>ary</w:t>
      </w:r>
      <w:r w:rsidRPr="00B20F04">
        <w:rPr>
          <w:b/>
          <w:noProof/>
          <w:szCs w:val="24"/>
          <w:lang w:val="en-US" w:eastAsia="en-GB"/>
        </w:rPr>
        <w:t xml:space="preserve"> Figure 1. </w:t>
      </w:r>
      <w:r w:rsidRPr="00B20F04">
        <w:rPr>
          <w:noProof/>
          <w:szCs w:val="24"/>
          <w:lang w:val="en-US" w:eastAsia="en-GB"/>
        </w:rPr>
        <w:t xml:space="preserve">Analysis of the </w:t>
      </w:r>
      <w:r w:rsidRPr="00B20F04">
        <w:rPr>
          <w:iCs/>
          <w:szCs w:val="24"/>
          <w:lang w:val="en-US"/>
        </w:rPr>
        <w:t xml:space="preserve">risk of </w:t>
      </w:r>
      <w:r w:rsidRPr="00B20F04">
        <w:rPr>
          <w:noProof/>
          <w:szCs w:val="24"/>
          <w:lang w:val="en-US" w:eastAsia="en-GB"/>
        </w:rPr>
        <w:t>CID events over 24 weeks, stratified by a) ICS use, b) previous treatment, c) symptoms defined by E-RS</w:t>
      </w:r>
      <w:r w:rsidR="001C680D" w:rsidRPr="00B20F04">
        <w:rPr>
          <w:noProof/>
          <w:szCs w:val="24"/>
          <w:lang w:val="en-US" w:eastAsia="en-GB"/>
        </w:rPr>
        <w:t>,</w:t>
      </w:r>
      <w:r w:rsidRPr="00B20F04">
        <w:rPr>
          <w:noProof/>
          <w:szCs w:val="24"/>
          <w:lang w:val="en-US" w:eastAsia="en-GB"/>
        </w:rPr>
        <w:t xml:space="preserve"> and d) symptoms </w:t>
      </w:r>
      <w:r w:rsidR="007D43AC" w:rsidRPr="00B20F04">
        <w:rPr>
          <w:noProof/>
          <w:szCs w:val="24"/>
          <w:lang w:val="en-US" w:eastAsia="en-GB"/>
        </w:rPr>
        <w:t>defined by BDI (ITT population)</w:t>
      </w:r>
    </w:p>
    <w:p w14:paraId="4AD64AB6" w14:textId="08711323" w:rsidR="007F307A" w:rsidRPr="00B20F04" w:rsidRDefault="00CB3731" w:rsidP="007F307A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  <w:r w:rsidRPr="00B20F04">
        <w:rPr>
          <w:noProof/>
          <w:lang w:eastAsia="en-GB"/>
        </w:rPr>
        <w:drawing>
          <wp:inline distT="0" distB="0" distL="0" distR="0" wp14:anchorId="6743123D" wp14:editId="799962E1">
            <wp:extent cx="5731510" cy="7114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4305" w14:textId="3A3282AB" w:rsidR="007F307A" w:rsidRPr="00B20F04" w:rsidRDefault="00CB3731" w:rsidP="007F307A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  <w:sectPr w:rsidR="007F307A" w:rsidRPr="00B20F04" w:rsidSect="0032628A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B20F04">
        <w:rPr>
          <w:noProof/>
          <w:lang w:eastAsia="en-GB"/>
        </w:rPr>
        <w:lastRenderedPageBreak/>
        <w:drawing>
          <wp:inline distT="0" distB="0" distL="0" distR="0" wp14:anchorId="3ECBA520" wp14:editId="4363A179">
            <wp:extent cx="5731510" cy="71342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BBC0" w14:textId="21EB537D" w:rsidR="007F307A" w:rsidRPr="00B20F04" w:rsidRDefault="00CB3731" w:rsidP="007F307A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  <w:r w:rsidRPr="00B20F04">
        <w:rPr>
          <w:noProof/>
          <w:lang w:eastAsia="en-GB"/>
        </w:rPr>
        <w:lastRenderedPageBreak/>
        <w:drawing>
          <wp:inline distT="0" distB="0" distL="0" distR="0" wp14:anchorId="120D7B76" wp14:editId="495B999E">
            <wp:extent cx="5731510" cy="71323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D4954" w14:textId="77777777" w:rsidR="007F307A" w:rsidRPr="00B20F04" w:rsidRDefault="007F307A" w:rsidP="007F307A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</w:p>
    <w:p w14:paraId="3C32D0B7" w14:textId="77777777" w:rsidR="007F307A" w:rsidRPr="00B20F04" w:rsidRDefault="007F307A" w:rsidP="007F307A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  <w:sectPr w:rsidR="007F307A" w:rsidRPr="00B20F04" w:rsidSect="0032628A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047DD4FA" w14:textId="1C2223FF" w:rsidR="007F307A" w:rsidRPr="00B20F04" w:rsidRDefault="00CB3731" w:rsidP="007F307A">
      <w:pPr>
        <w:keepNext w:val="0"/>
        <w:spacing w:afterLines="120" w:after="288" w:line="480" w:lineRule="auto"/>
        <w:rPr>
          <w:noProof/>
          <w:szCs w:val="24"/>
          <w:lang w:val="en-US" w:eastAsia="en-GB"/>
        </w:rPr>
      </w:pPr>
      <w:r w:rsidRPr="00B20F04">
        <w:rPr>
          <w:noProof/>
          <w:lang w:eastAsia="en-GB"/>
        </w:rPr>
        <w:lastRenderedPageBreak/>
        <w:drawing>
          <wp:inline distT="0" distB="0" distL="0" distR="0" wp14:anchorId="64CBB531" wp14:editId="32E9D923">
            <wp:extent cx="5731510" cy="71348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F1F5B" w14:textId="77777777" w:rsidR="00B61F30" w:rsidRPr="00B20F04" w:rsidRDefault="00B61F30" w:rsidP="00B61F30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t>*p&lt;0.05, **p&lt;0.01, ***p&lt;0.001 HR vs placebo</w:t>
      </w:r>
    </w:p>
    <w:p w14:paraId="2872D840" w14:textId="77777777" w:rsidR="00B61F30" w:rsidRPr="00B20F04" w:rsidRDefault="00B61F30" w:rsidP="00B61F30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vertAlign w:val="superscript"/>
          <w:lang w:val="en-US" w:eastAsia="en-GB"/>
        </w:rPr>
        <w:t>a</w:t>
      </w:r>
      <w:r w:rsidRPr="00B20F04">
        <w:rPr>
          <w:noProof/>
          <w:szCs w:val="24"/>
          <w:lang w:val="en-US" w:eastAsia="en-GB"/>
        </w:rPr>
        <w:t>Defined as patients previously treated with LABAs and/or LAMAs, LABA/ICS combinations, or LABA/LAMA/ICS combinations or xanthines</w:t>
      </w:r>
    </w:p>
    <w:p w14:paraId="58DEE232" w14:textId="1E4A6AE9" w:rsidR="00B61F30" w:rsidRPr="00B20F04" w:rsidRDefault="00B61F30" w:rsidP="00B61F30">
      <w:pPr>
        <w:keepNext w:val="0"/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vertAlign w:val="superscript"/>
          <w:lang w:val="en-US" w:eastAsia="en-GB"/>
        </w:rPr>
        <w:lastRenderedPageBreak/>
        <w:t>b</w:t>
      </w:r>
      <w:r w:rsidRPr="00B20F04">
        <w:rPr>
          <w:noProof/>
          <w:szCs w:val="24"/>
          <w:lang w:val="en-US" w:eastAsia="en-GB"/>
        </w:rPr>
        <w:t xml:space="preserve">Defined as patients who were not previously treated with SABAs and/or SAMAs or with other medications (ICS, leukotriene antagonists, systemic corticosteroids, oxygen or influenza vaccine) not in accordance with GOLD guidelines </w:t>
      </w:r>
      <w:r w:rsidR="005B30FB" w:rsidRPr="00B20F04">
        <w:rPr>
          <w:noProof/>
          <w:szCs w:val="24"/>
          <w:lang w:val="en-US" w:eastAsia="en-GB"/>
        </w:rPr>
        <w:fldChar w:fldCharType="begin"/>
      </w:r>
      <w:r w:rsidR="005B30FB" w:rsidRPr="00B20F04">
        <w:rPr>
          <w:noProof/>
          <w:szCs w:val="24"/>
          <w:lang w:val="en-US" w:eastAsia="en-GB"/>
        </w:rPr>
        <w:instrText xml:space="preserve"> ADDIN REFMGR.CITE &lt;Refman&gt;&lt;Cite&gt;&lt;Author&gt;Global Initiative for Chronic Obstructive Lung Disease&lt;/Author&gt;&lt;Year&gt;2017&lt;/Year&gt;&lt;RecNum&gt;17398&lt;/RecNum&gt;&lt;IDText&gt;Global strategy for the diagnosis, management, and prevention of chronic obstructive pulmonary disease&lt;/IDText&gt;&lt;MDL Ref_Type="Electronic Citation"&gt;&lt;Ref_Type&gt;Electronic Citation&lt;/Ref_Type&gt;&lt;Ref_ID&gt;17398&lt;/Ref_ID&gt;&lt;Title_Primary&gt;Global strategy for the diagnosis, management, and prevention of chronic obstructive pulmonary disease&lt;/Title_Primary&gt;&lt;Authors_Primary&gt;=Global Initiative for Chronic Obstructive Lung Disease&lt;/Authors_Primary&gt;&lt;Date_Primary&gt;2017&lt;/Date_Primary&gt;&lt;Keywords&gt;diagnosis&lt;/Keywords&gt;&lt;Keywords&gt;Disease&lt;/Keywords&gt;&lt;Reprint&gt;In File&lt;/Reprint&gt;&lt;Periodical&gt;http://goldcopd.org/gold-2017-global-strategy-diagnosis-management-prevention-copd/&lt;/Periodical&gt;&lt;Date_Secondary&gt;2017/3/1&lt;/Date_Secondary&gt;&lt;Web_URL&gt;&lt;u&gt;http://goldcopd.org/gold-2017-global-strategy-diagnosis-management-prevention-copd/&lt;/u&gt;&lt;/Web_URL&gt;&lt;ZZ_JournalStdAbbrev&gt;&lt;f name="System"&gt;http://goldcopd.org/gold-2017-global-strategy-diagnosis-management-prevention-copd/&lt;/f&gt;&lt;/ZZ_JournalStdAbbrev&gt;&lt;ZZ_WorkformID&gt;34&lt;/ZZ_WorkformID&gt;&lt;/MDL&gt;&lt;/Cite&gt;&lt;/Refman&gt;</w:instrText>
      </w:r>
      <w:r w:rsidR="005B30FB" w:rsidRPr="00B20F04">
        <w:rPr>
          <w:noProof/>
          <w:szCs w:val="24"/>
          <w:lang w:val="en-US" w:eastAsia="en-GB"/>
        </w:rPr>
        <w:fldChar w:fldCharType="separate"/>
      </w:r>
      <w:r w:rsidR="005B30FB" w:rsidRPr="00B20F04">
        <w:rPr>
          <w:noProof/>
          <w:szCs w:val="24"/>
          <w:lang w:val="en-US" w:eastAsia="en-GB"/>
        </w:rPr>
        <w:t>[1]</w:t>
      </w:r>
      <w:r w:rsidR="005B30FB" w:rsidRPr="00B20F04">
        <w:rPr>
          <w:noProof/>
          <w:szCs w:val="24"/>
          <w:lang w:val="en-US" w:eastAsia="en-GB"/>
        </w:rPr>
        <w:fldChar w:fldCharType="end"/>
      </w:r>
      <w:r w:rsidRPr="00B20F04">
        <w:rPr>
          <w:noProof/>
          <w:szCs w:val="24"/>
          <w:lang w:val="en-US" w:eastAsia="en-GB"/>
        </w:rPr>
        <w:t>.</w:t>
      </w:r>
    </w:p>
    <w:p w14:paraId="799874EC" w14:textId="77777777" w:rsidR="00B61F30" w:rsidRPr="00B20F04" w:rsidRDefault="00B61F30" w:rsidP="00B61F30">
      <w:pPr>
        <w:keepNext w:val="0"/>
        <w:spacing w:after="0" w:line="480" w:lineRule="auto"/>
        <w:rPr>
          <w:szCs w:val="24"/>
          <w:lang w:val="en-US"/>
        </w:rPr>
      </w:pPr>
      <w:r w:rsidRPr="00B20F04">
        <w:rPr>
          <w:szCs w:val="24"/>
          <w:lang w:val="en-US"/>
        </w:rPr>
        <w:t>Risk of first or sustained CID events and each individual component were analyzed using a Cox-Proportional Hazard model including study, treatment group, and smoking status as covariates</w:t>
      </w:r>
    </w:p>
    <w:p w14:paraId="0E5E994A" w14:textId="68CA7CFD" w:rsidR="00E01F35" w:rsidRPr="00B20F04" w:rsidRDefault="00B61F30" w:rsidP="00B61F30">
      <w:pPr>
        <w:tabs>
          <w:tab w:val="left" w:pos="540"/>
        </w:tabs>
        <w:spacing w:after="0" w:line="480" w:lineRule="auto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t>AB, aclidinium bromide; BDI, baseline dyspnea index; CID, clinically important deterioration; E-RS, Evaluating Respiratory Symptoms; FF, formoterol fumarate; GOLD, Global initiative for chronic Obstructive Lung Disease; HR, hazard ratio; ICS, inhaled corticosteroid; ITT, intent-to-treat; LABA, long-acting β</w:t>
      </w:r>
      <w:r w:rsidRPr="00B20F04">
        <w:rPr>
          <w:noProof/>
          <w:szCs w:val="24"/>
          <w:vertAlign w:val="subscript"/>
          <w:lang w:val="en-US" w:eastAsia="en-GB"/>
        </w:rPr>
        <w:t>2</w:t>
      </w:r>
      <w:r w:rsidRPr="00B20F04">
        <w:rPr>
          <w:noProof/>
          <w:szCs w:val="24"/>
          <w:lang w:val="en-US" w:eastAsia="en-GB"/>
        </w:rPr>
        <w:t>-agonist; LAMA, long-acting muscarinic antagonist; SABA, short-acting β</w:t>
      </w:r>
      <w:r w:rsidRPr="00B20F04">
        <w:rPr>
          <w:noProof/>
          <w:szCs w:val="24"/>
          <w:vertAlign w:val="subscript"/>
          <w:lang w:val="en-US" w:eastAsia="en-GB"/>
        </w:rPr>
        <w:t>2</w:t>
      </w:r>
      <w:r w:rsidRPr="00B20F04">
        <w:rPr>
          <w:noProof/>
          <w:szCs w:val="24"/>
          <w:lang w:val="en-US" w:eastAsia="en-GB"/>
        </w:rPr>
        <w:t>-agonist; SAMA, short-acting muscarinic antagonist</w:t>
      </w:r>
    </w:p>
    <w:p w14:paraId="31227608" w14:textId="77777777" w:rsidR="00B61F30" w:rsidRPr="00B20F04" w:rsidRDefault="00B61F30" w:rsidP="00B61F30">
      <w:pPr>
        <w:tabs>
          <w:tab w:val="left" w:pos="540"/>
        </w:tabs>
        <w:spacing w:after="0" w:line="480" w:lineRule="auto"/>
        <w:rPr>
          <w:noProof/>
          <w:szCs w:val="24"/>
          <w:lang w:val="en-US" w:eastAsia="en-GB"/>
        </w:rPr>
      </w:pPr>
    </w:p>
    <w:p w14:paraId="2A040C81" w14:textId="4BBC3664" w:rsidR="00B61F30" w:rsidRPr="00B20F04" w:rsidRDefault="00B61F30" w:rsidP="00B61F30">
      <w:pPr>
        <w:tabs>
          <w:tab w:val="left" w:pos="540"/>
        </w:tabs>
        <w:spacing w:after="0" w:line="480" w:lineRule="auto"/>
        <w:rPr>
          <w:b/>
          <w:noProof/>
          <w:szCs w:val="24"/>
          <w:lang w:val="en-US" w:eastAsia="en-GB"/>
        </w:rPr>
      </w:pPr>
      <w:r w:rsidRPr="00B20F04">
        <w:rPr>
          <w:b/>
          <w:noProof/>
          <w:szCs w:val="24"/>
          <w:lang w:val="en-US" w:eastAsia="en-GB"/>
        </w:rPr>
        <w:t>References</w:t>
      </w:r>
    </w:p>
    <w:p w14:paraId="2ADECA5E" w14:textId="4F09890B" w:rsidR="005B30FB" w:rsidRPr="00B20F04" w:rsidRDefault="00B61F30" w:rsidP="005B30FB">
      <w:pPr>
        <w:tabs>
          <w:tab w:val="left" w:pos="360"/>
        </w:tabs>
        <w:spacing w:after="0" w:line="480" w:lineRule="auto"/>
        <w:ind w:left="360" w:hanging="360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fldChar w:fldCharType="begin"/>
      </w:r>
      <w:r w:rsidRPr="00B20F04">
        <w:rPr>
          <w:noProof/>
          <w:szCs w:val="24"/>
          <w:lang w:val="en-US" w:eastAsia="en-GB"/>
        </w:rPr>
        <w:instrText xml:space="preserve"> ADDIN REFMGR.REFLIST </w:instrText>
      </w:r>
      <w:r w:rsidRPr="00B20F04">
        <w:rPr>
          <w:noProof/>
          <w:szCs w:val="24"/>
          <w:lang w:val="en-US" w:eastAsia="en-GB"/>
        </w:rPr>
        <w:fldChar w:fldCharType="separate"/>
      </w:r>
      <w:r w:rsidR="005B30FB" w:rsidRPr="00B20F04">
        <w:rPr>
          <w:noProof/>
          <w:szCs w:val="24"/>
          <w:lang w:val="en-US" w:eastAsia="en-GB"/>
        </w:rPr>
        <w:t xml:space="preserve">1.   </w:t>
      </w:r>
      <w:r w:rsidR="005B30FB" w:rsidRPr="00B20F04">
        <w:rPr>
          <w:noProof/>
          <w:szCs w:val="24"/>
          <w:lang w:val="en-US" w:eastAsia="en-GB"/>
        </w:rPr>
        <w:tab/>
        <w:t>Global Initiative for Chronic Obstructive Lung Disease. Global strategy for the diagnosis, management, and prevention of chronic obstructive pulmonary disease</w:t>
      </w:r>
      <w:r w:rsidR="005B30FB" w:rsidRPr="00B20F04">
        <w:rPr>
          <w:b/>
          <w:noProof/>
          <w:szCs w:val="24"/>
          <w:lang w:val="en-US" w:eastAsia="en-GB"/>
        </w:rPr>
        <w:t xml:space="preserve"> </w:t>
      </w:r>
      <w:r w:rsidR="005B30FB" w:rsidRPr="00B20F04">
        <w:rPr>
          <w:noProof/>
          <w:szCs w:val="24"/>
          <w:lang w:val="en-US" w:eastAsia="en-GB"/>
        </w:rPr>
        <w:t>2017. [</w:t>
      </w:r>
      <w:hyperlink r:id="rId16" w:history="1">
        <w:r w:rsidR="005B30FB" w:rsidRPr="00B20F04">
          <w:rPr>
            <w:rStyle w:val="Hyperlink"/>
            <w:noProof/>
            <w:szCs w:val="24"/>
            <w:lang w:val="en-US" w:eastAsia="en-GB"/>
          </w:rPr>
          <w:t>http://goldcopd.org/gold-2017-global-strategy-diagnosis-management-prevention-copd/]</w:t>
        </w:r>
      </w:hyperlink>
      <w:r w:rsidR="005B30FB" w:rsidRPr="00B20F04">
        <w:rPr>
          <w:noProof/>
          <w:szCs w:val="24"/>
          <w:lang w:val="en-US" w:eastAsia="en-GB"/>
        </w:rPr>
        <w:t>. Accessed 1 Mar 2017.</w:t>
      </w:r>
    </w:p>
    <w:p w14:paraId="4A177007" w14:textId="77777777" w:rsidR="005B30FB" w:rsidRPr="00B20F04" w:rsidRDefault="005B30FB" w:rsidP="005B30FB">
      <w:pPr>
        <w:tabs>
          <w:tab w:val="left" w:pos="360"/>
        </w:tabs>
        <w:spacing w:after="0" w:line="480" w:lineRule="auto"/>
        <w:ind w:left="360" w:hanging="360"/>
        <w:rPr>
          <w:noProof/>
          <w:szCs w:val="24"/>
          <w:lang w:val="en-US" w:eastAsia="en-GB"/>
        </w:rPr>
      </w:pPr>
    </w:p>
    <w:p w14:paraId="33C5F106" w14:textId="40063B22" w:rsidR="00B61F30" w:rsidRPr="00BE4E38" w:rsidRDefault="00B61F30" w:rsidP="005B30FB">
      <w:pPr>
        <w:tabs>
          <w:tab w:val="left" w:pos="360"/>
        </w:tabs>
        <w:spacing w:after="0" w:line="480" w:lineRule="auto"/>
        <w:ind w:left="360" w:hanging="360"/>
        <w:rPr>
          <w:noProof/>
          <w:szCs w:val="24"/>
          <w:lang w:val="en-US" w:eastAsia="en-GB"/>
        </w:rPr>
      </w:pPr>
      <w:r w:rsidRPr="00B20F04">
        <w:rPr>
          <w:noProof/>
          <w:szCs w:val="24"/>
          <w:lang w:val="en-US" w:eastAsia="en-GB"/>
        </w:rPr>
        <w:fldChar w:fldCharType="end"/>
      </w:r>
    </w:p>
    <w:sectPr w:rsidR="00B61F30" w:rsidRPr="00BE4E38" w:rsidSect="00D77B51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67F3" w14:textId="77777777" w:rsidR="00F6614B" w:rsidRDefault="00F6614B" w:rsidP="00F8777D">
      <w:pPr>
        <w:spacing w:after="0" w:line="240" w:lineRule="auto"/>
      </w:pPr>
      <w:r>
        <w:separator/>
      </w:r>
    </w:p>
  </w:endnote>
  <w:endnote w:type="continuationSeparator" w:id="0">
    <w:p w14:paraId="337FF34C" w14:textId="77777777" w:rsidR="00F6614B" w:rsidRDefault="00F6614B" w:rsidP="00F8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668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097D9" w14:textId="5857E862" w:rsidR="003625C4" w:rsidRDefault="003625C4" w:rsidP="00DA4DBD">
        <w:pPr>
          <w:pStyle w:val="Footer"/>
          <w:keepNext w:val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FD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41ABA" w14:textId="77777777" w:rsidR="00F6614B" w:rsidRDefault="00F6614B" w:rsidP="00F8777D">
      <w:pPr>
        <w:spacing w:after="0" w:line="240" w:lineRule="auto"/>
      </w:pPr>
      <w:r>
        <w:separator/>
      </w:r>
    </w:p>
  </w:footnote>
  <w:footnote w:type="continuationSeparator" w:id="0">
    <w:p w14:paraId="476FE439" w14:textId="77777777" w:rsidR="00F6614B" w:rsidRDefault="00F6614B" w:rsidP="00F8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373"/>
    <w:multiLevelType w:val="hybridMultilevel"/>
    <w:tmpl w:val="5EB2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A9C"/>
    <w:multiLevelType w:val="hybridMultilevel"/>
    <w:tmpl w:val="6B62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B2D9D"/>
    <w:multiLevelType w:val="hybridMultilevel"/>
    <w:tmpl w:val="23F6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6173"/>
    <w:multiLevelType w:val="hybridMultilevel"/>
    <w:tmpl w:val="7BE693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85FDA"/>
    <w:multiLevelType w:val="hybridMultilevel"/>
    <w:tmpl w:val="F45C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9C2"/>
    <w:multiLevelType w:val="hybridMultilevel"/>
    <w:tmpl w:val="BC4C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35BD5"/>
    <w:multiLevelType w:val="hybridMultilevel"/>
    <w:tmpl w:val="9750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420BD"/>
    <w:multiLevelType w:val="hybridMultilevel"/>
    <w:tmpl w:val="370051DC"/>
    <w:lvl w:ilvl="0" w:tplc="B8169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0F9E"/>
    <w:multiLevelType w:val="hybridMultilevel"/>
    <w:tmpl w:val="9A02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0F63"/>
    <w:multiLevelType w:val="hybridMultilevel"/>
    <w:tmpl w:val="FB62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A4060"/>
    <w:multiLevelType w:val="hybridMultilevel"/>
    <w:tmpl w:val="1000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620B9"/>
    <w:multiLevelType w:val="hybridMultilevel"/>
    <w:tmpl w:val="01824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06061"/>
    <w:multiLevelType w:val="hybridMultilevel"/>
    <w:tmpl w:val="4B0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1600"/>
    <w:multiLevelType w:val="hybridMultilevel"/>
    <w:tmpl w:val="F33E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34E5B"/>
    <w:multiLevelType w:val="hybridMultilevel"/>
    <w:tmpl w:val="92D21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C004C"/>
    <w:multiLevelType w:val="hybridMultilevel"/>
    <w:tmpl w:val="1F1CC3BE"/>
    <w:lvl w:ilvl="0" w:tplc="B8169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7079"/>
    <w:multiLevelType w:val="hybridMultilevel"/>
    <w:tmpl w:val="45E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07AFB"/>
    <w:multiLevelType w:val="hybridMultilevel"/>
    <w:tmpl w:val="96048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E4794F"/>
    <w:multiLevelType w:val="hybridMultilevel"/>
    <w:tmpl w:val="326C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771A3"/>
    <w:multiLevelType w:val="hybridMultilevel"/>
    <w:tmpl w:val="7722B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2C1A07"/>
    <w:multiLevelType w:val="hybridMultilevel"/>
    <w:tmpl w:val="489C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32EDC"/>
    <w:multiLevelType w:val="hybridMultilevel"/>
    <w:tmpl w:val="E872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613B8"/>
    <w:multiLevelType w:val="hybridMultilevel"/>
    <w:tmpl w:val="DAE65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267FE"/>
    <w:multiLevelType w:val="hybridMultilevel"/>
    <w:tmpl w:val="48E4C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CC3376"/>
    <w:multiLevelType w:val="hybridMultilevel"/>
    <w:tmpl w:val="F0D83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7A4315"/>
    <w:multiLevelType w:val="hybridMultilevel"/>
    <w:tmpl w:val="5BC6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6252"/>
    <w:multiLevelType w:val="hybridMultilevel"/>
    <w:tmpl w:val="5ED68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B3CCF"/>
    <w:multiLevelType w:val="hybridMultilevel"/>
    <w:tmpl w:val="473EAD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86F33"/>
    <w:multiLevelType w:val="hybridMultilevel"/>
    <w:tmpl w:val="A4CE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0"/>
  </w:num>
  <w:num w:numId="4">
    <w:abstractNumId w:val="8"/>
  </w:num>
  <w:num w:numId="5">
    <w:abstractNumId w:val="13"/>
  </w:num>
  <w:num w:numId="6">
    <w:abstractNumId w:val="21"/>
  </w:num>
  <w:num w:numId="7">
    <w:abstractNumId w:val="0"/>
  </w:num>
  <w:num w:numId="8">
    <w:abstractNumId w:val="25"/>
  </w:num>
  <w:num w:numId="9">
    <w:abstractNumId w:val="3"/>
  </w:num>
  <w:num w:numId="10">
    <w:abstractNumId w:val="14"/>
  </w:num>
  <w:num w:numId="11">
    <w:abstractNumId w:val="10"/>
  </w:num>
  <w:num w:numId="12">
    <w:abstractNumId w:val="3"/>
  </w:num>
  <w:num w:numId="13">
    <w:abstractNumId w:val="20"/>
  </w:num>
  <w:num w:numId="14">
    <w:abstractNumId w:val="18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  <w:num w:numId="19">
    <w:abstractNumId w:val="9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9"/>
  </w:num>
  <w:num w:numId="25">
    <w:abstractNumId w:val="23"/>
  </w:num>
  <w:num w:numId="26">
    <w:abstractNumId w:val="5"/>
  </w:num>
  <w:num w:numId="27">
    <w:abstractNumId w:val="26"/>
  </w:num>
  <w:num w:numId="28">
    <w:abstractNumId w:val="16"/>
  </w:num>
  <w:num w:numId="29">
    <w:abstractNumId w:val="22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I:\MCM\Styles\Respiratory Research.os&lt;/StartingRefnum&gt;&lt;FontName&gt;Times New Roman&lt;/FontName&gt;&lt;FontSize&gt;12&lt;/FontSize&gt;&lt;ReflistTitle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almirall las-34273&lt;/item&gt;&lt;/Libraries&gt;&lt;/Databases&gt;"/>
  </w:docVars>
  <w:rsids>
    <w:rsidRoot w:val="00F8777D"/>
    <w:rsid w:val="000035C6"/>
    <w:rsid w:val="000057D6"/>
    <w:rsid w:val="00007DF6"/>
    <w:rsid w:val="00007F46"/>
    <w:rsid w:val="00010E28"/>
    <w:rsid w:val="00011850"/>
    <w:rsid w:val="00013573"/>
    <w:rsid w:val="00024ABD"/>
    <w:rsid w:val="0003249E"/>
    <w:rsid w:val="00033BD8"/>
    <w:rsid w:val="00034864"/>
    <w:rsid w:val="000355E1"/>
    <w:rsid w:val="000365F5"/>
    <w:rsid w:val="00036772"/>
    <w:rsid w:val="00040B91"/>
    <w:rsid w:val="00041F08"/>
    <w:rsid w:val="00044465"/>
    <w:rsid w:val="00045915"/>
    <w:rsid w:val="000473B6"/>
    <w:rsid w:val="00047D71"/>
    <w:rsid w:val="00050CB6"/>
    <w:rsid w:val="00056893"/>
    <w:rsid w:val="000601F2"/>
    <w:rsid w:val="0006331D"/>
    <w:rsid w:val="000657A4"/>
    <w:rsid w:val="00075334"/>
    <w:rsid w:val="00075632"/>
    <w:rsid w:val="000803A6"/>
    <w:rsid w:val="000816E8"/>
    <w:rsid w:val="000823D4"/>
    <w:rsid w:val="000824E3"/>
    <w:rsid w:val="00083CDD"/>
    <w:rsid w:val="00083FB0"/>
    <w:rsid w:val="000849E2"/>
    <w:rsid w:val="00085EDC"/>
    <w:rsid w:val="00086882"/>
    <w:rsid w:val="00087001"/>
    <w:rsid w:val="00091017"/>
    <w:rsid w:val="00092B95"/>
    <w:rsid w:val="00095E3D"/>
    <w:rsid w:val="00095EAB"/>
    <w:rsid w:val="00096236"/>
    <w:rsid w:val="00097053"/>
    <w:rsid w:val="000A173C"/>
    <w:rsid w:val="000A200E"/>
    <w:rsid w:val="000A295F"/>
    <w:rsid w:val="000A32A1"/>
    <w:rsid w:val="000A4220"/>
    <w:rsid w:val="000A453B"/>
    <w:rsid w:val="000A5836"/>
    <w:rsid w:val="000A643D"/>
    <w:rsid w:val="000B1201"/>
    <w:rsid w:val="000B4B61"/>
    <w:rsid w:val="000B5C08"/>
    <w:rsid w:val="000C1D15"/>
    <w:rsid w:val="000C4DC8"/>
    <w:rsid w:val="000C557E"/>
    <w:rsid w:val="000C5FBA"/>
    <w:rsid w:val="000C6352"/>
    <w:rsid w:val="000C7E5B"/>
    <w:rsid w:val="000D0321"/>
    <w:rsid w:val="000D6AC2"/>
    <w:rsid w:val="000D6AF6"/>
    <w:rsid w:val="000D7DE0"/>
    <w:rsid w:val="000E19C9"/>
    <w:rsid w:val="000E2960"/>
    <w:rsid w:val="000E299E"/>
    <w:rsid w:val="000E5083"/>
    <w:rsid w:val="000E555C"/>
    <w:rsid w:val="000E77CC"/>
    <w:rsid w:val="000F32EC"/>
    <w:rsid w:val="000F32F8"/>
    <w:rsid w:val="000F4B94"/>
    <w:rsid w:val="000F60CC"/>
    <w:rsid w:val="001009A3"/>
    <w:rsid w:val="00100C7B"/>
    <w:rsid w:val="00107A4E"/>
    <w:rsid w:val="00111D21"/>
    <w:rsid w:val="0011430E"/>
    <w:rsid w:val="001152CF"/>
    <w:rsid w:val="00116531"/>
    <w:rsid w:val="001201B1"/>
    <w:rsid w:val="001201E6"/>
    <w:rsid w:val="001214EE"/>
    <w:rsid w:val="001243A9"/>
    <w:rsid w:val="00124835"/>
    <w:rsid w:val="001256BD"/>
    <w:rsid w:val="0012623C"/>
    <w:rsid w:val="00132620"/>
    <w:rsid w:val="00132A42"/>
    <w:rsid w:val="0013305B"/>
    <w:rsid w:val="001345E6"/>
    <w:rsid w:val="00134778"/>
    <w:rsid w:val="00134AB2"/>
    <w:rsid w:val="001356D4"/>
    <w:rsid w:val="0013719C"/>
    <w:rsid w:val="0014301E"/>
    <w:rsid w:val="00144E16"/>
    <w:rsid w:val="00146493"/>
    <w:rsid w:val="00153191"/>
    <w:rsid w:val="00154FB3"/>
    <w:rsid w:val="001567CE"/>
    <w:rsid w:val="00166346"/>
    <w:rsid w:val="0016651D"/>
    <w:rsid w:val="00172B0C"/>
    <w:rsid w:val="00172BBE"/>
    <w:rsid w:val="00175B1A"/>
    <w:rsid w:val="00176FC9"/>
    <w:rsid w:val="00177867"/>
    <w:rsid w:val="00180BD4"/>
    <w:rsid w:val="00181664"/>
    <w:rsid w:val="001839B4"/>
    <w:rsid w:val="00186172"/>
    <w:rsid w:val="0018652D"/>
    <w:rsid w:val="00187078"/>
    <w:rsid w:val="00192403"/>
    <w:rsid w:val="001A1F4E"/>
    <w:rsid w:val="001A4362"/>
    <w:rsid w:val="001A443F"/>
    <w:rsid w:val="001A53AF"/>
    <w:rsid w:val="001A606D"/>
    <w:rsid w:val="001A7576"/>
    <w:rsid w:val="001B1DF8"/>
    <w:rsid w:val="001B60D8"/>
    <w:rsid w:val="001C2C41"/>
    <w:rsid w:val="001C481A"/>
    <w:rsid w:val="001C51B8"/>
    <w:rsid w:val="001C52E1"/>
    <w:rsid w:val="001C546F"/>
    <w:rsid w:val="001C680D"/>
    <w:rsid w:val="001C77D2"/>
    <w:rsid w:val="001C7831"/>
    <w:rsid w:val="001D041B"/>
    <w:rsid w:val="001D1A41"/>
    <w:rsid w:val="001D31B6"/>
    <w:rsid w:val="001D6BF5"/>
    <w:rsid w:val="001E017C"/>
    <w:rsid w:val="001E0C1C"/>
    <w:rsid w:val="001E24BC"/>
    <w:rsid w:val="001F19C8"/>
    <w:rsid w:val="001F23E3"/>
    <w:rsid w:val="001F349D"/>
    <w:rsid w:val="001F583A"/>
    <w:rsid w:val="001F68AA"/>
    <w:rsid w:val="001F7820"/>
    <w:rsid w:val="00202073"/>
    <w:rsid w:val="002023CF"/>
    <w:rsid w:val="002044B6"/>
    <w:rsid w:val="0020775A"/>
    <w:rsid w:val="00214E6F"/>
    <w:rsid w:val="002176EC"/>
    <w:rsid w:val="00217930"/>
    <w:rsid w:val="002204E8"/>
    <w:rsid w:val="00221FB5"/>
    <w:rsid w:val="00222835"/>
    <w:rsid w:val="002231FE"/>
    <w:rsid w:val="002247F9"/>
    <w:rsid w:val="00226E49"/>
    <w:rsid w:val="00227DA2"/>
    <w:rsid w:val="0023060E"/>
    <w:rsid w:val="0023121B"/>
    <w:rsid w:val="00235004"/>
    <w:rsid w:val="002414D5"/>
    <w:rsid w:val="00241D3B"/>
    <w:rsid w:val="00243753"/>
    <w:rsid w:val="00243F02"/>
    <w:rsid w:val="00244575"/>
    <w:rsid w:val="00247088"/>
    <w:rsid w:val="00247461"/>
    <w:rsid w:val="0024796C"/>
    <w:rsid w:val="00247F41"/>
    <w:rsid w:val="0025001A"/>
    <w:rsid w:val="0025066D"/>
    <w:rsid w:val="002508AF"/>
    <w:rsid w:val="00250B12"/>
    <w:rsid w:val="00250DD1"/>
    <w:rsid w:val="00252E75"/>
    <w:rsid w:val="002557BA"/>
    <w:rsid w:val="0026123D"/>
    <w:rsid w:val="00262142"/>
    <w:rsid w:val="002621D6"/>
    <w:rsid w:val="002720E6"/>
    <w:rsid w:val="0027220C"/>
    <w:rsid w:val="0027676A"/>
    <w:rsid w:val="002850BC"/>
    <w:rsid w:val="0028772E"/>
    <w:rsid w:val="00291646"/>
    <w:rsid w:val="00292AA0"/>
    <w:rsid w:val="00292C1C"/>
    <w:rsid w:val="00294F2A"/>
    <w:rsid w:val="002966D5"/>
    <w:rsid w:val="002A00F9"/>
    <w:rsid w:val="002A3AD7"/>
    <w:rsid w:val="002A45AA"/>
    <w:rsid w:val="002A48A7"/>
    <w:rsid w:val="002B09F6"/>
    <w:rsid w:val="002B2EA9"/>
    <w:rsid w:val="002B3625"/>
    <w:rsid w:val="002C206A"/>
    <w:rsid w:val="002C6427"/>
    <w:rsid w:val="002D0877"/>
    <w:rsid w:val="002D5012"/>
    <w:rsid w:val="002D5D53"/>
    <w:rsid w:val="002D60BC"/>
    <w:rsid w:val="002E17A6"/>
    <w:rsid w:val="002E2FBF"/>
    <w:rsid w:val="002E676B"/>
    <w:rsid w:val="002E77EF"/>
    <w:rsid w:val="002E7CCE"/>
    <w:rsid w:val="002F068E"/>
    <w:rsid w:val="002F153B"/>
    <w:rsid w:val="002F596F"/>
    <w:rsid w:val="002F6634"/>
    <w:rsid w:val="00302C39"/>
    <w:rsid w:val="00307171"/>
    <w:rsid w:val="0030729C"/>
    <w:rsid w:val="0030755D"/>
    <w:rsid w:val="00310EAA"/>
    <w:rsid w:val="0031318E"/>
    <w:rsid w:val="0031370A"/>
    <w:rsid w:val="003173F9"/>
    <w:rsid w:val="00317D8F"/>
    <w:rsid w:val="00321E1A"/>
    <w:rsid w:val="003242DC"/>
    <w:rsid w:val="0032628A"/>
    <w:rsid w:val="00327714"/>
    <w:rsid w:val="0033087B"/>
    <w:rsid w:val="00330AEE"/>
    <w:rsid w:val="00330F89"/>
    <w:rsid w:val="003318BD"/>
    <w:rsid w:val="00334515"/>
    <w:rsid w:val="00335396"/>
    <w:rsid w:val="0033799E"/>
    <w:rsid w:val="003427C7"/>
    <w:rsid w:val="0034405D"/>
    <w:rsid w:val="0034798F"/>
    <w:rsid w:val="0035002B"/>
    <w:rsid w:val="00350A66"/>
    <w:rsid w:val="003531CE"/>
    <w:rsid w:val="00353483"/>
    <w:rsid w:val="00353A3D"/>
    <w:rsid w:val="00355F43"/>
    <w:rsid w:val="00356083"/>
    <w:rsid w:val="00360A39"/>
    <w:rsid w:val="00360E61"/>
    <w:rsid w:val="00361763"/>
    <w:rsid w:val="003625C4"/>
    <w:rsid w:val="00363248"/>
    <w:rsid w:val="003635A6"/>
    <w:rsid w:val="003671A3"/>
    <w:rsid w:val="003747C8"/>
    <w:rsid w:val="00376271"/>
    <w:rsid w:val="00377AE2"/>
    <w:rsid w:val="0038140D"/>
    <w:rsid w:val="003823C2"/>
    <w:rsid w:val="00382FBD"/>
    <w:rsid w:val="00384E8D"/>
    <w:rsid w:val="00385816"/>
    <w:rsid w:val="00386216"/>
    <w:rsid w:val="00387308"/>
    <w:rsid w:val="00390876"/>
    <w:rsid w:val="00390894"/>
    <w:rsid w:val="00394ACF"/>
    <w:rsid w:val="003953F8"/>
    <w:rsid w:val="003A51DF"/>
    <w:rsid w:val="003B1153"/>
    <w:rsid w:val="003B1F43"/>
    <w:rsid w:val="003B378E"/>
    <w:rsid w:val="003B450E"/>
    <w:rsid w:val="003B6AB5"/>
    <w:rsid w:val="003C5901"/>
    <w:rsid w:val="003C5ADB"/>
    <w:rsid w:val="003D0005"/>
    <w:rsid w:val="003D04DB"/>
    <w:rsid w:val="003D45DA"/>
    <w:rsid w:val="003D4CE5"/>
    <w:rsid w:val="003D52A0"/>
    <w:rsid w:val="003D57F8"/>
    <w:rsid w:val="003D6252"/>
    <w:rsid w:val="003D6523"/>
    <w:rsid w:val="003D77D4"/>
    <w:rsid w:val="003E3FD0"/>
    <w:rsid w:val="003E4627"/>
    <w:rsid w:val="003E6EB2"/>
    <w:rsid w:val="003E7BBF"/>
    <w:rsid w:val="003E7EDE"/>
    <w:rsid w:val="003F4F98"/>
    <w:rsid w:val="00400489"/>
    <w:rsid w:val="004004C5"/>
    <w:rsid w:val="00400723"/>
    <w:rsid w:val="00403D17"/>
    <w:rsid w:val="0040603B"/>
    <w:rsid w:val="00410E73"/>
    <w:rsid w:val="00411A42"/>
    <w:rsid w:val="0041313A"/>
    <w:rsid w:val="0041452B"/>
    <w:rsid w:val="0041649F"/>
    <w:rsid w:val="00417F10"/>
    <w:rsid w:val="00421CAB"/>
    <w:rsid w:val="00422E67"/>
    <w:rsid w:val="004230CC"/>
    <w:rsid w:val="004259FE"/>
    <w:rsid w:val="00426E06"/>
    <w:rsid w:val="00427D83"/>
    <w:rsid w:val="00433B34"/>
    <w:rsid w:val="0043491F"/>
    <w:rsid w:val="00434D66"/>
    <w:rsid w:val="0043539C"/>
    <w:rsid w:val="00437F06"/>
    <w:rsid w:val="004404CF"/>
    <w:rsid w:val="00440B0B"/>
    <w:rsid w:val="0044259C"/>
    <w:rsid w:val="004466CB"/>
    <w:rsid w:val="0045034E"/>
    <w:rsid w:val="00450BEA"/>
    <w:rsid w:val="0045218D"/>
    <w:rsid w:val="00454072"/>
    <w:rsid w:val="004600B2"/>
    <w:rsid w:val="00463CB7"/>
    <w:rsid w:val="00464E3C"/>
    <w:rsid w:val="004652D9"/>
    <w:rsid w:val="00465C54"/>
    <w:rsid w:val="00467400"/>
    <w:rsid w:val="0046778E"/>
    <w:rsid w:val="004708F6"/>
    <w:rsid w:val="004744CA"/>
    <w:rsid w:val="00480F60"/>
    <w:rsid w:val="004814AB"/>
    <w:rsid w:val="00483985"/>
    <w:rsid w:val="00486055"/>
    <w:rsid w:val="00486132"/>
    <w:rsid w:val="00486D16"/>
    <w:rsid w:val="004876DF"/>
    <w:rsid w:val="00487869"/>
    <w:rsid w:val="0049029C"/>
    <w:rsid w:val="00490FED"/>
    <w:rsid w:val="00491B6C"/>
    <w:rsid w:val="00494B06"/>
    <w:rsid w:val="00496F44"/>
    <w:rsid w:val="00496F53"/>
    <w:rsid w:val="004A3A60"/>
    <w:rsid w:val="004A6298"/>
    <w:rsid w:val="004B0E05"/>
    <w:rsid w:val="004B285A"/>
    <w:rsid w:val="004B454F"/>
    <w:rsid w:val="004B6CC2"/>
    <w:rsid w:val="004B6F94"/>
    <w:rsid w:val="004B765E"/>
    <w:rsid w:val="004C0035"/>
    <w:rsid w:val="004C0458"/>
    <w:rsid w:val="004C060C"/>
    <w:rsid w:val="004C26D0"/>
    <w:rsid w:val="004C32DB"/>
    <w:rsid w:val="004D02D0"/>
    <w:rsid w:val="004D32DF"/>
    <w:rsid w:val="004D599A"/>
    <w:rsid w:val="004D6E8A"/>
    <w:rsid w:val="004E23C6"/>
    <w:rsid w:val="004E2601"/>
    <w:rsid w:val="004E3565"/>
    <w:rsid w:val="004E4F47"/>
    <w:rsid w:val="004E5A62"/>
    <w:rsid w:val="004E6557"/>
    <w:rsid w:val="004F101E"/>
    <w:rsid w:val="004F4906"/>
    <w:rsid w:val="005010B3"/>
    <w:rsid w:val="00501A80"/>
    <w:rsid w:val="005024C3"/>
    <w:rsid w:val="005026B0"/>
    <w:rsid w:val="00503EB2"/>
    <w:rsid w:val="00505C21"/>
    <w:rsid w:val="005143A9"/>
    <w:rsid w:val="005162B9"/>
    <w:rsid w:val="00517FB4"/>
    <w:rsid w:val="0052148C"/>
    <w:rsid w:val="00522E44"/>
    <w:rsid w:val="00523041"/>
    <w:rsid w:val="005236FE"/>
    <w:rsid w:val="00524C6A"/>
    <w:rsid w:val="00525866"/>
    <w:rsid w:val="005265BC"/>
    <w:rsid w:val="00526641"/>
    <w:rsid w:val="00530353"/>
    <w:rsid w:val="00530374"/>
    <w:rsid w:val="00530678"/>
    <w:rsid w:val="005341BE"/>
    <w:rsid w:val="005358D3"/>
    <w:rsid w:val="00536CF5"/>
    <w:rsid w:val="00536FA2"/>
    <w:rsid w:val="00543E20"/>
    <w:rsid w:val="005453D6"/>
    <w:rsid w:val="0055376E"/>
    <w:rsid w:val="00553B98"/>
    <w:rsid w:val="00553DEF"/>
    <w:rsid w:val="005551EE"/>
    <w:rsid w:val="00557675"/>
    <w:rsid w:val="005601E2"/>
    <w:rsid w:val="0056485A"/>
    <w:rsid w:val="00567553"/>
    <w:rsid w:val="00570D6C"/>
    <w:rsid w:val="00572F26"/>
    <w:rsid w:val="00572FB6"/>
    <w:rsid w:val="00584551"/>
    <w:rsid w:val="005850CF"/>
    <w:rsid w:val="00590884"/>
    <w:rsid w:val="005927DE"/>
    <w:rsid w:val="00593001"/>
    <w:rsid w:val="0059518E"/>
    <w:rsid w:val="00595E9E"/>
    <w:rsid w:val="00596EB9"/>
    <w:rsid w:val="00597108"/>
    <w:rsid w:val="005972FA"/>
    <w:rsid w:val="005A1122"/>
    <w:rsid w:val="005A40E1"/>
    <w:rsid w:val="005B0750"/>
    <w:rsid w:val="005B08F5"/>
    <w:rsid w:val="005B0906"/>
    <w:rsid w:val="005B157B"/>
    <w:rsid w:val="005B1627"/>
    <w:rsid w:val="005B25A9"/>
    <w:rsid w:val="005B2BF5"/>
    <w:rsid w:val="005B30FB"/>
    <w:rsid w:val="005B4B92"/>
    <w:rsid w:val="005B68FF"/>
    <w:rsid w:val="005C1398"/>
    <w:rsid w:val="005C4661"/>
    <w:rsid w:val="005C6EA6"/>
    <w:rsid w:val="005C79C3"/>
    <w:rsid w:val="005D168F"/>
    <w:rsid w:val="005D2D20"/>
    <w:rsid w:val="005D5B58"/>
    <w:rsid w:val="005D6A09"/>
    <w:rsid w:val="005E2B82"/>
    <w:rsid w:val="005F0973"/>
    <w:rsid w:val="005F1EED"/>
    <w:rsid w:val="005F5470"/>
    <w:rsid w:val="005F772F"/>
    <w:rsid w:val="005F7B5E"/>
    <w:rsid w:val="005F7C34"/>
    <w:rsid w:val="0060038D"/>
    <w:rsid w:val="00601412"/>
    <w:rsid w:val="00605CBB"/>
    <w:rsid w:val="00606158"/>
    <w:rsid w:val="006069C6"/>
    <w:rsid w:val="006116F7"/>
    <w:rsid w:val="00611911"/>
    <w:rsid w:val="006128FB"/>
    <w:rsid w:val="0061330D"/>
    <w:rsid w:val="00613386"/>
    <w:rsid w:val="00613A00"/>
    <w:rsid w:val="00616A9D"/>
    <w:rsid w:val="00621595"/>
    <w:rsid w:val="00621F33"/>
    <w:rsid w:val="006246D2"/>
    <w:rsid w:val="00625401"/>
    <w:rsid w:val="006256C2"/>
    <w:rsid w:val="006265E8"/>
    <w:rsid w:val="00626BDD"/>
    <w:rsid w:val="006276E6"/>
    <w:rsid w:val="006321BD"/>
    <w:rsid w:val="00634414"/>
    <w:rsid w:val="006349FD"/>
    <w:rsid w:val="00634D11"/>
    <w:rsid w:val="0063610D"/>
    <w:rsid w:val="006367D1"/>
    <w:rsid w:val="00637537"/>
    <w:rsid w:val="0064221E"/>
    <w:rsid w:val="006424E8"/>
    <w:rsid w:val="00642753"/>
    <w:rsid w:val="00643891"/>
    <w:rsid w:val="00645272"/>
    <w:rsid w:val="0064555B"/>
    <w:rsid w:val="0064787E"/>
    <w:rsid w:val="006524BA"/>
    <w:rsid w:val="00653852"/>
    <w:rsid w:val="00654F9F"/>
    <w:rsid w:val="0065617F"/>
    <w:rsid w:val="00657D6C"/>
    <w:rsid w:val="0066297C"/>
    <w:rsid w:val="00662DCF"/>
    <w:rsid w:val="00663769"/>
    <w:rsid w:val="00663E3A"/>
    <w:rsid w:val="00664013"/>
    <w:rsid w:val="00672DBF"/>
    <w:rsid w:val="00673A3E"/>
    <w:rsid w:val="00674B41"/>
    <w:rsid w:val="0067546D"/>
    <w:rsid w:val="00676CC4"/>
    <w:rsid w:val="0068048A"/>
    <w:rsid w:val="00680A3D"/>
    <w:rsid w:val="00680D76"/>
    <w:rsid w:val="00680ED1"/>
    <w:rsid w:val="006820E1"/>
    <w:rsid w:val="0068784B"/>
    <w:rsid w:val="006912F5"/>
    <w:rsid w:val="00692464"/>
    <w:rsid w:val="00692CB3"/>
    <w:rsid w:val="006944A4"/>
    <w:rsid w:val="006954B3"/>
    <w:rsid w:val="006965E3"/>
    <w:rsid w:val="00696D9E"/>
    <w:rsid w:val="0069753E"/>
    <w:rsid w:val="006978E5"/>
    <w:rsid w:val="006979B3"/>
    <w:rsid w:val="00697BB9"/>
    <w:rsid w:val="006A0191"/>
    <w:rsid w:val="006A0194"/>
    <w:rsid w:val="006A1B92"/>
    <w:rsid w:val="006A7E26"/>
    <w:rsid w:val="006B0BB5"/>
    <w:rsid w:val="006B1015"/>
    <w:rsid w:val="006B204C"/>
    <w:rsid w:val="006B336B"/>
    <w:rsid w:val="006B4165"/>
    <w:rsid w:val="006B63EB"/>
    <w:rsid w:val="006C11CD"/>
    <w:rsid w:val="006C1681"/>
    <w:rsid w:val="006C1771"/>
    <w:rsid w:val="006C3A4A"/>
    <w:rsid w:val="006C41A3"/>
    <w:rsid w:val="006C5046"/>
    <w:rsid w:val="006D0518"/>
    <w:rsid w:val="006D129A"/>
    <w:rsid w:val="006D153E"/>
    <w:rsid w:val="006D1877"/>
    <w:rsid w:val="006D2BD0"/>
    <w:rsid w:val="006D38B2"/>
    <w:rsid w:val="006D6993"/>
    <w:rsid w:val="006E159F"/>
    <w:rsid w:val="006E27BC"/>
    <w:rsid w:val="006E3DCB"/>
    <w:rsid w:val="006E64C2"/>
    <w:rsid w:val="006F2BC8"/>
    <w:rsid w:val="006F3E59"/>
    <w:rsid w:val="006F54AD"/>
    <w:rsid w:val="006F5C91"/>
    <w:rsid w:val="006F69A2"/>
    <w:rsid w:val="006F7494"/>
    <w:rsid w:val="006F7D46"/>
    <w:rsid w:val="00703733"/>
    <w:rsid w:val="00705A19"/>
    <w:rsid w:val="007062F2"/>
    <w:rsid w:val="00706966"/>
    <w:rsid w:val="00711801"/>
    <w:rsid w:val="00712887"/>
    <w:rsid w:val="00716F99"/>
    <w:rsid w:val="007175CA"/>
    <w:rsid w:val="0072649F"/>
    <w:rsid w:val="0073096C"/>
    <w:rsid w:val="00731721"/>
    <w:rsid w:val="007321B3"/>
    <w:rsid w:val="00732962"/>
    <w:rsid w:val="00732D04"/>
    <w:rsid w:val="007365F5"/>
    <w:rsid w:val="0073667C"/>
    <w:rsid w:val="00736730"/>
    <w:rsid w:val="00737018"/>
    <w:rsid w:val="007437B9"/>
    <w:rsid w:val="00744AD7"/>
    <w:rsid w:val="00745871"/>
    <w:rsid w:val="007469D3"/>
    <w:rsid w:val="00752A1C"/>
    <w:rsid w:val="00755594"/>
    <w:rsid w:val="00756E76"/>
    <w:rsid w:val="00756EAB"/>
    <w:rsid w:val="007636A1"/>
    <w:rsid w:val="0076555E"/>
    <w:rsid w:val="00765639"/>
    <w:rsid w:val="00767FA6"/>
    <w:rsid w:val="00770459"/>
    <w:rsid w:val="00770A2A"/>
    <w:rsid w:val="00770DA3"/>
    <w:rsid w:val="007717A7"/>
    <w:rsid w:val="0077220F"/>
    <w:rsid w:val="00772F0D"/>
    <w:rsid w:val="00773FC7"/>
    <w:rsid w:val="00775154"/>
    <w:rsid w:val="007769E6"/>
    <w:rsid w:val="00780C1F"/>
    <w:rsid w:val="007815DC"/>
    <w:rsid w:val="00783195"/>
    <w:rsid w:val="00783EB1"/>
    <w:rsid w:val="00786A55"/>
    <w:rsid w:val="00790155"/>
    <w:rsid w:val="00791473"/>
    <w:rsid w:val="0079194F"/>
    <w:rsid w:val="00792669"/>
    <w:rsid w:val="00792ED8"/>
    <w:rsid w:val="00793A4A"/>
    <w:rsid w:val="00794071"/>
    <w:rsid w:val="00794846"/>
    <w:rsid w:val="007966F1"/>
    <w:rsid w:val="0079709F"/>
    <w:rsid w:val="007A09A8"/>
    <w:rsid w:val="007A0BA7"/>
    <w:rsid w:val="007A5B03"/>
    <w:rsid w:val="007B0E13"/>
    <w:rsid w:val="007B2505"/>
    <w:rsid w:val="007B6563"/>
    <w:rsid w:val="007C076E"/>
    <w:rsid w:val="007C1D27"/>
    <w:rsid w:val="007C28AC"/>
    <w:rsid w:val="007C2CE0"/>
    <w:rsid w:val="007C6D2B"/>
    <w:rsid w:val="007C7DD9"/>
    <w:rsid w:val="007D06CA"/>
    <w:rsid w:val="007D125D"/>
    <w:rsid w:val="007D29F8"/>
    <w:rsid w:val="007D339B"/>
    <w:rsid w:val="007D43AC"/>
    <w:rsid w:val="007D772B"/>
    <w:rsid w:val="007E09F1"/>
    <w:rsid w:val="007E0ABE"/>
    <w:rsid w:val="007E1668"/>
    <w:rsid w:val="007E1E2A"/>
    <w:rsid w:val="007E5233"/>
    <w:rsid w:val="007E574F"/>
    <w:rsid w:val="007F01EF"/>
    <w:rsid w:val="007F307A"/>
    <w:rsid w:val="007F5210"/>
    <w:rsid w:val="007F56EC"/>
    <w:rsid w:val="007F59C5"/>
    <w:rsid w:val="007F5D2B"/>
    <w:rsid w:val="007F7FE3"/>
    <w:rsid w:val="0080182E"/>
    <w:rsid w:val="00802082"/>
    <w:rsid w:val="00802346"/>
    <w:rsid w:val="00804C0C"/>
    <w:rsid w:val="00805DA7"/>
    <w:rsid w:val="00806779"/>
    <w:rsid w:val="00810875"/>
    <w:rsid w:val="00810D58"/>
    <w:rsid w:val="0081172A"/>
    <w:rsid w:val="00811A09"/>
    <w:rsid w:val="00813BDC"/>
    <w:rsid w:val="00814362"/>
    <w:rsid w:val="00814ECD"/>
    <w:rsid w:val="00816C60"/>
    <w:rsid w:val="008171B5"/>
    <w:rsid w:val="00821865"/>
    <w:rsid w:val="008223A3"/>
    <w:rsid w:val="00822BFB"/>
    <w:rsid w:val="00823D22"/>
    <w:rsid w:val="00825200"/>
    <w:rsid w:val="008252B3"/>
    <w:rsid w:val="0082782C"/>
    <w:rsid w:val="00827C5F"/>
    <w:rsid w:val="00831114"/>
    <w:rsid w:val="00832836"/>
    <w:rsid w:val="008344F9"/>
    <w:rsid w:val="00834A47"/>
    <w:rsid w:val="008406C8"/>
    <w:rsid w:val="008409E6"/>
    <w:rsid w:val="00841B04"/>
    <w:rsid w:val="00844FAF"/>
    <w:rsid w:val="00845CBB"/>
    <w:rsid w:val="00852660"/>
    <w:rsid w:val="008533AB"/>
    <w:rsid w:val="0085375F"/>
    <w:rsid w:val="00854545"/>
    <w:rsid w:val="00854D9C"/>
    <w:rsid w:val="00856E1F"/>
    <w:rsid w:val="00860281"/>
    <w:rsid w:val="00862158"/>
    <w:rsid w:val="00862ED7"/>
    <w:rsid w:val="0086344E"/>
    <w:rsid w:val="008646CC"/>
    <w:rsid w:val="008653A6"/>
    <w:rsid w:val="00867A63"/>
    <w:rsid w:val="00871F61"/>
    <w:rsid w:val="008749EE"/>
    <w:rsid w:val="00876D06"/>
    <w:rsid w:val="00884D66"/>
    <w:rsid w:val="00885E27"/>
    <w:rsid w:val="00885E69"/>
    <w:rsid w:val="00886A8C"/>
    <w:rsid w:val="0088707C"/>
    <w:rsid w:val="0089126B"/>
    <w:rsid w:val="00891958"/>
    <w:rsid w:val="00891BED"/>
    <w:rsid w:val="008927D6"/>
    <w:rsid w:val="0089301E"/>
    <w:rsid w:val="00893556"/>
    <w:rsid w:val="00893EFD"/>
    <w:rsid w:val="0089507C"/>
    <w:rsid w:val="00897932"/>
    <w:rsid w:val="00897B14"/>
    <w:rsid w:val="008A1A60"/>
    <w:rsid w:val="008A2B49"/>
    <w:rsid w:val="008A7985"/>
    <w:rsid w:val="008B0EE1"/>
    <w:rsid w:val="008B25F8"/>
    <w:rsid w:val="008C17D7"/>
    <w:rsid w:val="008C4B13"/>
    <w:rsid w:val="008C5C56"/>
    <w:rsid w:val="008C66AC"/>
    <w:rsid w:val="008C7448"/>
    <w:rsid w:val="008D0520"/>
    <w:rsid w:val="008D1B10"/>
    <w:rsid w:val="008D39DE"/>
    <w:rsid w:val="008D662D"/>
    <w:rsid w:val="008E1959"/>
    <w:rsid w:val="008E3DF5"/>
    <w:rsid w:val="008E406D"/>
    <w:rsid w:val="008E5F64"/>
    <w:rsid w:val="008E6B14"/>
    <w:rsid w:val="008F148E"/>
    <w:rsid w:val="008F2143"/>
    <w:rsid w:val="008F3105"/>
    <w:rsid w:val="008F3A72"/>
    <w:rsid w:val="008F3B3C"/>
    <w:rsid w:val="008F69F4"/>
    <w:rsid w:val="008F734A"/>
    <w:rsid w:val="00902839"/>
    <w:rsid w:val="00904FFD"/>
    <w:rsid w:val="00906CE4"/>
    <w:rsid w:val="0091322C"/>
    <w:rsid w:val="009142AE"/>
    <w:rsid w:val="00915AA3"/>
    <w:rsid w:val="0091638B"/>
    <w:rsid w:val="00916A3F"/>
    <w:rsid w:val="00916DB8"/>
    <w:rsid w:val="00920FEC"/>
    <w:rsid w:val="00921A43"/>
    <w:rsid w:val="0092278F"/>
    <w:rsid w:val="009233C1"/>
    <w:rsid w:val="00923C1E"/>
    <w:rsid w:val="009277BF"/>
    <w:rsid w:val="0093275C"/>
    <w:rsid w:val="009359D6"/>
    <w:rsid w:val="00940EF8"/>
    <w:rsid w:val="009416D5"/>
    <w:rsid w:val="00942584"/>
    <w:rsid w:val="00943296"/>
    <w:rsid w:val="00943BE2"/>
    <w:rsid w:val="009445A9"/>
    <w:rsid w:val="00945415"/>
    <w:rsid w:val="009455F8"/>
    <w:rsid w:val="0094572A"/>
    <w:rsid w:val="00945833"/>
    <w:rsid w:val="00951105"/>
    <w:rsid w:val="00951E36"/>
    <w:rsid w:val="009524E8"/>
    <w:rsid w:val="009530F2"/>
    <w:rsid w:val="00956A7E"/>
    <w:rsid w:val="00960987"/>
    <w:rsid w:val="00961270"/>
    <w:rsid w:val="00961716"/>
    <w:rsid w:val="00962935"/>
    <w:rsid w:val="00965086"/>
    <w:rsid w:val="00971731"/>
    <w:rsid w:val="00972004"/>
    <w:rsid w:val="009729A5"/>
    <w:rsid w:val="009760C0"/>
    <w:rsid w:val="00976151"/>
    <w:rsid w:val="00976BEF"/>
    <w:rsid w:val="00987C3B"/>
    <w:rsid w:val="00987D9F"/>
    <w:rsid w:val="009929CA"/>
    <w:rsid w:val="00993E13"/>
    <w:rsid w:val="0099666A"/>
    <w:rsid w:val="009A1516"/>
    <w:rsid w:val="009A5FC7"/>
    <w:rsid w:val="009A720C"/>
    <w:rsid w:val="009B5DB9"/>
    <w:rsid w:val="009B73BE"/>
    <w:rsid w:val="009C1C8C"/>
    <w:rsid w:val="009C1F22"/>
    <w:rsid w:val="009C2B5B"/>
    <w:rsid w:val="009C4F91"/>
    <w:rsid w:val="009D2067"/>
    <w:rsid w:val="009D2567"/>
    <w:rsid w:val="009D3A01"/>
    <w:rsid w:val="009D4A63"/>
    <w:rsid w:val="009D4CE0"/>
    <w:rsid w:val="009D74E9"/>
    <w:rsid w:val="009D7941"/>
    <w:rsid w:val="009D79C6"/>
    <w:rsid w:val="009E088A"/>
    <w:rsid w:val="009E138A"/>
    <w:rsid w:val="009E3914"/>
    <w:rsid w:val="009E4D22"/>
    <w:rsid w:val="009E5EEC"/>
    <w:rsid w:val="009E5FDB"/>
    <w:rsid w:val="009F0A4D"/>
    <w:rsid w:val="009F1C5C"/>
    <w:rsid w:val="009F24A5"/>
    <w:rsid w:val="00A014D4"/>
    <w:rsid w:val="00A028E2"/>
    <w:rsid w:val="00A02ECB"/>
    <w:rsid w:val="00A03535"/>
    <w:rsid w:val="00A0556D"/>
    <w:rsid w:val="00A060A1"/>
    <w:rsid w:val="00A06868"/>
    <w:rsid w:val="00A06CE7"/>
    <w:rsid w:val="00A073C6"/>
    <w:rsid w:val="00A07A24"/>
    <w:rsid w:val="00A10CE6"/>
    <w:rsid w:val="00A11630"/>
    <w:rsid w:val="00A14005"/>
    <w:rsid w:val="00A16715"/>
    <w:rsid w:val="00A16D7B"/>
    <w:rsid w:val="00A1742E"/>
    <w:rsid w:val="00A175DE"/>
    <w:rsid w:val="00A176CF"/>
    <w:rsid w:val="00A22E8D"/>
    <w:rsid w:val="00A230DA"/>
    <w:rsid w:val="00A25E6F"/>
    <w:rsid w:val="00A26CBF"/>
    <w:rsid w:val="00A31065"/>
    <w:rsid w:val="00A31C4E"/>
    <w:rsid w:val="00A32529"/>
    <w:rsid w:val="00A335B9"/>
    <w:rsid w:val="00A3431B"/>
    <w:rsid w:val="00A408A3"/>
    <w:rsid w:val="00A4370D"/>
    <w:rsid w:val="00A462C3"/>
    <w:rsid w:val="00A476F2"/>
    <w:rsid w:val="00A507A4"/>
    <w:rsid w:val="00A5353D"/>
    <w:rsid w:val="00A53945"/>
    <w:rsid w:val="00A55E1A"/>
    <w:rsid w:val="00A56A94"/>
    <w:rsid w:val="00A62D12"/>
    <w:rsid w:val="00A65F5A"/>
    <w:rsid w:val="00A665D0"/>
    <w:rsid w:val="00A67B9C"/>
    <w:rsid w:val="00A72078"/>
    <w:rsid w:val="00A72215"/>
    <w:rsid w:val="00A730F0"/>
    <w:rsid w:val="00A73F4C"/>
    <w:rsid w:val="00A75269"/>
    <w:rsid w:val="00A7719A"/>
    <w:rsid w:val="00A80287"/>
    <w:rsid w:val="00A83385"/>
    <w:rsid w:val="00A866EB"/>
    <w:rsid w:val="00A90675"/>
    <w:rsid w:val="00A909B3"/>
    <w:rsid w:val="00A90FCB"/>
    <w:rsid w:val="00A9239C"/>
    <w:rsid w:val="00A9397C"/>
    <w:rsid w:val="00A94AD7"/>
    <w:rsid w:val="00A96815"/>
    <w:rsid w:val="00A97BD8"/>
    <w:rsid w:val="00AA17E2"/>
    <w:rsid w:val="00AA2EA6"/>
    <w:rsid w:val="00AA2EC9"/>
    <w:rsid w:val="00AA3D1B"/>
    <w:rsid w:val="00AA455B"/>
    <w:rsid w:val="00AA4C14"/>
    <w:rsid w:val="00AA6881"/>
    <w:rsid w:val="00AB0B04"/>
    <w:rsid w:val="00AC1D2F"/>
    <w:rsid w:val="00AC2F9C"/>
    <w:rsid w:val="00AC30B2"/>
    <w:rsid w:val="00AC3531"/>
    <w:rsid w:val="00AC3597"/>
    <w:rsid w:val="00AC4067"/>
    <w:rsid w:val="00AC66D0"/>
    <w:rsid w:val="00AC716B"/>
    <w:rsid w:val="00AD21FC"/>
    <w:rsid w:val="00AD2588"/>
    <w:rsid w:val="00AD264D"/>
    <w:rsid w:val="00AD3AD7"/>
    <w:rsid w:val="00AD4678"/>
    <w:rsid w:val="00AD5625"/>
    <w:rsid w:val="00AD5E91"/>
    <w:rsid w:val="00AD71FC"/>
    <w:rsid w:val="00AE0577"/>
    <w:rsid w:val="00AE11B3"/>
    <w:rsid w:val="00AE45ED"/>
    <w:rsid w:val="00AE4DB7"/>
    <w:rsid w:val="00AE5423"/>
    <w:rsid w:val="00AE56B5"/>
    <w:rsid w:val="00AE5CC8"/>
    <w:rsid w:val="00AE6363"/>
    <w:rsid w:val="00AF00D6"/>
    <w:rsid w:val="00AF1682"/>
    <w:rsid w:val="00AF5C6F"/>
    <w:rsid w:val="00AF6899"/>
    <w:rsid w:val="00AF6CC6"/>
    <w:rsid w:val="00AF7CB3"/>
    <w:rsid w:val="00B04818"/>
    <w:rsid w:val="00B11364"/>
    <w:rsid w:val="00B126AE"/>
    <w:rsid w:val="00B15420"/>
    <w:rsid w:val="00B15AC8"/>
    <w:rsid w:val="00B15E24"/>
    <w:rsid w:val="00B17B02"/>
    <w:rsid w:val="00B17D77"/>
    <w:rsid w:val="00B20F04"/>
    <w:rsid w:val="00B249BA"/>
    <w:rsid w:val="00B2751D"/>
    <w:rsid w:val="00B30094"/>
    <w:rsid w:val="00B3061B"/>
    <w:rsid w:val="00B31D45"/>
    <w:rsid w:val="00B32AA4"/>
    <w:rsid w:val="00B3356A"/>
    <w:rsid w:val="00B3485B"/>
    <w:rsid w:val="00B36320"/>
    <w:rsid w:val="00B36D4E"/>
    <w:rsid w:val="00B37074"/>
    <w:rsid w:val="00B41F32"/>
    <w:rsid w:val="00B43E2E"/>
    <w:rsid w:val="00B45270"/>
    <w:rsid w:val="00B4555E"/>
    <w:rsid w:val="00B45FC0"/>
    <w:rsid w:val="00B47E95"/>
    <w:rsid w:val="00B51135"/>
    <w:rsid w:val="00B51D6F"/>
    <w:rsid w:val="00B5350B"/>
    <w:rsid w:val="00B5356A"/>
    <w:rsid w:val="00B53730"/>
    <w:rsid w:val="00B53ABC"/>
    <w:rsid w:val="00B54AF2"/>
    <w:rsid w:val="00B61340"/>
    <w:rsid w:val="00B61F30"/>
    <w:rsid w:val="00B66095"/>
    <w:rsid w:val="00B66C81"/>
    <w:rsid w:val="00B700A4"/>
    <w:rsid w:val="00B70806"/>
    <w:rsid w:val="00B70F57"/>
    <w:rsid w:val="00B71D06"/>
    <w:rsid w:val="00B74327"/>
    <w:rsid w:val="00B75262"/>
    <w:rsid w:val="00B81614"/>
    <w:rsid w:val="00B81EB5"/>
    <w:rsid w:val="00B84C4F"/>
    <w:rsid w:val="00B85AD4"/>
    <w:rsid w:val="00B862B9"/>
    <w:rsid w:val="00B86990"/>
    <w:rsid w:val="00B87098"/>
    <w:rsid w:val="00B87478"/>
    <w:rsid w:val="00B875CE"/>
    <w:rsid w:val="00B90667"/>
    <w:rsid w:val="00B919EE"/>
    <w:rsid w:val="00B92C8A"/>
    <w:rsid w:val="00B9318B"/>
    <w:rsid w:val="00B931A3"/>
    <w:rsid w:val="00B93702"/>
    <w:rsid w:val="00B95857"/>
    <w:rsid w:val="00BA03E2"/>
    <w:rsid w:val="00BA2057"/>
    <w:rsid w:val="00BA31F6"/>
    <w:rsid w:val="00BA3240"/>
    <w:rsid w:val="00BA495C"/>
    <w:rsid w:val="00BA65CF"/>
    <w:rsid w:val="00BB149B"/>
    <w:rsid w:val="00BB3072"/>
    <w:rsid w:val="00BB4C6B"/>
    <w:rsid w:val="00BC1519"/>
    <w:rsid w:val="00BC4A5A"/>
    <w:rsid w:val="00BD36F0"/>
    <w:rsid w:val="00BD4139"/>
    <w:rsid w:val="00BD41EF"/>
    <w:rsid w:val="00BD5C89"/>
    <w:rsid w:val="00BD78D2"/>
    <w:rsid w:val="00BD7EE2"/>
    <w:rsid w:val="00BE3B68"/>
    <w:rsid w:val="00BE4D8D"/>
    <w:rsid w:val="00BE4E38"/>
    <w:rsid w:val="00BE62E4"/>
    <w:rsid w:val="00BE6BB0"/>
    <w:rsid w:val="00BF1904"/>
    <w:rsid w:val="00BF32A8"/>
    <w:rsid w:val="00BF5648"/>
    <w:rsid w:val="00BF6313"/>
    <w:rsid w:val="00C00C0B"/>
    <w:rsid w:val="00C023DE"/>
    <w:rsid w:val="00C07666"/>
    <w:rsid w:val="00C1058D"/>
    <w:rsid w:val="00C1140C"/>
    <w:rsid w:val="00C11492"/>
    <w:rsid w:val="00C11BC8"/>
    <w:rsid w:val="00C12878"/>
    <w:rsid w:val="00C13490"/>
    <w:rsid w:val="00C14123"/>
    <w:rsid w:val="00C14EB0"/>
    <w:rsid w:val="00C15621"/>
    <w:rsid w:val="00C1639B"/>
    <w:rsid w:val="00C21562"/>
    <w:rsid w:val="00C2580A"/>
    <w:rsid w:val="00C2755C"/>
    <w:rsid w:val="00C30CD1"/>
    <w:rsid w:val="00C3269F"/>
    <w:rsid w:val="00C37205"/>
    <w:rsid w:val="00C3789F"/>
    <w:rsid w:val="00C4000B"/>
    <w:rsid w:val="00C40E75"/>
    <w:rsid w:val="00C432B4"/>
    <w:rsid w:val="00C43C0B"/>
    <w:rsid w:val="00C43D74"/>
    <w:rsid w:val="00C44598"/>
    <w:rsid w:val="00C503D3"/>
    <w:rsid w:val="00C52887"/>
    <w:rsid w:val="00C548C3"/>
    <w:rsid w:val="00C579DA"/>
    <w:rsid w:val="00C60577"/>
    <w:rsid w:val="00C619F5"/>
    <w:rsid w:val="00C64073"/>
    <w:rsid w:val="00C73600"/>
    <w:rsid w:val="00C7448E"/>
    <w:rsid w:val="00C74CBD"/>
    <w:rsid w:val="00C77A24"/>
    <w:rsid w:val="00C801D7"/>
    <w:rsid w:val="00C8133A"/>
    <w:rsid w:val="00C81463"/>
    <w:rsid w:val="00C81CB1"/>
    <w:rsid w:val="00C838E1"/>
    <w:rsid w:val="00C8470B"/>
    <w:rsid w:val="00C85801"/>
    <w:rsid w:val="00C938FD"/>
    <w:rsid w:val="00C957C0"/>
    <w:rsid w:val="00C9668D"/>
    <w:rsid w:val="00C97E4E"/>
    <w:rsid w:val="00CA0DFF"/>
    <w:rsid w:val="00CA29C6"/>
    <w:rsid w:val="00CA4405"/>
    <w:rsid w:val="00CA5FEA"/>
    <w:rsid w:val="00CA6D3A"/>
    <w:rsid w:val="00CA7B0B"/>
    <w:rsid w:val="00CB12F4"/>
    <w:rsid w:val="00CB16FA"/>
    <w:rsid w:val="00CB22B9"/>
    <w:rsid w:val="00CB3731"/>
    <w:rsid w:val="00CB3EAB"/>
    <w:rsid w:val="00CB5F88"/>
    <w:rsid w:val="00CB7F88"/>
    <w:rsid w:val="00CC007A"/>
    <w:rsid w:val="00CC2CEF"/>
    <w:rsid w:val="00CC3AB9"/>
    <w:rsid w:val="00CC3BC5"/>
    <w:rsid w:val="00CC3CB5"/>
    <w:rsid w:val="00CC58E2"/>
    <w:rsid w:val="00CC70CF"/>
    <w:rsid w:val="00CC72F4"/>
    <w:rsid w:val="00CC7F92"/>
    <w:rsid w:val="00CD0630"/>
    <w:rsid w:val="00CD11DC"/>
    <w:rsid w:val="00CD128E"/>
    <w:rsid w:val="00CD1D6B"/>
    <w:rsid w:val="00CD1E1E"/>
    <w:rsid w:val="00CD6E30"/>
    <w:rsid w:val="00CD74A1"/>
    <w:rsid w:val="00CE17B0"/>
    <w:rsid w:val="00CE1A83"/>
    <w:rsid w:val="00CE1B0A"/>
    <w:rsid w:val="00CE2606"/>
    <w:rsid w:val="00CE6D57"/>
    <w:rsid w:val="00CE7B41"/>
    <w:rsid w:val="00CF10B1"/>
    <w:rsid w:val="00CF1AF9"/>
    <w:rsid w:val="00CF43A5"/>
    <w:rsid w:val="00CF63F0"/>
    <w:rsid w:val="00CF68E6"/>
    <w:rsid w:val="00CF7A10"/>
    <w:rsid w:val="00D016E1"/>
    <w:rsid w:val="00D01BBA"/>
    <w:rsid w:val="00D04335"/>
    <w:rsid w:val="00D04849"/>
    <w:rsid w:val="00D05DAF"/>
    <w:rsid w:val="00D06AF0"/>
    <w:rsid w:val="00D11272"/>
    <w:rsid w:val="00D12546"/>
    <w:rsid w:val="00D1280C"/>
    <w:rsid w:val="00D12D79"/>
    <w:rsid w:val="00D14193"/>
    <w:rsid w:val="00D15A8A"/>
    <w:rsid w:val="00D174E0"/>
    <w:rsid w:val="00D17587"/>
    <w:rsid w:val="00D201F7"/>
    <w:rsid w:val="00D225D0"/>
    <w:rsid w:val="00D24DE3"/>
    <w:rsid w:val="00D2524E"/>
    <w:rsid w:val="00D31126"/>
    <w:rsid w:val="00D36A98"/>
    <w:rsid w:val="00D36B4A"/>
    <w:rsid w:val="00D4064A"/>
    <w:rsid w:val="00D46B56"/>
    <w:rsid w:val="00D50123"/>
    <w:rsid w:val="00D5358F"/>
    <w:rsid w:val="00D53A50"/>
    <w:rsid w:val="00D53F42"/>
    <w:rsid w:val="00D54C8C"/>
    <w:rsid w:val="00D554C8"/>
    <w:rsid w:val="00D618B9"/>
    <w:rsid w:val="00D639F1"/>
    <w:rsid w:val="00D642E4"/>
    <w:rsid w:val="00D644B7"/>
    <w:rsid w:val="00D64D62"/>
    <w:rsid w:val="00D664DC"/>
    <w:rsid w:val="00D70700"/>
    <w:rsid w:val="00D715C6"/>
    <w:rsid w:val="00D7326C"/>
    <w:rsid w:val="00D73521"/>
    <w:rsid w:val="00D74C56"/>
    <w:rsid w:val="00D76791"/>
    <w:rsid w:val="00D77B51"/>
    <w:rsid w:val="00D77FD7"/>
    <w:rsid w:val="00D81479"/>
    <w:rsid w:val="00D8155A"/>
    <w:rsid w:val="00D81756"/>
    <w:rsid w:val="00D84864"/>
    <w:rsid w:val="00D863E7"/>
    <w:rsid w:val="00D90656"/>
    <w:rsid w:val="00D909FA"/>
    <w:rsid w:val="00D90E15"/>
    <w:rsid w:val="00D92D5D"/>
    <w:rsid w:val="00D94BA9"/>
    <w:rsid w:val="00D95934"/>
    <w:rsid w:val="00D96291"/>
    <w:rsid w:val="00D97039"/>
    <w:rsid w:val="00DA1069"/>
    <w:rsid w:val="00DA1604"/>
    <w:rsid w:val="00DA4DBD"/>
    <w:rsid w:val="00DA5E18"/>
    <w:rsid w:val="00DB0225"/>
    <w:rsid w:val="00DB30C6"/>
    <w:rsid w:val="00DB4908"/>
    <w:rsid w:val="00DB4E04"/>
    <w:rsid w:val="00DB5204"/>
    <w:rsid w:val="00DB530A"/>
    <w:rsid w:val="00DC0E42"/>
    <w:rsid w:val="00DC2287"/>
    <w:rsid w:val="00DC289C"/>
    <w:rsid w:val="00DC2D8F"/>
    <w:rsid w:val="00DC3004"/>
    <w:rsid w:val="00DC3DA4"/>
    <w:rsid w:val="00DC4150"/>
    <w:rsid w:val="00DC6E6B"/>
    <w:rsid w:val="00DD1F36"/>
    <w:rsid w:val="00DD2937"/>
    <w:rsid w:val="00DD695A"/>
    <w:rsid w:val="00DD6A2F"/>
    <w:rsid w:val="00DE17CE"/>
    <w:rsid w:val="00DE4DB6"/>
    <w:rsid w:val="00DF129E"/>
    <w:rsid w:val="00DF19C0"/>
    <w:rsid w:val="00DF2D27"/>
    <w:rsid w:val="00E01F35"/>
    <w:rsid w:val="00E02547"/>
    <w:rsid w:val="00E028B0"/>
    <w:rsid w:val="00E04BBF"/>
    <w:rsid w:val="00E10694"/>
    <w:rsid w:val="00E10853"/>
    <w:rsid w:val="00E14507"/>
    <w:rsid w:val="00E15540"/>
    <w:rsid w:val="00E155D2"/>
    <w:rsid w:val="00E21A8F"/>
    <w:rsid w:val="00E21B7A"/>
    <w:rsid w:val="00E23FE3"/>
    <w:rsid w:val="00E24031"/>
    <w:rsid w:val="00E25DA2"/>
    <w:rsid w:val="00E26079"/>
    <w:rsid w:val="00E26445"/>
    <w:rsid w:val="00E30756"/>
    <w:rsid w:val="00E322DC"/>
    <w:rsid w:val="00E344B9"/>
    <w:rsid w:val="00E34D5B"/>
    <w:rsid w:val="00E35947"/>
    <w:rsid w:val="00E40180"/>
    <w:rsid w:val="00E44E71"/>
    <w:rsid w:val="00E46B3A"/>
    <w:rsid w:val="00E47CE5"/>
    <w:rsid w:val="00E5057C"/>
    <w:rsid w:val="00E53061"/>
    <w:rsid w:val="00E53DF7"/>
    <w:rsid w:val="00E561D7"/>
    <w:rsid w:val="00E56791"/>
    <w:rsid w:val="00E6028D"/>
    <w:rsid w:val="00E61CF9"/>
    <w:rsid w:val="00E621F0"/>
    <w:rsid w:val="00E632AE"/>
    <w:rsid w:val="00E63B50"/>
    <w:rsid w:val="00E6457E"/>
    <w:rsid w:val="00E670CD"/>
    <w:rsid w:val="00E67DC2"/>
    <w:rsid w:val="00E705B6"/>
    <w:rsid w:val="00E71059"/>
    <w:rsid w:val="00E7150B"/>
    <w:rsid w:val="00E7314F"/>
    <w:rsid w:val="00E767AF"/>
    <w:rsid w:val="00E77130"/>
    <w:rsid w:val="00E8052F"/>
    <w:rsid w:val="00E81E40"/>
    <w:rsid w:val="00E81FD8"/>
    <w:rsid w:val="00E8219C"/>
    <w:rsid w:val="00E8244A"/>
    <w:rsid w:val="00E82A60"/>
    <w:rsid w:val="00E84301"/>
    <w:rsid w:val="00E864AA"/>
    <w:rsid w:val="00E87381"/>
    <w:rsid w:val="00E87722"/>
    <w:rsid w:val="00E93F3C"/>
    <w:rsid w:val="00E96629"/>
    <w:rsid w:val="00E97630"/>
    <w:rsid w:val="00E97F3E"/>
    <w:rsid w:val="00EA0490"/>
    <w:rsid w:val="00EA0F21"/>
    <w:rsid w:val="00EA2573"/>
    <w:rsid w:val="00EA2C61"/>
    <w:rsid w:val="00EA2D8E"/>
    <w:rsid w:val="00EA2EDA"/>
    <w:rsid w:val="00EA3FFE"/>
    <w:rsid w:val="00EA538E"/>
    <w:rsid w:val="00EA653A"/>
    <w:rsid w:val="00EB2F6F"/>
    <w:rsid w:val="00EB3A37"/>
    <w:rsid w:val="00EB6196"/>
    <w:rsid w:val="00EB6464"/>
    <w:rsid w:val="00EC0AF9"/>
    <w:rsid w:val="00EC2A38"/>
    <w:rsid w:val="00EC6013"/>
    <w:rsid w:val="00EC6170"/>
    <w:rsid w:val="00EC6216"/>
    <w:rsid w:val="00ED0411"/>
    <w:rsid w:val="00ED0AF7"/>
    <w:rsid w:val="00ED59C0"/>
    <w:rsid w:val="00EE19A5"/>
    <w:rsid w:val="00EE7472"/>
    <w:rsid w:val="00EF0212"/>
    <w:rsid w:val="00EF13EE"/>
    <w:rsid w:val="00EF1771"/>
    <w:rsid w:val="00EF1B52"/>
    <w:rsid w:val="00EF6B80"/>
    <w:rsid w:val="00EF7677"/>
    <w:rsid w:val="00F006DB"/>
    <w:rsid w:val="00F00986"/>
    <w:rsid w:val="00F01222"/>
    <w:rsid w:val="00F01AB6"/>
    <w:rsid w:val="00F0317B"/>
    <w:rsid w:val="00F047CA"/>
    <w:rsid w:val="00F061AC"/>
    <w:rsid w:val="00F0626F"/>
    <w:rsid w:val="00F07EC0"/>
    <w:rsid w:val="00F13CDF"/>
    <w:rsid w:val="00F1411C"/>
    <w:rsid w:val="00F155FE"/>
    <w:rsid w:val="00F16996"/>
    <w:rsid w:val="00F229C3"/>
    <w:rsid w:val="00F23435"/>
    <w:rsid w:val="00F269E4"/>
    <w:rsid w:val="00F30E6F"/>
    <w:rsid w:val="00F3412C"/>
    <w:rsid w:val="00F34C4E"/>
    <w:rsid w:val="00F428BA"/>
    <w:rsid w:val="00F51089"/>
    <w:rsid w:val="00F54799"/>
    <w:rsid w:val="00F55635"/>
    <w:rsid w:val="00F55D27"/>
    <w:rsid w:val="00F60FB4"/>
    <w:rsid w:val="00F61683"/>
    <w:rsid w:val="00F61D21"/>
    <w:rsid w:val="00F625F2"/>
    <w:rsid w:val="00F62F34"/>
    <w:rsid w:val="00F6506F"/>
    <w:rsid w:val="00F6614B"/>
    <w:rsid w:val="00F67186"/>
    <w:rsid w:val="00F708C5"/>
    <w:rsid w:val="00F70AC4"/>
    <w:rsid w:val="00F718EA"/>
    <w:rsid w:val="00F731FB"/>
    <w:rsid w:val="00F802D1"/>
    <w:rsid w:val="00F8244F"/>
    <w:rsid w:val="00F86151"/>
    <w:rsid w:val="00F8680A"/>
    <w:rsid w:val="00F8777D"/>
    <w:rsid w:val="00F87D4E"/>
    <w:rsid w:val="00F91F8C"/>
    <w:rsid w:val="00F93834"/>
    <w:rsid w:val="00F94F45"/>
    <w:rsid w:val="00F9517A"/>
    <w:rsid w:val="00F9596C"/>
    <w:rsid w:val="00F973A8"/>
    <w:rsid w:val="00FA2748"/>
    <w:rsid w:val="00FA38C4"/>
    <w:rsid w:val="00FA45E0"/>
    <w:rsid w:val="00FA622F"/>
    <w:rsid w:val="00FA789A"/>
    <w:rsid w:val="00FB041E"/>
    <w:rsid w:val="00FB2D71"/>
    <w:rsid w:val="00FB345C"/>
    <w:rsid w:val="00FB376D"/>
    <w:rsid w:val="00FB4194"/>
    <w:rsid w:val="00FB7342"/>
    <w:rsid w:val="00FC0FC3"/>
    <w:rsid w:val="00FC0FE4"/>
    <w:rsid w:val="00FC10FC"/>
    <w:rsid w:val="00FC3B77"/>
    <w:rsid w:val="00FC51D7"/>
    <w:rsid w:val="00FC5260"/>
    <w:rsid w:val="00FC5C31"/>
    <w:rsid w:val="00FD0B46"/>
    <w:rsid w:val="00FD31AB"/>
    <w:rsid w:val="00FD6C44"/>
    <w:rsid w:val="00FD6EEF"/>
    <w:rsid w:val="00FD7E04"/>
    <w:rsid w:val="00FE5D3F"/>
    <w:rsid w:val="00FF0457"/>
    <w:rsid w:val="00FF0A34"/>
    <w:rsid w:val="00FF1431"/>
    <w:rsid w:val="00FF1B31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B1D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7D"/>
    <w:pPr>
      <w:keepNext/>
      <w:spacing w:after="24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8777D"/>
    <w:pPr>
      <w:spacing w:before="120" w:after="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777D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7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18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6D05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40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1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1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1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4301"/>
    <w:pPr>
      <w:keepNext w:val="0"/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Default">
    <w:name w:val="Default"/>
    <w:rsid w:val="00624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172A"/>
    <w:rPr>
      <w:color w:val="808080"/>
    </w:rPr>
  </w:style>
  <w:style w:type="table" w:styleId="LightShading">
    <w:name w:val="Light Shading"/>
    <w:basedOn w:val="TableNormal"/>
    <w:uiPriority w:val="60"/>
    <w:semiHidden/>
    <w:unhideWhenUsed/>
    <w:rsid w:val="00CD128E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D128E"/>
    <w:pPr>
      <w:keepNext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F54A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D3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B5F88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B5F88"/>
  </w:style>
  <w:style w:type="table" w:styleId="TableGrid">
    <w:name w:val="Table Grid"/>
    <w:basedOn w:val="TableNormal"/>
    <w:uiPriority w:val="39"/>
    <w:rsid w:val="00C5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6878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6424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goldcopd.org/gold-2017-global-strategy-diagnosis-management-prevention-copd/%5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E965AB05394A014288E70B2A2C8CD7C2" ma:contentTypeVersion="0" ma:contentTypeDescription="Create a new document." ma:contentTypeScope="" ma:versionID="ca85c2a9387fd9a607609185fc94b1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04B9-A106-458A-A55D-9D9E9ABD0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F7576-2F71-4A24-AB2A-5AD0EEA06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FBD15-FCEC-4FD3-B781-AD220FE35A09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3F026E-68DA-416B-96B6-18463FC6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2017-04-18T08:46:00Z</dcterms:created>
  <dcterms:modified xsi:type="dcterms:W3CDTF">2017-05-24T14:42:00Z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0x010100FA0963FA69A646AA916D2E41284FC10000E965AB05394A014288E70B2A2C8CD7C2</vt:lpwstr>
  </property>
</Properties>
</file>