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8D" w:rsidRPr="00794F14" w:rsidRDefault="00EE44E4" w:rsidP="007F5E8D">
      <w:pPr>
        <w:spacing w:line="480" w:lineRule="auto"/>
        <w:jc w:val="both"/>
        <w:rPr>
          <w:b/>
          <w:color w:val="000000" w:themeColor="text1"/>
          <w:sz w:val="20"/>
          <w:szCs w:val="20"/>
        </w:rPr>
      </w:pPr>
      <w:r>
        <w:rPr>
          <w:b/>
          <w:color w:val="000000" w:themeColor="text1"/>
          <w:sz w:val="20"/>
          <w:szCs w:val="20"/>
        </w:rPr>
        <w:t>Additional file 1</w:t>
      </w:r>
      <w:r w:rsidR="00CB751B">
        <w:rPr>
          <w:b/>
          <w:color w:val="000000" w:themeColor="text1"/>
          <w:sz w:val="20"/>
          <w:szCs w:val="20"/>
        </w:rPr>
        <w:t>0</w:t>
      </w:r>
      <w:r w:rsidR="00A420A2">
        <w:rPr>
          <w:b/>
          <w:color w:val="000000" w:themeColor="text1"/>
          <w:sz w:val="20"/>
          <w:szCs w:val="20"/>
        </w:rPr>
        <w:t>:</w:t>
      </w:r>
      <w:r w:rsidR="007F5E8D" w:rsidRPr="00794F14">
        <w:rPr>
          <w:b/>
          <w:color w:val="000000" w:themeColor="text1"/>
          <w:sz w:val="20"/>
          <w:szCs w:val="20"/>
        </w:rPr>
        <w:t xml:space="preserve"> Discussion of potential biases.</w:t>
      </w:r>
    </w:p>
    <w:p w:rsidR="007F5E8D" w:rsidRPr="00794F14" w:rsidRDefault="007F5E8D" w:rsidP="007F5E8D">
      <w:pPr>
        <w:spacing w:line="480" w:lineRule="auto"/>
        <w:jc w:val="both"/>
        <w:rPr>
          <w:b/>
          <w:color w:val="000000" w:themeColor="text1"/>
          <w:sz w:val="20"/>
          <w:szCs w:val="20"/>
        </w:rPr>
      </w:pPr>
    </w:p>
    <w:p w:rsidR="007F5E8D" w:rsidRPr="00794F14" w:rsidRDefault="007F5E8D" w:rsidP="007F5E8D">
      <w:pPr>
        <w:spacing w:line="480" w:lineRule="auto"/>
        <w:jc w:val="both"/>
        <w:rPr>
          <w:b/>
          <w:i/>
          <w:color w:val="000000" w:themeColor="text1"/>
          <w:sz w:val="20"/>
          <w:szCs w:val="20"/>
        </w:rPr>
      </w:pPr>
      <w:r w:rsidRPr="00794F14">
        <w:rPr>
          <w:b/>
          <w:i/>
          <w:color w:val="000000" w:themeColor="text1"/>
          <w:sz w:val="20"/>
          <w:szCs w:val="20"/>
        </w:rPr>
        <w:t>Bias due to varying methods of estimating gestational age:</w:t>
      </w:r>
    </w:p>
    <w:p w:rsidR="007F5E8D" w:rsidRPr="00794F14" w:rsidRDefault="007F5E8D" w:rsidP="007F5E8D">
      <w:pPr>
        <w:spacing w:line="480" w:lineRule="auto"/>
        <w:ind w:left="360"/>
        <w:jc w:val="both"/>
        <w:rPr>
          <w:color w:val="000000" w:themeColor="text1"/>
          <w:sz w:val="20"/>
          <w:szCs w:val="20"/>
        </w:rPr>
      </w:pPr>
      <w:r w:rsidRPr="00794F14">
        <w:rPr>
          <w:color w:val="000000" w:themeColor="text1"/>
          <w:sz w:val="20"/>
          <w:szCs w:val="20"/>
        </w:rPr>
        <w:t xml:space="preserve">Women with malaria were more likely to have had their gestational age estimated from </w:t>
      </w:r>
      <w:proofErr w:type="spellStart"/>
      <w:r w:rsidRPr="00794F14">
        <w:rPr>
          <w:color w:val="000000" w:themeColor="text1"/>
          <w:sz w:val="20"/>
          <w:szCs w:val="20"/>
        </w:rPr>
        <w:t>symphysis</w:t>
      </w:r>
      <w:proofErr w:type="spellEnd"/>
      <w:r w:rsidRPr="00794F14">
        <w:rPr>
          <w:color w:val="000000" w:themeColor="text1"/>
          <w:sz w:val="20"/>
          <w:szCs w:val="20"/>
        </w:rPr>
        <w:t xml:space="preserve"> </w:t>
      </w:r>
      <w:proofErr w:type="spellStart"/>
      <w:r w:rsidRPr="00794F14">
        <w:rPr>
          <w:color w:val="000000" w:themeColor="text1"/>
          <w:sz w:val="20"/>
          <w:szCs w:val="20"/>
        </w:rPr>
        <w:t>fundal</w:t>
      </w:r>
      <w:proofErr w:type="spellEnd"/>
      <w:r w:rsidRPr="00794F14">
        <w:rPr>
          <w:color w:val="000000" w:themeColor="text1"/>
          <w:sz w:val="20"/>
          <w:szCs w:val="20"/>
        </w:rPr>
        <w:t xml:space="preserve"> height measurements, which overestimates gestational age (especially in preterm newborns) compared to ultrasound biometry.</w:t>
      </w:r>
      <w:r w:rsidR="0064291F" w:rsidRPr="00794F14">
        <w:rPr>
          <w:color w:val="000000" w:themeColor="text1"/>
          <w:sz w:val="20"/>
          <w:szCs w:val="20"/>
        </w:rPr>
        <w:fldChar w:fldCharType="begin" w:fldLock="1"/>
      </w:r>
      <w:r w:rsidR="00794F14" w:rsidRPr="00794F14">
        <w:rPr>
          <w:color w:val="000000" w:themeColor="text1"/>
          <w:sz w:val="20"/>
          <w:szCs w:val="20"/>
        </w:rPr>
        <w:instrText>ADDIN CSL_CITATION { "citationItems" : [ { "id" : "ITEM-1", "itemData" : { "DOI" : "10.1371/journal.pone.0131025", "author" : [ { "dropping-particle" : "", "family" : "Moore", "given" : "Kerryn Anne", "non-dropping-particle" : "", "parse-names" : false, "suffix" : "" }, { "dropping-particle" : "", "family" : "Simpson", "given" : "Julie Anne", "non-dropping-particle" : "", "parse-names" : false, "suffix" : "" }, { "dropping-particle" : "", "family" : "Thomas", "given" : "Kyla H", "non-dropping-particle" : "", "parse-names" : false, "suffix" : "" }, { "dropping-particle" : "", "family" : "Rijken", "given" : "Marcus J", "non-dropping-particle" : "", "parse-names" : false, "suffix" : "" }, { "dropping-particle" : "", "family" : "White", "given" : "Lisa J", "non-dropping-particle" : "", "parse-names" : false, "suffix" : "" }, { "dropping-particle" : "", "family" : "Dwell", "given" : "Saw Lu Moo", "non-dropping-particle" : "", "parse-names" : false, "suffix" : "" }, { "dropping-particle" : "", "family" : "Paw", "given" : "Moo Kho", "non-dropping-particle" : "", "parse-names" : false, "suffix" : "" }, { "dropping-particle" : "", "family" : "Pukrittayakamee", "given" : "Sasithon", "non-dropping-particle" : "", "parse-names" : false, "suffix" : "" }, { "dropping-particle" : "", "family" : "Nosten", "given" : "Fran\u00e7ois", "non-dropping-particle" : "", "parse-names" : false, "suffix" : "" }, { "dropping-particle" : "", "family" : "Fowkes", "given" : "Freya J.I.", "non-dropping-particle" : "", "parse-names" : false, "suffix" : "" }, { "dropping-particle" : "", "family" : "McGready", "given" : "Rose", "non-dropping-particle" : "", "parse-names" : false, "suffix" : "" } ], "container-title" : "PLoS One", "id" : "ITEM-1", "issue" : "6", "issued" : { "date-parts" : [ [ "2015" ] ] }, "page" : "e0131025", "title" : "Estimating gestational age in late presenters to antenatal care in a resource-limited setting on the Thai-Myanmar border", "type" : "article-journal", "volume" : "10" }, "uris" : [ "http://www.mendeley.com/documents/?uuid=883217bd-5ebe-4a41-b34e-bec1df841377" ] } ], "mendeley" : { "formattedCitation" : "[1]", "plainTextFormattedCitation" : "[1]", "previouslyFormattedCitation" : "[17]" }, "properties" : { "noteIndex" : 0 }, "schema" : "https://github.com/citation-style-language/schema/raw/master/csl-citation.json" }</w:instrText>
      </w:r>
      <w:r w:rsidR="0064291F" w:rsidRPr="00794F14">
        <w:rPr>
          <w:color w:val="000000" w:themeColor="text1"/>
          <w:sz w:val="20"/>
          <w:szCs w:val="20"/>
        </w:rPr>
        <w:fldChar w:fldCharType="separate"/>
      </w:r>
      <w:r w:rsidR="00794F14" w:rsidRPr="00794F14">
        <w:rPr>
          <w:noProof/>
          <w:color w:val="000000" w:themeColor="text1"/>
          <w:sz w:val="20"/>
          <w:szCs w:val="20"/>
        </w:rPr>
        <w:t>[1]</w:t>
      </w:r>
      <w:r w:rsidR="0064291F" w:rsidRPr="00794F14">
        <w:rPr>
          <w:color w:val="000000" w:themeColor="text1"/>
          <w:sz w:val="20"/>
          <w:szCs w:val="20"/>
        </w:rPr>
        <w:fldChar w:fldCharType="end"/>
      </w:r>
      <w:r w:rsidRPr="00794F14">
        <w:rPr>
          <w:color w:val="000000" w:themeColor="text1"/>
          <w:sz w:val="20"/>
          <w:szCs w:val="20"/>
        </w:rPr>
        <w:t xml:space="preserve"> Additionally, the hazard of stillbirth increases with gestation (Supplementary Figure 1), and Cox regression models account for this by comparing women of the same estimated gestational age at the time of stillbirth. Therefore, differences in the method of estimating gestational age will have underestimated associations between malaria and stillbirth because the true gestational age of </w:t>
      </w:r>
      <w:proofErr w:type="gramStart"/>
      <w:r w:rsidRPr="00794F14">
        <w:rPr>
          <w:color w:val="000000" w:themeColor="text1"/>
          <w:sz w:val="20"/>
          <w:szCs w:val="20"/>
        </w:rPr>
        <w:t>women</w:t>
      </w:r>
      <w:proofErr w:type="gramEnd"/>
      <w:r w:rsidRPr="00794F14">
        <w:rPr>
          <w:color w:val="000000" w:themeColor="text1"/>
          <w:sz w:val="20"/>
          <w:szCs w:val="20"/>
        </w:rPr>
        <w:t xml:space="preserve"> with malaria is probably slightly younger than their estimated gestational age, which is arguably more tolerable than an overestimation (whereby it would be impossible to know if there was a true association). Bias due to potential non-differential misclassification of late miscarriages as stillbirths (as gestation is recorded as the time of delivery rather than the time of death) between women with and without malaria in pregnancy is also possible.</w:t>
      </w:r>
      <w:r w:rsidR="0064291F" w:rsidRPr="00794F14">
        <w:rPr>
          <w:color w:val="000000" w:themeColor="text1"/>
          <w:sz w:val="20"/>
          <w:szCs w:val="20"/>
        </w:rPr>
        <w:fldChar w:fldCharType="begin" w:fldLock="1"/>
      </w:r>
      <w:r w:rsidR="00794F14" w:rsidRPr="00794F14">
        <w:rPr>
          <w:color w:val="000000" w:themeColor="text1"/>
          <w:sz w:val="20"/>
          <w:szCs w:val="20"/>
        </w:rPr>
        <w:instrText>ADDIN CSL_CITATION { "citationItems" : [ { "id" : "ITEM-1", "itemData" : { "author" : [ { "dropping-particle" : "", "family" : "Gullen", "given" : "Warren H", "non-dropping-particle" : "", "parse-names" : false, "suffix" : "" }, { "dropping-particle" : "", "family" : "Bearman", "given" : "Jacob E", "non-dropping-particle" : "", "parse-names" : false, "suffix" : "" }, { "dropping-particle" : "", "family" : "Johnson", "given" : "Eugene A", "non-dropping-particle" : "", "parse-names" : false, "suffix" : "" } ], "container-title" : "Public Health Reports", "id" : "ITEM-1", "issue" : "11", "issued" : { "date-parts" : [ [ "1968" ] ] }, "page" : "914-918", "title" : "Effects of misclassification in epidemiologic studies", "type" : "article-journal", "volume" : "83" }, "uris" : [ "http://www.mendeley.com/documents/?uuid=c506593d-2ca3-40f4-8d57-c5ba73b7d31e" ] } ], "mendeley" : { "formattedCitation" : "[2]", "plainTextFormattedCitation" : "[2]", "previouslyFormattedCitation" : "[18]" }, "properties" : { "noteIndex" : 0 }, "schema" : "https://github.com/citation-style-language/schema/raw/master/csl-citation.json" }</w:instrText>
      </w:r>
      <w:r w:rsidR="0064291F" w:rsidRPr="00794F14">
        <w:rPr>
          <w:color w:val="000000" w:themeColor="text1"/>
          <w:sz w:val="20"/>
          <w:szCs w:val="20"/>
        </w:rPr>
        <w:fldChar w:fldCharType="separate"/>
      </w:r>
      <w:r w:rsidR="00794F14" w:rsidRPr="00794F14">
        <w:rPr>
          <w:noProof/>
          <w:color w:val="000000" w:themeColor="text1"/>
          <w:sz w:val="20"/>
          <w:szCs w:val="20"/>
        </w:rPr>
        <w:t>[2]</w:t>
      </w:r>
      <w:r w:rsidR="0064291F" w:rsidRPr="00794F14">
        <w:rPr>
          <w:color w:val="000000" w:themeColor="text1"/>
          <w:sz w:val="20"/>
          <w:szCs w:val="20"/>
        </w:rPr>
        <w:fldChar w:fldCharType="end"/>
      </w:r>
      <w:r w:rsidRPr="00794F14">
        <w:rPr>
          <w:color w:val="000000" w:themeColor="text1"/>
          <w:sz w:val="20"/>
          <w:szCs w:val="20"/>
        </w:rPr>
        <w:t xml:space="preserve"> Misclassification of mediating variables (</w:t>
      </w:r>
      <w:proofErr w:type="spellStart"/>
      <w:r w:rsidRPr="00794F14">
        <w:rPr>
          <w:color w:val="000000" w:themeColor="text1"/>
          <w:sz w:val="20"/>
          <w:szCs w:val="20"/>
        </w:rPr>
        <w:t>SGA</w:t>
      </w:r>
      <w:proofErr w:type="spellEnd"/>
      <w:r w:rsidRPr="00794F14">
        <w:rPr>
          <w:color w:val="000000" w:themeColor="text1"/>
          <w:sz w:val="20"/>
          <w:szCs w:val="20"/>
        </w:rPr>
        <w:t xml:space="preserve"> and preterm birth) will underestimate the proportion of the total effect that is mediated.</w:t>
      </w:r>
      <w:r w:rsidR="0064291F" w:rsidRPr="00794F14">
        <w:rPr>
          <w:color w:val="000000" w:themeColor="text1"/>
          <w:sz w:val="20"/>
          <w:szCs w:val="20"/>
        </w:rPr>
        <w:fldChar w:fldCharType="begin" w:fldLock="1"/>
      </w:r>
      <w:r w:rsidR="00794F14" w:rsidRPr="00794F14">
        <w:rPr>
          <w:color w:val="000000" w:themeColor="text1"/>
          <w:sz w:val="20"/>
          <w:szCs w:val="20"/>
        </w:rPr>
        <w:instrText>ADDIN CSL_CITATION { "citationItems" : [ { "id" : "ITEM-1", "itemData" : { "DOI" : "10.1097/EDE.0b013e31824d1f63", "ISBN" : "1531-5487 (Electronic)\\n1044-3983 (Linking)", "ISSN" : "1044-3983", "PMID" : "22450692", "abstract" : "Consider a study with binary exposure, outcome, and confounder, where the confounder is nondifferentially misclassified. Epidemiologists have long accepted the unproven but oft-cited result that, if the confounder is binary, then odds ratios, risk ratios, and risk differences that control for the mismeasured confounder will lie between the crude and the true measures. In this paper, we provide an analytic proof of the result in the absence of a qualitative interaction between treatment and confounder, and we demonstrate via counterexample that the result need not hold when there is such a qualitative interaction. We also present an analytic proof of the result for the effect of treatment among the treated and describe extensions to measures conditional on or standardized over other covariates.", "author" : [ { "dropping-particle" : "", "family" : "Ogburn", "given" : "Elizabeth L", "non-dropping-particle" : "", "parse-names" : false, "suffix" : "" }, { "dropping-particle" : "", "family" : "VanderWeele", "given" : "Tyler J", "non-dropping-particle" : "", "parse-names" : false, "suffix" : "" } ], "container-title" : "Epidemiology", "id" : "ITEM-1", "issue" : "3", "issued" : { "date-parts" : [ [ "2012" ] ] }, "page" : "433-439", "title" : "On the Nondifferential Misclassification of a Binary Confounder", "type" : "article-journal", "volume" : "23" }, "uris" : [ "http://www.mendeley.com/documents/?uuid=f3322154-fe0c-4d67-a584-4c8e55dd29c0" ] } ], "mendeley" : { "formattedCitation" : "[3]", "plainTextFormattedCitation" : "[3]", "previouslyFormattedCitation" : "[19]" }, "properties" : { "noteIndex" : 0 }, "schema" : "https://github.com/citation-style-language/schema/raw/master/csl-citation.json" }</w:instrText>
      </w:r>
      <w:r w:rsidR="0064291F" w:rsidRPr="00794F14">
        <w:rPr>
          <w:color w:val="000000" w:themeColor="text1"/>
          <w:sz w:val="20"/>
          <w:szCs w:val="20"/>
        </w:rPr>
        <w:fldChar w:fldCharType="separate"/>
      </w:r>
      <w:r w:rsidR="00794F14" w:rsidRPr="00794F14">
        <w:rPr>
          <w:noProof/>
          <w:color w:val="000000" w:themeColor="text1"/>
          <w:sz w:val="20"/>
          <w:szCs w:val="20"/>
        </w:rPr>
        <w:t>[3]</w:t>
      </w:r>
      <w:r w:rsidR="0064291F" w:rsidRPr="00794F14">
        <w:rPr>
          <w:color w:val="000000" w:themeColor="text1"/>
          <w:sz w:val="20"/>
          <w:szCs w:val="20"/>
        </w:rPr>
        <w:fldChar w:fldCharType="end"/>
      </w:r>
      <w:r w:rsidRPr="00794F14">
        <w:rPr>
          <w:color w:val="000000" w:themeColor="text1"/>
          <w:sz w:val="20"/>
          <w:szCs w:val="20"/>
        </w:rPr>
        <w:t xml:space="preserve"> </w:t>
      </w:r>
    </w:p>
    <w:p w:rsidR="007F5E8D" w:rsidRPr="00794F14" w:rsidRDefault="007F5E8D" w:rsidP="007F5E8D">
      <w:pPr>
        <w:pStyle w:val="ListParagraph"/>
        <w:tabs>
          <w:tab w:val="left" w:pos="709"/>
        </w:tabs>
        <w:rPr>
          <w:rFonts w:cs="Times New Roman"/>
          <w:szCs w:val="20"/>
        </w:rPr>
      </w:pPr>
    </w:p>
    <w:p w:rsidR="007F5E8D" w:rsidRPr="00794F14" w:rsidRDefault="007F5E8D" w:rsidP="007F5E8D">
      <w:pPr>
        <w:tabs>
          <w:tab w:val="left" w:pos="709"/>
        </w:tabs>
        <w:spacing w:line="480" w:lineRule="auto"/>
        <w:rPr>
          <w:b/>
          <w:i/>
          <w:sz w:val="20"/>
          <w:szCs w:val="20"/>
        </w:rPr>
      </w:pPr>
      <w:r w:rsidRPr="00794F14">
        <w:rPr>
          <w:b/>
          <w:i/>
          <w:sz w:val="20"/>
          <w:szCs w:val="20"/>
        </w:rPr>
        <w:t>Bias due to informative right censoring:</w:t>
      </w:r>
    </w:p>
    <w:p w:rsidR="007F5E8D" w:rsidRPr="00794F14" w:rsidRDefault="007F5E8D" w:rsidP="007F5E8D">
      <w:pPr>
        <w:pStyle w:val="ListParagraph"/>
        <w:spacing w:line="480" w:lineRule="auto"/>
        <w:ind w:left="360"/>
        <w:rPr>
          <w:rFonts w:cs="Times New Roman"/>
          <w:b/>
          <w:szCs w:val="20"/>
        </w:rPr>
      </w:pPr>
      <w:r w:rsidRPr="00794F14">
        <w:rPr>
          <w:rFonts w:cs="Times New Roman"/>
          <w:szCs w:val="20"/>
        </w:rPr>
        <w:t xml:space="preserve">Cox regression assumes non-informative censoring, but it is possible that there was an association between </w:t>
      </w:r>
      <w:proofErr w:type="gramStart"/>
      <w:r w:rsidRPr="00794F14">
        <w:rPr>
          <w:rFonts w:cs="Times New Roman"/>
          <w:szCs w:val="20"/>
        </w:rPr>
        <w:t>death</w:t>
      </w:r>
      <w:proofErr w:type="gramEnd"/>
      <w:r w:rsidRPr="00794F14">
        <w:rPr>
          <w:rFonts w:cs="Times New Roman"/>
          <w:szCs w:val="20"/>
        </w:rPr>
        <w:t xml:space="preserve"> and loss to follow-up (i.e. informative right censoring). This is likely to be less of a problem in the analysis of stillbirth than in the analysis of all </w:t>
      </w:r>
      <w:proofErr w:type="spellStart"/>
      <w:r w:rsidRPr="00794F14">
        <w:rPr>
          <w:rFonts w:cs="Times New Roman"/>
          <w:szCs w:val="20"/>
        </w:rPr>
        <w:t>fetal</w:t>
      </w:r>
      <w:proofErr w:type="spellEnd"/>
      <w:r w:rsidRPr="00794F14">
        <w:rPr>
          <w:rFonts w:cs="Times New Roman"/>
          <w:szCs w:val="20"/>
        </w:rPr>
        <w:t xml:space="preserve"> loss, since women who miscarry may not return to antenatal care, especially if they miscarry early in pregnancy.</w:t>
      </w:r>
      <w:r w:rsidR="008A1420">
        <w:rPr>
          <w:rFonts w:cs="Times New Roman"/>
          <w:szCs w:val="20"/>
        </w:rPr>
        <w:t xml:space="preserve"> Informative right censoring is more likely in the neonatal death analysis, </w:t>
      </w:r>
      <w:r w:rsidR="002B501B">
        <w:rPr>
          <w:rFonts w:cs="Times New Roman"/>
          <w:szCs w:val="20"/>
        </w:rPr>
        <w:t xml:space="preserve">as newborns </w:t>
      </w:r>
      <w:proofErr w:type="gramStart"/>
      <w:r w:rsidR="002B501B">
        <w:rPr>
          <w:rFonts w:cs="Times New Roman"/>
          <w:szCs w:val="20"/>
        </w:rPr>
        <w:t>who</w:t>
      </w:r>
      <w:proofErr w:type="gramEnd"/>
      <w:r w:rsidR="002B501B">
        <w:rPr>
          <w:rFonts w:cs="Times New Roman"/>
          <w:szCs w:val="20"/>
        </w:rPr>
        <w:t xml:space="preserve"> were lost to follow up were more likely to have been small for gestational age or preterm, and to have been born to mothers who had malaria in pregnancy</w:t>
      </w:r>
      <w:r w:rsidR="00C91070">
        <w:rPr>
          <w:rFonts w:cs="Times New Roman"/>
          <w:szCs w:val="20"/>
        </w:rPr>
        <w:t xml:space="preserve"> (Additional file 9)</w:t>
      </w:r>
      <w:bookmarkStart w:id="0" w:name="_GoBack"/>
      <w:bookmarkEnd w:id="0"/>
      <w:r w:rsidR="002B501B">
        <w:rPr>
          <w:rFonts w:cs="Times New Roman"/>
          <w:szCs w:val="20"/>
        </w:rPr>
        <w:t>.</w:t>
      </w:r>
      <w:r w:rsidRPr="00794F14">
        <w:rPr>
          <w:rFonts w:cs="Times New Roman"/>
          <w:szCs w:val="20"/>
        </w:rPr>
        <w:t xml:space="preserve"> If censoring was informative, the assumption of non-informative censoring will have resulted in an underestimation the associations. </w:t>
      </w:r>
    </w:p>
    <w:p w:rsidR="002C2713" w:rsidRDefault="002C2713">
      <w:pPr>
        <w:rPr>
          <w:sz w:val="20"/>
          <w:szCs w:val="20"/>
        </w:rPr>
      </w:pPr>
    </w:p>
    <w:p w:rsidR="0063782E" w:rsidRPr="00794F14" w:rsidRDefault="0063782E">
      <w:pPr>
        <w:rPr>
          <w:sz w:val="20"/>
          <w:szCs w:val="20"/>
        </w:rPr>
      </w:pPr>
    </w:p>
    <w:p w:rsidR="00794F14" w:rsidRPr="00794F14" w:rsidRDefault="0064291F" w:rsidP="00794F14">
      <w:pPr>
        <w:widowControl w:val="0"/>
        <w:autoSpaceDE w:val="0"/>
        <w:autoSpaceDN w:val="0"/>
        <w:adjustRightInd w:val="0"/>
        <w:ind w:left="640" w:hanging="640"/>
        <w:rPr>
          <w:noProof/>
          <w:sz w:val="20"/>
          <w:szCs w:val="20"/>
        </w:rPr>
      </w:pPr>
      <w:r w:rsidRPr="00794F14">
        <w:rPr>
          <w:sz w:val="20"/>
          <w:szCs w:val="20"/>
        </w:rPr>
        <w:fldChar w:fldCharType="begin" w:fldLock="1"/>
      </w:r>
      <w:r w:rsidR="00794F14" w:rsidRPr="00794F14">
        <w:rPr>
          <w:sz w:val="20"/>
          <w:szCs w:val="20"/>
        </w:rPr>
        <w:instrText xml:space="preserve">ADDIN Mendeley Bibliography CSL_BIBLIOGRAPHY </w:instrText>
      </w:r>
      <w:r w:rsidRPr="00794F14">
        <w:rPr>
          <w:sz w:val="20"/>
          <w:szCs w:val="20"/>
        </w:rPr>
        <w:fldChar w:fldCharType="separate"/>
      </w:r>
      <w:r w:rsidR="00794F14" w:rsidRPr="00794F14">
        <w:rPr>
          <w:noProof/>
          <w:sz w:val="20"/>
          <w:szCs w:val="20"/>
        </w:rPr>
        <w:t xml:space="preserve">1. </w:t>
      </w:r>
      <w:r w:rsidR="00794F14" w:rsidRPr="00794F14">
        <w:rPr>
          <w:noProof/>
          <w:sz w:val="20"/>
          <w:szCs w:val="20"/>
        </w:rPr>
        <w:tab/>
        <w:t>Moore KA, Simpson JA, Thomas KH, Rijken MJ, White LJ, Dwell SLM, et al. Estimating gestational age in late presenters to antenatal care in a resource-limited setting on the Thai-Myanmar border. PLoS One. 2015;10: e0131025. doi:10.1371/journal.pone.0131025</w:t>
      </w:r>
    </w:p>
    <w:p w:rsidR="00794F14" w:rsidRPr="00794F14" w:rsidRDefault="00794F14" w:rsidP="00794F14">
      <w:pPr>
        <w:widowControl w:val="0"/>
        <w:autoSpaceDE w:val="0"/>
        <w:autoSpaceDN w:val="0"/>
        <w:adjustRightInd w:val="0"/>
        <w:ind w:left="640" w:hanging="640"/>
        <w:rPr>
          <w:noProof/>
          <w:sz w:val="20"/>
          <w:szCs w:val="20"/>
        </w:rPr>
      </w:pPr>
      <w:r w:rsidRPr="00794F14">
        <w:rPr>
          <w:noProof/>
          <w:sz w:val="20"/>
          <w:szCs w:val="20"/>
        </w:rPr>
        <w:t xml:space="preserve">2. </w:t>
      </w:r>
      <w:r w:rsidRPr="00794F14">
        <w:rPr>
          <w:noProof/>
          <w:sz w:val="20"/>
          <w:szCs w:val="20"/>
        </w:rPr>
        <w:tab/>
        <w:t xml:space="preserve">Gullen WH, Bearman JE, Johnson EA. Effects of misclassification in epidemiologic studies. Public Health Rep. 1968;83: 914–918. </w:t>
      </w:r>
    </w:p>
    <w:p w:rsidR="00794F14" w:rsidRPr="00794F14" w:rsidRDefault="00794F14" w:rsidP="00794F14">
      <w:pPr>
        <w:widowControl w:val="0"/>
        <w:autoSpaceDE w:val="0"/>
        <w:autoSpaceDN w:val="0"/>
        <w:adjustRightInd w:val="0"/>
        <w:ind w:left="640" w:hanging="640"/>
        <w:rPr>
          <w:noProof/>
          <w:sz w:val="20"/>
          <w:szCs w:val="20"/>
        </w:rPr>
      </w:pPr>
      <w:r w:rsidRPr="00794F14">
        <w:rPr>
          <w:noProof/>
          <w:sz w:val="20"/>
          <w:szCs w:val="20"/>
        </w:rPr>
        <w:t xml:space="preserve">3. </w:t>
      </w:r>
      <w:r w:rsidRPr="00794F14">
        <w:rPr>
          <w:noProof/>
          <w:sz w:val="20"/>
          <w:szCs w:val="20"/>
        </w:rPr>
        <w:tab/>
        <w:t>Ogburn EL, VanderWeele TJ. On the Nondifferential Misclassification of a Binary Confounder. Epidemiology. 2012;23: 433–439. doi:10.1097/EDE.0b013e31824d1f63</w:t>
      </w:r>
    </w:p>
    <w:p w:rsidR="003A5448" w:rsidRPr="00794F14" w:rsidRDefault="0064291F">
      <w:pPr>
        <w:rPr>
          <w:sz w:val="20"/>
          <w:szCs w:val="20"/>
        </w:rPr>
      </w:pPr>
      <w:r w:rsidRPr="00794F14">
        <w:rPr>
          <w:sz w:val="20"/>
          <w:szCs w:val="20"/>
        </w:rPr>
        <w:fldChar w:fldCharType="end"/>
      </w:r>
    </w:p>
    <w:sectPr w:rsidR="003A5448" w:rsidRPr="00794F14" w:rsidSect="007F5E8D">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yn Moore">
    <w15:presenceInfo w15:providerId="Windows Live" w15:userId="a3e7df54a22f88f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docVars>
    <w:docVar w:name="Total_Editing_Time" w:val="4"/>
  </w:docVars>
  <w:rsids>
    <w:rsidRoot w:val="007F5E8D"/>
    <w:rsid w:val="002B501B"/>
    <w:rsid w:val="002C2713"/>
    <w:rsid w:val="003A5448"/>
    <w:rsid w:val="0063782E"/>
    <w:rsid w:val="0064291F"/>
    <w:rsid w:val="00794F14"/>
    <w:rsid w:val="007F5E8D"/>
    <w:rsid w:val="008A1420"/>
    <w:rsid w:val="00A420A2"/>
    <w:rsid w:val="00C91070"/>
    <w:rsid w:val="00CB751B"/>
    <w:rsid w:val="00DB0E28"/>
    <w:rsid w:val="00EE44E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8D"/>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E8D"/>
    <w:pPr>
      <w:ind w:left="720"/>
      <w:contextualSpacing/>
    </w:pPr>
    <w:rPr>
      <w:rFonts w:eastAsiaTheme="minorEastAsia" w:cstheme="minorBidi"/>
      <w:sz w:val="20"/>
      <w:lang w:val="en-AU"/>
    </w:rPr>
  </w:style>
  <w:style w:type="paragraph" w:styleId="BalloonText">
    <w:name w:val="Balloon Text"/>
    <w:basedOn w:val="Normal"/>
    <w:link w:val="BalloonTextChar"/>
    <w:uiPriority w:val="99"/>
    <w:semiHidden/>
    <w:unhideWhenUsed/>
    <w:rsid w:val="008A1420"/>
    <w:rPr>
      <w:sz w:val="18"/>
      <w:szCs w:val="18"/>
    </w:rPr>
  </w:style>
  <w:style w:type="character" w:customStyle="1" w:styleId="BalloonTextChar">
    <w:name w:val="Balloon Text Char"/>
    <w:basedOn w:val="DefaultParagraphFont"/>
    <w:link w:val="BalloonText"/>
    <w:uiPriority w:val="99"/>
    <w:semiHidden/>
    <w:rsid w:val="008A1420"/>
    <w:rPr>
      <w:rFonts w:ascii="Times New Roman" w:eastAsiaTheme="minorHAnsi"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1200</Words>
  <Characters>6998</Characters>
  <Application>Microsoft Office Word</Application>
  <DocSecurity>0</DocSecurity>
  <Lines>106</Lines>
  <Paragraphs>28</Paragraphs>
  <ScaleCrop>false</ScaleCrop>
  <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Kerryn Moore</dc:creator>
  <cp:keywords/>
  <dc:description/>
  <cp:lastModifiedBy>EDABO-ABO</cp:lastModifiedBy>
  <cp:revision>11</cp:revision>
  <dcterms:created xsi:type="dcterms:W3CDTF">2016-11-29T13:36:00Z</dcterms:created>
  <dcterms:modified xsi:type="dcterms:W3CDTF">2017-04-27T22:26:00Z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36d98c5e-a65c-357b-a73f-d3554eb80981</vt:lpwstr>
  </property>
  <property fmtid="{D5CDD505-2E9C-101B-9397-08002B2CF9AE}" pid="4" name="Mendeley Citation Style_1">
    <vt:lpwstr>http://www.zotero.org/styles/plos-medicine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16th edition (author-date)</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7th edition</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http://www.zotero.org/styles/plos-medicine</vt:lpwstr>
  </property>
  <property fmtid="{D5CDD505-2E9C-101B-9397-08002B2CF9AE}" pid="20" name="Mendeley Recent Style Name 7_1">
    <vt:lpwstr>PLOS Medicine</vt:lpwstr>
  </property>
  <property fmtid="{D5CDD505-2E9C-101B-9397-08002B2CF9AE}" pid="21" name="Mendeley Recent Style Id 8_1">
    <vt:lpwstr>http://www.zotero.org/styles/the-lancet-infectious-diseases</vt:lpwstr>
  </property>
  <property fmtid="{D5CDD505-2E9C-101B-9397-08002B2CF9AE}" pid="22" name="Mendeley Recent Style Name 8_1">
    <vt:lpwstr>The Lancet Infectious Diseases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