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C7" w:rsidRDefault="00993FC7" w:rsidP="00993FC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lang w:eastAsia="zh-TW"/>
        </w:rPr>
      </w:pPr>
    </w:p>
    <w:p w:rsidR="00993FC7" w:rsidRPr="00930FE1" w:rsidRDefault="00993FC7" w:rsidP="00993FC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 xml:space="preserve">Table </w:t>
      </w:r>
      <w:r>
        <w:rPr>
          <w:rFonts w:ascii="Times New Roman" w:hAnsi="Times New Roman" w:cs="Times New Roman" w:hint="eastAsia"/>
          <w:b/>
          <w:lang w:eastAsia="zh-TW"/>
        </w:rPr>
        <w:t>S</w:t>
      </w:r>
      <w:r w:rsidRPr="00930FE1">
        <w:rPr>
          <w:rFonts w:ascii="Times New Roman" w:hAnsi="Times New Roman" w:cs="Times New Roman"/>
          <w:b/>
          <w:lang w:eastAsia="zh-TW"/>
        </w:rPr>
        <w:t xml:space="preserve">1 </w:t>
      </w:r>
    </w:p>
    <w:p w:rsidR="00993FC7" w:rsidRPr="00930FE1" w:rsidRDefault="00993FC7" w:rsidP="00993FC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Cs/>
          <w:lang w:eastAsia="zh-TW"/>
        </w:rPr>
      </w:pPr>
      <w:r w:rsidRPr="00930FE1">
        <w:rPr>
          <w:rFonts w:ascii="Times New Roman" w:hAnsi="Times New Roman" w:cs="Times New Roman"/>
          <w:bCs/>
          <w:lang w:eastAsia="zh-TW"/>
        </w:rPr>
        <w:t xml:space="preserve">Summary of the Benchmark dose </w:t>
      </w:r>
      <w:r>
        <w:rPr>
          <w:rFonts w:ascii="Times New Roman" w:hAnsi="Times New Roman" w:cs="Times New Roman" w:hint="eastAsia"/>
          <w:bCs/>
          <w:lang w:eastAsia="zh-TW"/>
        </w:rPr>
        <w:t xml:space="preserve">(BMD) </w:t>
      </w:r>
      <w:r w:rsidRPr="00930FE1">
        <w:rPr>
          <w:rFonts w:ascii="Times New Roman" w:hAnsi="Times New Roman" w:cs="Times New Roman"/>
          <w:bCs/>
          <w:lang w:eastAsia="zh-TW"/>
        </w:rPr>
        <w:t>models used in this study</w:t>
      </w:r>
    </w:p>
    <w:tbl>
      <w:tblPr>
        <w:tblW w:w="9333" w:type="dxa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2243"/>
        <w:gridCol w:w="3416"/>
        <w:gridCol w:w="822"/>
        <w:gridCol w:w="2852"/>
      </w:tblGrid>
      <w:tr w:rsidR="00993FC7" w:rsidRPr="00930FE1" w:rsidTr="00CF7D68">
        <w:trPr>
          <w:jc w:val="center"/>
        </w:trPr>
        <w:tc>
          <w:tcPr>
            <w:tcW w:w="2243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>Model</w:t>
            </w:r>
          </w:p>
        </w:tc>
        <w:tc>
          <w:tcPr>
            <w:tcW w:w="3416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 xml:space="preserve">Risk function, </w:t>
            </w:r>
            <w:r w:rsidRPr="00930FE1">
              <w:rPr>
                <w:rFonts w:ascii="Times New Roman" w:hAnsi="Times New Roman" w:cs="Times New Roman"/>
                <w:bCs/>
                <w:i/>
                <w:lang w:eastAsia="zh-TW"/>
              </w:rPr>
              <w:t>R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bCs/>
                <w:i/>
                <w:lang w:eastAsia="zh-TW"/>
              </w:rPr>
              <w:t>d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>)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</w:p>
        </w:tc>
        <w:tc>
          <w:tcPr>
            <w:tcW w:w="285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>Constraints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tcBorders>
              <w:top w:val="single" w:sz="8" w:space="0" w:color="auto"/>
              <w:bottom w:val="nil"/>
            </w:tcBorders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 xml:space="preserve">Dichotomous Hill </w:t>
            </w:r>
          </w:p>
        </w:tc>
        <w:tc>
          <w:tcPr>
            <w:tcW w:w="3416" w:type="dxa"/>
            <w:tcBorders>
              <w:top w:val="single" w:sz="8" w:space="0" w:color="auto"/>
              <w:bottom w:val="nil"/>
            </w:tcBorders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30"/>
                <w:lang w:eastAsia="zh-TW"/>
              </w:rPr>
              <w:object w:dxaOrig="27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33pt" o:ole="">
                  <v:imagedata r:id="rId6" o:title=""/>
                </v:shape>
                <o:OLEObject Type="Embed" ProgID="Equation.3" ShapeID="_x0000_i1025" DrawAspect="Content" ObjectID="_1553576922" r:id="rId7"/>
              </w:object>
            </w:r>
          </w:p>
        </w:tc>
        <w:tc>
          <w:tcPr>
            <w:tcW w:w="822" w:type="dxa"/>
            <w:tcBorders>
              <w:top w:val="single" w:sz="8" w:space="0" w:color="auto"/>
              <w:bottom w:val="nil"/>
            </w:tcBorders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(T1)</w:t>
            </w:r>
          </w:p>
        </w:tc>
        <w:tc>
          <w:tcPr>
            <w:tcW w:w="2852" w:type="dxa"/>
            <w:tcBorders>
              <w:top w:val="single" w:sz="8" w:space="0" w:color="auto"/>
              <w:bottom w:val="nil"/>
            </w:tcBorders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 xml:space="preserve">0 ≤ </w:t>
            </w:r>
            <w:r w:rsidRPr="00930FE1">
              <w:rPr>
                <w:rFonts w:ascii="Times New Roman" w:hAnsi="Times New Roman" w:cs="Times New Roman"/>
                <w:i/>
                <w:lang w:eastAsia="zh-TW"/>
              </w:rPr>
              <w:t>g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 &lt; 1, 0 &lt; </w:t>
            </w:r>
            <w:r w:rsidRPr="00930FE1">
              <w:rPr>
                <w:rFonts w:ascii="Times New Roman" w:hAnsi="Times New Roman" w:cs="Times New Roman"/>
                <w:i/>
                <w:lang w:eastAsia="zh-TW"/>
              </w:rPr>
              <w:t>v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 ≤ 1, </w:t>
            </w:r>
            <w:r w:rsidRPr="00930FE1">
              <w:rPr>
                <w:rFonts w:ascii="Times New Roman" w:hAnsi="Times New Roman" w:cs="Times New Roman"/>
                <w:bCs/>
                <w:i/>
                <w:iCs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lang w:eastAsia="zh-TW"/>
              </w:rPr>
              <w:t>≥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>Gamma</w:t>
            </w:r>
          </w:p>
        </w:tc>
        <w:tc>
          <w:tcPr>
            <w:tcW w:w="3416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28"/>
                <w:lang w:eastAsia="zh-TW"/>
              </w:rPr>
              <w:object w:dxaOrig="1980" w:dyaOrig="660">
                <v:shape id="_x0000_i1026" type="#_x0000_t75" style="width:99.75pt;height:33pt" o:ole="">
                  <v:imagedata r:id="rId8" o:title=""/>
                </v:shape>
                <o:OLEObject Type="Embed" ProgID="Equation.3" ShapeID="_x0000_i1026" DrawAspect="Content" ObjectID="_1553576923" r:id="rId9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(T2)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i/>
                <w:iCs/>
                <w:lang w:eastAsia="zh-TW"/>
              </w:rPr>
              <w:t xml:space="preserve">α 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 xml:space="preserve">≥ 0, </w:t>
            </w:r>
            <w:r w:rsidRPr="00930FE1">
              <w:rPr>
                <w:rFonts w:ascii="Times New Roman" w:hAnsi="Times New Roman" w:cs="Times New Roman"/>
                <w:bCs/>
                <w:i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 xml:space="preserve">&gt; 0, 0 ≤ </w:t>
            </w:r>
            <w:r w:rsidRPr="00930FE1">
              <w:rPr>
                <w:rFonts w:ascii="Times New Roman" w:hAnsi="Times New Roman" w:cs="Times New Roman"/>
                <w:bCs/>
                <w:i/>
                <w:iCs/>
                <w:lang w:eastAsia="zh-TW"/>
              </w:rPr>
              <w:t>γ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 xml:space="preserve"> &lt; 1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>Logistic</w:t>
            </w:r>
          </w:p>
        </w:tc>
        <w:tc>
          <w:tcPr>
            <w:tcW w:w="3416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30"/>
                <w:lang w:eastAsia="zh-TW"/>
              </w:rPr>
              <w:object w:dxaOrig="1860" w:dyaOrig="680">
                <v:shape id="_x0000_i1027" type="#_x0000_t75" style="width:93.75pt;height:33pt" o:ole="">
                  <v:imagedata r:id="rId10" o:title=""/>
                </v:shape>
                <o:OLEObject Type="Embed" ProgID="Equation.3" ShapeID="_x0000_i1027" DrawAspect="Content" ObjectID="_1553576924" r:id="rId11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(T3)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i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>&gt;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proofErr w:type="spellStart"/>
            <w:r w:rsidRPr="00930FE1">
              <w:rPr>
                <w:rFonts w:ascii="Times New Roman" w:hAnsi="Times New Roman" w:cs="Times New Roman"/>
                <w:bCs/>
                <w:lang w:eastAsia="zh-TW"/>
              </w:rPr>
              <w:t>Loglogistic</w:t>
            </w:r>
            <w:proofErr w:type="spellEnd"/>
          </w:p>
        </w:tc>
        <w:tc>
          <w:tcPr>
            <w:tcW w:w="3416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30"/>
                <w:lang w:eastAsia="zh-TW"/>
              </w:rPr>
              <w:object w:dxaOrig="2600" w:dyaOrig="680">
                <v:shape id="_x0000_i1028" type="#_x0000_t75" style="width:129.75pt;height:33pt" o:ole="">
                  <v:imagedata r:id="rId12" o:title=""/>
                </v:shape>
                <o:OLEObject Type="Embed" ProgID="Equation.3" ShapeID="_x0000_i1028" DrawAspect="Content" ObjectID="_1553576925" r:id="rId13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(T4)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 xml:space="preserve">0 ≤ </w:t>
            </w:r>
            <w:r w:rsidRPr="00930FE1">
              <w:rPr>
                <w:rFonts w:ascii="Times New Roman" w:hAnsi="Times New Roman" w:cs="Times New Roman"/>
                <w:bCs/>
                <w:i/>
                <w:iCs/>
                <w:lang w:eastAsia="zh-TW"/>
              </w:rPr>
              <w:t xml:space="preserve">γ 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&lt; 1, </w:t>
            </w:r>
            <w:r w:rsidRPr="00930FE1">
              <w:rPr>
                <w:rFonts w:ascii="Times New Roman" w:hAnsi="Times New Roman" w:cs="Times New Roman"/>
                <w:i/>
                <w:iCs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lang w:eastAsia="zh-TW"/>
              </w:rPr>
              <w:t>&gt;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proofErr w:type="spellStart"/>
            <w:r w:rsidRPr="00930FE1">
              <w:rPr>
                <w:rFonts w:ascii="Times New Roman" w:hAnsi="Times New Roman" w:cs="Times New Roman"/>
                <w:bCs/>
                <w:lang w:eastAsia="zh-TW"/>
              </w:rPr>
              <w:t>Logprobit</w:t>
            </w:r>
            <w:proofErr w:type="spellEnd"/>
          </w:p>
        </w:tc>
        <w:tc>
          <w:tcPr>
            <w:tcW w:w="3416" w:type="dxa"/>
            <w:vAlign w:val="center"/>
          </w:tcPr>
          <w:p w:rsidR="00993FC7" w:rsidRPr="00930FE1" w:rsidRDefault="00B0409B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12"/>
                <w:lang w:eastAsia="zh-TW"/>
              </w:rPr>
              <w:object w:dxaOrig="2520" w:dyaOrig="360">
                <v:shape id="_x0000_i1029" type="#_x0000_t75" style="width:126pt;height:18pt" o:ole="">
                  <v:imagedata r:id="rId14" o:title=""/>
                </v:shape>
                <o:OLEObject Type="Embed" ProgID="Equation.3" ShapeID="_x0000_i1029" DrawAspect="Content" ObjectID="_1553576926" r:id="rId15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(T5)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 xml:space="preserve">0 ≤ </w:t>
            </w:r>
            <w:r w:rsidRPr="00930FE1">
              <w:rPr>
                <w:rFonts w:ascii="Times New Roman" w:hAnsi="Times New Roman" w:cs="Times New Roman"/>
                <w:bCs/>
                <w:i/>
                <w:iCs/>
                <w:lang w:eastAsia="zh-TW"/>
              </w:rPr>
              <w:t xml:space="preserve">γ 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&lt; 1, </w:t>
            </w:r>
            <w:r w:rsidRPr="00930FE1">
              <w:rPr>
                <w:rFonts w:ascii="Times New Roman" w:hAnsi="Times New Roman" w:cs="Times New Roman"/>
                <w:i/>
                <w:iCs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lang w:eastAsia="zh-TW"/>
              </w:rPr>
              <w:t>&gt;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lang w:eastAsia="zh-TW"/>
              </w:rPr>
              <w:t>Multistage</w:t>
            </w:r>
          </w:p>
        </w:tc>
        <w:tc>
          <w:tcPr>
            <w:tcW w:w="3416" w:type="dxa"/>
            <w:vAlign w:val="center"/>
          </w:tcPr>
          <w:p w:rsidR="00993FC7" w:rsidRPr="00930FE1" w:rsidRDefault="00B0409B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16"/>
                <w:lang w:eastAsia="zh-TW"/>
              </w:rPr>
              <w:object w:dxaOrig="2940" w:dyaOrig="460">
                <v:shape id="_x0000_i1030" type="#_x0000_t75" style="width:147pt;height:23.25pt" o:ole="">
                  <v:imagedata r:id="rId16" o:title=""/>
                </v:shape>
                <o:OLEObject Type="Embed" ProgID="Equation.3" ShapeID="_x0000_i1030" DrawAspect="Content" ObjectID="_1553576927" r:id="rId17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(T6)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 xml:space="preserve">0 ≤ </w:t>
            </w:r>
            <w:r w:rsidRPr="00930FE1">
              <w:rPr>
                <w:rFonts w:ascii="Times New Roman" w:hAnsi="Times New Roman" w:cs="Times New Roman"/>
                <w:bCs/>
                <w:i/>
                <w:iCs/>
                <w:lang w:eastAsia="zh-TW"/>
              </w:rPr>
              <w:t xml:space="preserve">γ 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&lt; 1, </w:t>
            </w:r>
            <w:proofErr w:type="spellStart"/>
            <w:r w:rsidRPr="00930FE1">
              <w:rPr>
                <w:rFonts w:ascii="Times New Roman" w:hAnsi="Times New Roman" w:cs="Times New Roman"/>
                <w:i/>
                <w:lang w:eastAsia="zh-TW"/>
              </w:rPr>
              <w:t>β</w:t>
            </w:r>
            <w:r w:rsidRPr="00930FE1">
              <w:rPr>
                <w:rFonts w:ascii="Times New Roman" w:hAnsi="Times New Roman" w:cs="Times New Roman"/>
                <w:iCs/>
                <w:vertAlign w:val="subscript"/>
                <w:lang w:eastAsia="zh-TW"/>
              </w:rPr>
              <w:t>j</w:t>
            </w:r>
            <w:proofErr w:type="spellEnd"/>
            <w:r w:rsidRPr="00930FE1">
              <w:rPr>
                <w:rFonts w:ascii="Times New Roman" w:hAnsi="Times New Roman" w:cs="Times New Roman"/>
                <w:iCs/>
                <w:vertAlign w:val="subscript"/>
                <w:lang w:eastAsia="zh-TW"/>
              </w:rPr>
              <w:t xml:space="preserve"> </w:t>
            </w:r>
            <w:r w:rsidRPr="00930FE1">
              <w:rPr>
                <w:rFonts w:ascii="Times New Roman" w:hAnsi="Times New Roman" w:cs="Times New Roman"/>
                <w:lang w:eastAsia="zh-TW"/>
              </w:rPr>
              <w:t>≥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proofErr w:type="spellStart"/>
            <w:r w:rsidRPr="00930FE1">
              <w:rPr>
                <w:rFonts w:ascii="Times New Roman" w:hAnsi="Times New Roman" w:cs="Times New Roman"/>
                <w:bCs/>
                <w:lang w:eastAsia="zh-TW"/>
              </w:rPr>
              <w:t>Probit</w:t>
            </w:r>
            <w:proofErr w:type="spellEnd"/>
          </w:p>
        </w:tc>
        <w:tc>
          <w:tcPr>
            <w:tcW w:w="3416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12"/>
                <w:lang w:eastAsia="zh-TW"/>
              </w:rPr>
              <w:object w:dxaOrig="1240" w:dyaOrig="360">
                <v:shape id="_x0000_i1031" type="#_x0000_t75" style="width:61.5pt;height:18pt" o:ole="">
                  <v:imagedata r:id="rId18" o:title=""/>
                </v:shape>
                <o:OLEObject Type="Embed" ProgID="Equation.3" ShapeID="_x0000_i1031" DrawAspect="Content" ObjectID="_1553576928" r:id="rId19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(T7)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Cs/>
                <w:i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bCs/>
                <w:lang w:eastAsia="zh-TW"/>
              </w:rPr>
              <w:t>&gt;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proofErr w:type="spellStart"/>
            <w:r w:rsidRPr="00930FE1">
              <w:rPr>
                <w:rFonts w:ascii="Times New Roman" w:hAnsi="Times New Roman" w:cs="Times New Roman"/>
                <w:bCs/>
                <w:lang w:eastAsia="zh-TW"/>
              </w:rPr>
              <w:t>Quantal</w:t>
            </w:r>
            <w:proofErr w:type="spellEnd"/>
            <w:r w:rsidRPr="00930FE1">
              <w:rPr>
                <w:rFonts w:ascii="Times New Roman" w:hAnsi="Times New Roman" w:cs="Times New Roman"/>
                <w:bCs/>
                <w:lang w:eastAsia="zh-TW"/>
              </w:rPr>
              <w:t>-linear</w:t>
            </w:r>
          </w:p>
        </w:tc>
        <w:tc>
          <w:tcPr>
            <w:tcW w:w="3416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b/>
                <w:position w:val="-12"/>
                <w:lang w:eastAsia="zh-TW"/>
              </w:rPr>
              <w:object w:dxaOrig="1820" w:dyaOrig="360">
                <v:shape id="_x0000_i1032" type="#_x0000_t75" style="width:90pt;height:18pt" o:ole="">
                  <v:imagedata r:id="rId20" o:title=""/>
                </v:shape>
                <o:OLEObject Type="Embed" ProgID="Equation.3" ShapeID="_x0000_i1032" DrawAspect="Content" ObjectID="_1553576929" r:id="rId21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(T8)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i/>
                <w:lang w:eastAsia="zh-TW"/>
              </w:rPr>
              <w:t>β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 ≥ 0</w:t>
            </w:r>
          </w:p>
        </w:tc>
      </w:tr>
      <w:tr w:rsidR="00993FC7" w:rsidRPr="00930FE1" w:rsidTr="00CF7D68">
        <w:trPr>
          <w:jc w:val="center"/>
        </w:trPr>
        <w:tc>
          <w:tcPr>
            <w:tcW w:w="2243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lang w:eastAsia="zh-TW"/>
              </w:rPr>
            </w:pPr>
            <w:proofErr w:type="spellStart"/>
            <w:r w:rsidRPr="00930FE1">
              <w:rPr>
                <w:rFonts w:ascii="Times New Roman" w:hAnsi="Times New Roman" w:cs="Times New Roman"/>
                <w:bCs/>
                <w:lang w:eastAsia="zh-TW"/>
              </w:rPr>
              <w:t>Weibull</w:t>
            </w:r>
            <w:proofErr w:type="spellEnd"/>
          </w:p>
        </w:tc>
        <w:tc>
          <w:tcPr>
            <w:tcW w:w="3416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zh-TW"/>
              </w:rPr>
            </w:pPr>
            <w:r w:rsidRPr="00930FE1">
              <w:rPr>
                <w:rFonts w:ascii="Times New Roman" w:hAnsi="Times New Roman" w:cs="Times New Roman"/>
                <w:position w:val="-10"/>
              </w:rPr>
              <w:object w:dxaOrig="2560" w:dyaOrig="360">
                <v:shape id="_x0000_i1033" type="#_x0000_t75" style="width:126.75pt;height:18pt" o:ole="" filled="t">
                  <v:fill color2="black"/>
                  <v:imagedata r:id="rId22" o:title=""/>
                </v:shape>
                <o:OLEObject Type="Embed" ProgID="Equation.3" ShapeID="_x0000_i1033" DrawAspect="Content" ObjectID="_1553576930" r:id="rId23"/>
              </w:object>
            </w:r>
          </w:p>
        </w:tc>
        <w:tc>
          <w:tcPr>
            <w:tcW w:w="82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lang w:eastAsia="zh-TW"/>
              </w:rPr>
              <w:t>(T9)</w:t>
            </w:r>
          </w:p>
        </w:tc>
        <w:tc>
          <w:tcPr>
            <w:tcW w:w="2852" w:type="dxa"/>
            <w:vAlign w:val="center"/>
          </w:tcPr>
          <w:p w:rsidR="00993FC7" w:rsidRPr="00930FE1" w:rsidRDefault="00993FC7" w:rsidP="00CF7D6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30FE1">
              <w:rPr>
                <w:rFonts w:ascii="Times New Roman" w:hAnsi="Times New Roman" w:cs="Times New Roman"/>
                <w:i/>
                <w:iCs/>
                <w:lang w:eastAsia="zh-TW"/>
              </w:rPr>
              <w:t>α</w:t>
            </w:r>
            <w:r w:rsidRPr="00930FE1">
              <w:rPr>
                <w:rFonts w:ascii="Times New Roman" w:hAnsi="Times New Roman" w:cs="Times New Roman"/>
                <w:lang w:eastAsia="zh-TW"/>
              </w:rPr>
              <w:t xml:space="preserve"> ≥ 0, </w:t>
            </w:r>
            <w:r w:rsidRPr="00930FE1">
              <w:rPr>
                <w:rFonts w:ascii="Times New Roman" w:hAnsi="Times New Roman" w:cs="Times New Roman"/>
                <w:i/>
                <w:iCs/>
                <w:lang w:eastAsia="zh-TW"/>
              </w:rPr>
              <w:t xml:space="preserve">β </w:t>
            </w:r>
            <w:r w:rsidRPr="00930FE1">
              <w:rPr>
                <w:rFonts w:ascii="Times New Roman" w:hAnsi="Times New Roman" w:cs="Times New Roman"/>
                <w:lang w:eastAsia="zh-TW"/>
              </w:rPr>
              <w:t>&gt; 0</w:t>
            </w:r>
          </w:p>
        </w:tc>
      </w:tr>
    </w:tbl>
    <w:p w:rsidR="00993FC7" w:rsidRPr="00CC1490" w:rsidRDefault="00993FC7" w:rsidP="00C44E6A">
      <w:pPr>
        <w:widowControl/>
        <w:adjustRightInd w:val="0"/>
        <w:snapToGrid w:val="0"/>
        <w:spacing w:line="360" w:lineRule="auto"/>
        <w:ind w:leftChars="50" w:left="142" w:hangingChars="9" w:hanging="22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zh-TW"/>
        </w:rPr>
      </w:pP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>Parameter meaning</w:t>
      </w:r>
      <w:r w:rsidRPr="00CC1490">
        <w:rPr>
          <w:rFonts w:ascii="Times New Roman" w:hAnsi="Times New Roman" w:cs="Times New Roman" w:hint="eastAsia"/>
          <w:bCs/>
          <w:color w:val="000000" w:themeColor="text1"/>
          <w:lang w:eastAsia="zh-TW"/>
        </w:rPr>
        <w:t>s: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</w:t>
      </w:r>
      <w:r w:rsidRPr="00CC1490">
        <w:rPr>
          <w:rFonts w:ascii="Times New Roman" w:hAnsi="Times New Roman" w:cs="Times New Roman" w:hint="eastAsia"/>
          <w:bCs/>
          <w:i/>
          <w:color w:val="000000" w:themeColor="text1"/>
          <w:lang w:eastAsia="zh-TW"/>
        </w:rPr>
        <w:t>d</w:t>
      </w:r>
      <w:r w:rsidRPr="00CC1490">
        <w:rPr>
          <w:rFonts w:ascii="Times New Roman" w:hAnsi="Times New Roman" w:cs="Times New Roman" w:hint="eastAsia"/>
          <w:bCs/>
          <w:color w:val="000000" w:themeColor="text1"/>
          <w:lang w:eastAsia="zh-TW"/>
        </w:rPr>
        <w:t xml:space="preserve"> is the dose; </w:t>
      </w:r>
      <w:r w:rsidRPr="00CC1490">
        <w:rPr>
          <w:rFonts w:ascii="Times New Roman" w:hAnsi="Times New Roman" w:cs="Times New Roman"/>
          <w:bCs/>
          <w:i/>
          <w:iCs/>
          <w:color w:val="000000" w:themeColor="text1"/>
          <w:lang w:eastAsia="zh-TW"/>
        </w:rPr>
        <w:t>α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is </w:t>
      </w:r>
      <w:r w:rsidRPr="00CC1490">
        <w:rPr>
          <w:rFonts w:ascii="Times New Roman" w:hAnsi="Times New Roman" w:cs="Times New Roman" w:hint="eastAsia"/>
          <w:bCs/>
          <w:color w:val="000000" w:themeColor="text1"/>
          <w:lang w:eastAsia="zh-TW"/>
        </w:rPr>
        <w:t xml:space="preserve">the 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power; </w:t>
      </w:r>
      <w:r w:rsidRPr="00CC1490">
        <w:rPr>
          <w:rFonts w:ascii="Times New Roman" w:hAnsi="Times New Roman" w:cs="Times New Roman"/>
          <w:bCs/>
          <w:i/>
          <w:iCs/>
          <w:color w:val="000000" w:themeColor="text1"/>
          <w:lang w:eastAsia="zh-TW"/>
        </w:rPr>
        <w:t>β</w:t>
      </w:r>
      <w:r w:rsidRPr="00CC1490">
        <w:rPr>
          <w:rFonts w:ascii="Times New Roman" w:hAnsi="Times New Roman" w:cs="Times New Roman"/>
          <w:bCs/>
          <w:color w:val="000000" w:themeColor="text1"/>
          <w:vertAlign w:val="subscript"/>
          <w:lang w:eastAsia="zh-TW"/>
        </w:rPr>
        <w:t>0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is </w:t>
      </w:r>
      <w:r w:rsidRPr="00CC1490">
        <w:rPr>
          <w:rFonts w:ascii="Times New Roman" w:hAnsi="Times New Roman" w:cs="Times New Roman" w:hint="eastAsia"/>
          <w:bCs/>
          <w:color w:val="000000" w:themeColor="text1"/>
          <w:lang w:eastAsia="zh-TW"/>
        </w:rPr>
        <w:t>the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intercept; </w:t>
      </w:r>
      <w:r w:rsidRPr="00CC1490">
        <w:rPr>
          <w:rFonts w:ascii="Times New Roman" w:hAnsi="Times New Roman" w:cs="Times New Roman"/>
          <w:bCs/>
          <w:i/>
          <w:iCs/>
          <w:color w:val="000000" w:themeColor="text1"/>
          <w:lang w:eastAsia="zh-TW"/>
        </w:rPr>
        <w:t>β</w:t>
      </w:r>
      <w:r w:rsidRPr="00CC1490">
        <w:rPr>
          <w:rFonts w:ascii="Times New Roman" w:hAnsi="Times New Roman" w:cs="Times New Roman"/>
          <w:bCs/>
          <w:color w:val="000000" w:themeColor="text1"/>
          <w:vertAlign w:val="subscript"/>
          <w:lang w:eastAsia="zh-TW"/>
        </w:rPr>
        <w:t>1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is </w:t>
      </w:r>
      <w:r w:rsidRPr="00CC1490">
        <w:rPr>
          <w:rFonts w:ascii="Times New Roman" w:hAnsi="Times New Roman" w:cs="Times New Roman" w:hint="eastAsia"/>
          <w:bCs/>
          <w:color w:val="000000" w:themeColor="text1"/>
          <w:lang w:eastAsia="zh-TW"/>
        </w:rPr>
        <w:t>the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slope; γ is </w:t>
      </w:r>
      <w:r w:rsidRPr="00CC1490">
        <w:rPr>
          <w:rFonts w:ascii="Times New Roman" w:hAnsi="Times New Roman" w:cs="Times New Roman" w:hint="eastAsia"/>
          <w:bCs/>
          <w:color w:val="000000" w:themeColor="text1"/>
          <w:lang w:eastAsia="zh-TW"/>
        </w:rPr>
        <w:t>the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background; </w:t>
      </w:r>
      <w:r w:rsidRPr="00CC1490">
        <w:rPr>
          <w:rFonts w:ascii="Times New Roman" w:hAnsi="Times New Roman" w:cs="Times New Roman"/>
          <w:bCs/>
          <w:i/>
          <w:iCs/>
          <w:color w:val="000000" w:themeColor="text1"/>
          <w:lang w:eastAsia="zh-TW"/>
        </w:rPr>
        <w:t>v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is the maximum probability of response predicted by the dichotomous Hill model; </w:t>
      </w:r>
      <w:r w:rsidRPr="00CC1490">
        <w:rPr>
          <w:rFonts w:ascii="Times New Roman" w:hAnsi="Times New Roman" w:cs="Times New Roman"/>
          <w:bCs/>
          <w:i/>
          <w:iCs/>
          <w:color w:val="000000" w:themeColor="text1"/>
          <w:lang w:eastAsia="zh-TW"/>
        </w:rPr>
        <w:t>g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multiplied by </w:t>
      </w:r>
      <w:r w:rsidRPr="00CC1490">
        <w:rPr>
          <w:rFonts w:ascii="Times New Roman" w:hAnsi="Times New Roman" w:cs="Times New Roman"/>
          <w:bCs/>
          <w:i/>
          <w:iCs/>
          <w:color w:val="000000" w:themeColor="text1"/>
          <w:lang w:eastAsia="zh-TW"/>
        </w:rPr>
        <w:t>v</w:t>
      </w:r>
      <w:r w:rsidRPr="00CC1490">
        <w:rPr>
          <w:rFonts w:ascii="Times New Roman" w:hAnsi="Times New Roman" w:cs="Times New Roman"/>
          <w:bCs/>
          <w:color w:val="000000" w:themeColor="text1"/>
          <w:lang w:eastAsia="zh-TW"/>
        </w:rPr>
        <w:t xml:space="preserve"> is the background probability of response.</w:t>
      </w:r>
    </w:p>
    <w:p w:rsidR="00993FC7" w:rsidRPr="00930FE1" w:rsidRDefault="00993FC7" w:rsidP="00993FC7">
      <w:pPr>
        <w:widowControl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zh-TW"/>
        </w:rPr>
      </w:pPr>
    </w:p>
    <w:p w:rsidR="00993FC7" w:rsidRPr="00930FE1" w:rsidRDefault="00993FC7" w:rsidP="00993FC7">
      <w:pPr>
        <w:widowControl/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zh-TW"/>
        </w:rPr>
      </w:pPr>
    </w:p>
    <w:p w:rsidR="00B8131F" w:rsidRDefault="00697CAF" w:rsidP="00697CAF">
      <w:pPr>
        <w:widowControl/>
        <w:adjustRightInd w:val="0"/>
        <w:snapToGrid w:val="0"/>
        <w:spacing w:line="360" w:lineRule="auto"/>
        <w:jc w:val="both"/>
      </w:pPr>
      <w:bookmarkStart w:id="0" w:name="_GoBack"/>
      <w:bookmarkEnd w:id="0"/>
      <w:r>
        <w:t xml:space="preserve"> </w:t>
      </w:r>
    </w:p>
    <w:sectPr w:rsidR="00B8131F" w:rsidSect="00B33093">
      <w:headerReference w:type="default" r:id="rId24"/>
      <w:footerReference w:type="even" r:id="rId25"/>
      <w:footerReference w:type="default" r:id="rId26"/>
      <w:pgSz w:w="11906" w:h="16838"/>
      <w:pgMar w:top="1440" w:right="1800" w:bottom="1440" w:left="1800" w:header="720" w:footer="720" w:gutter="0"/>
      <w:cols w:space="720"/>
      <w:docGrid w:type="lines"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94" w:rsidRDefault="00450D94" w:rsidP="00596F0F">
      <w:r>
        <w:separator/>
      </w:r>
    </w:p>
  </w:endnote>
  <w:endnote w:type="continuationSeparator" w:id="0">
    <w:p w:rsidR="00450D94" w:rsidRDefault="00450D94" w:rsidP="0059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2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93" w:rsidRDefault="00F03910" w:rsidP="00CF7D6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0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093" w:rsidRDefault="00B330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93" w:rsidRDefault="00B33093" w:rsidP="00CF7D68">
    <w:pPr>
      <w:pStyle w:val="a5"/>
      <w:framePr w:wrap="around" w:vAnchor="text" w:hAnchor="margin" w:xAlign="center" w:y="1"/>
      <w:rPr>
        <w:rStyle w:val="a8"/>
        <w:lang w:eastAsia="zh-TW"/>
      </w:rPr>
    </w:pPr>
  </w:p>
  <w:p w:rsidR="00B33093" w:rsidRDefault="00B330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94" w:rsidRDefault="00450D94" w:rsidP="00596F0F">
      <w:r>
        <w:separator/>
      </w:r>
    </w:p>
  </w:footnote>
  <w:footnote w:type="continuationSeparator" w:id="0">
    <w:p w:rsidR="00450D94" w:rsidRDefault="00450D94" w:rsidP="0059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93" w:rsidRDefault="00F03910">
    <w:pPr>
      <w:pStyle w:val="a3"/>
      <w:jc w:val="right"/>
    </w:pPr>
    <w:r w:rsidRPr="00F03910">
      <w:fldChar w:fldCharType="begin"/>
    </w:r>
    <w:r w:rsidR="00B33093">
      <w:instrText xml:space="preserve"> PAGE   \* MERGEFORMAT </w:instrText>
    </w:r>
    <w:r w:rsidRPr="00F03910">
      <w:fldChar w:fldCharType="separate"/>
    </w:r>
    <w:r w:rsidR="00A8435A" w:rsidRPr="00A8435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33093" w:rsidRDefault="00B33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FC7"/>
    <w:rsid w:val="000C62D1"/>
    <w:rsid w:val="001263D0"/>
    <w:rsid w:val="0017327E"/>
    <w:rsid w:val="0040376D"/>
    <w:rsid w:val="00425577"/>
    <w:rsid w:val="00450D94"/>
    <w:rsid w:val="004B2AFD"/>
    <w:rsid w:val="00541083"/>
    <w:rsid w:val="00596F0F"/>
    <w:rsid w:val="00605191"/>
    <w:rsid w:val="00697CAF"/>
    <w:rsid w:val="00974AD7"/>
    <w:rsid w:val="00993FC7"/>
    <w:rsid w:val="00A22C5F"/>
    <w:rsid w:val="00A51DBD"/>
    <w:rsid w:val="00A8435A"/>
    <w:rsid w:val="00AF0F72"/>
    <w:rsid w:val="00B0409B"/>
    <w:rsid w:val="00B33093"/>
    <w:rsid w:val="00B428B1"/>
    <w:rsid w:val="00B8131F"/>
    <w:rsid w:val="00C43411"/>
    <w:rsid w:val="00C44E6A"/>
    <w:rsid w:val="00CC1490"/>
    <w:rsid w:val="00CF7D68"/>
    <w:rsid w:val="00D35630"/>
    <w:rsid w:val="00D50AD0"/>
    <w:rsid w:val="00D90DAB"/>
    <w:rsid w:val="00DE7A9D"/>
    <w:rsid w:val="00E7774E"/>
    <w:rsid w:val="00EB356B"/>
    <w:rsid w:val="00F03910"/>
    <w:rsid w:val="00F26D3C"/>
    <w:rsid w:val="00F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7"/>
    <w:pPr>
      <w:widowControl w:val="0"/>
      <w:suppressAutoHyphens/>
    </w:pPr>
    <w:rPr>
      <w:rFonts w:ascii="Calibri" w:eastAsia="PMingLiU" w:hAnsi="Calibri" w:cs="font292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FC7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FC7"/>
    <w:rPr>
      <w:rFonts w:ascii="Calibri" w:eastAsia="PMingLiU" w:hAnsi="Calibri" w:cs="font292"/>
      <w:kern w:val="1"/>
      <w:sz w:val="20"/>
      <w:szCs w:val="20"/>
      <w:lang w:eastAsia="ar-SA"/>
    </w:rPr>
  </w:style>
  <w:style w:type="paragraph" w:styleId="a5">
    <w:name w:val="footer"/>
    <w:basedOn w:val="a"/>
    <w:link w:val="a6"/>
    <w:rsid w:val="00993FC7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93FC7"/>
    <w:rPr>
      <w:rFonts w:ascii="Calibri" w:eastAsia="PMingLiU" w:hAnsi="Calibri" w:cs="font292"/>
      <w:kern w:val="1"/>
      <w:sz w:val="20"/>
      <w:szCs w:val="20"/>
      <w:lang w:eastAsia="ar-SA"/>
    </w:rPr>
  </w:style>
  <w:style w:type="paragraph" w:styleId="a7">
    <w:name w:val="Normal Indent"/>
    <w:basedOn w:val="a"/>
    <w:rsid w:val="00993FC7"/>
    <w:pPr>
      <w:suppressAutoHyphens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MingLiU" w:hAnsi="Times New Roman" w:cs="Times New Roman"/>
      <w:kern w:val="0"/>
      <w:szCs w:val="20"/>
      <w:lang w:eastAsia="zh-TW"/>
    </w:rPr>
  </w:style>
  <w:style w:type="paragraph" w:customStyle="1" w:styleId="tabword">
    <w:name w:val="tabword"/>
    <w:basedOn w:val="a"/>
    <w:rsid w:val="00993FC7"/>
    <w:pPr>
      <w:suppressAutoHyphens w:val="0"/>
      <w:adjustRightInd w:val="0"/>
      <w:spacing w:line="280" w:lineRule="atLeast"/>
      <w:textAlignment w:val="baseline"/>
    </w:pPr>
    <w:rPr>
      <w:rFonts w:ascii="Times New Roman" w:eastAsia="MingLiU" w:hAnsi="Times New Roman" w:cs="Times New Roman"/>
      <w:spacing w:val="20"/>
      <w:kern w:val="0"/>
      <w:szCs w:val="20"/>
      <w:lang w:eastAsia="zh-TW"/>
    </w:rPr>
  </w:style>
  <w:style w:type="character" w:styleId="a8">
    <w:name w:val="page number"/>
    <w:basedOn w:val="a0"/>
    <w:rsid w:val="00993FC7"/>
  </w:style>
  <w:style w:type="table" w:customStyle="1" w:styleId="PlainTable11">
    <w:name w:val="Plain Table 11"/>
    <w:basedOn w:val="a1"/>
    <w:uiPriority w:val="41"/>
    <w:rsid w:val="00A51DB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59"/>
    <w:rsid w:val="00A51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Liao</dc:creator>
  <cp:lastModifiedBy>CM Liao</cp:lastModifiedBy>
  <cp:revision>2</cp:revision>
  <dcterms:created xsi:type="dcterms:W3CDTF">2017-04-13T00:21:00Z</dcterms:created>
  <dcterms:modified xsi:type="dcterms:W3CDTF">2017-04-13T00:21:00Z</dcterms:modified>
</cp:coreProperties>
</file>