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2911E" w14:textId="77777777" w:rsidR="00D24277" w:rsidRPr="002D7ECA" w:rsidRDefault="00D24277" w:rsidP="00D24277">
      <w:pPr>
        <w:rPr>
          <w:rFonts w:ascii="Times New Roman" w:hAnsi="Times New Roman" w:cs="Times New Roman"/>
          <w:b/>
          <w:sz w:val="24"/>
          <w:szCs w:val="24"/>
          <w:u w:val="single"/>
          <w:lang w:val="en-US"/>
        </w:rPr>
      </w:pPr>
      <w:r w:rsidRPr="002D7ECA">
        <w:rPr>
          <w:rFonts w:ascii="Times New Roman" w:hAnsi="Times New Roman" w:cs="Times New Roman"/>
          <w:b/>
          <w:sz w:val="24"/>
          <w:szCs w:val="24"/>
          <w:u w:val="single"/>
          <w:lang w:val="en-US"/>
        </w:rPr>
        <w:t>Additional file 1: Detailed inclusion and exclusion criteria of Study 1 and Study 2</w:t>
      </w:r>
    </w:p>
    <w:p w14:paraId="2755DBA1" w14:textId="77777777" w:rsidR="00D24277" w:rsidRPr="00912664" w:rsidRDefault="00D24277" w:rsidP="00D24277">
      <w:pPr>
        <w:pBdr>
          <w:bottom w:val="single" w:sz="4" w:space="1" w:color="auto"/>
        </w:pBdr>
        <w:spacing w:line="276" w:lineRule="auto"/>
        <w:rPr>
          <w:rFonts w:ascii="Times New Roman" w:hAnsi="Times New Roman" w:cs="Times New Roman"/>
          <w:b/>
          <w:sz w:val="24"/>
          <w:szCs w:val="24"/>
          <w:lang w:val="en-US"/>
        </w:rPr>
      </w:pPr>
      <w:r w:rsidRPr="00912664">
        <w:rPr>
          <w:rFonts w:ascii="Times New Roman" w:hAnsi="Times New Roman" w:cs="Times New Roman"/>
          <w:b/>
          <w:sz w:val="24"/>
          <w:szCs w:val="24"/>
          <w:lang w:val="en-US"/>
        </w:rPr>
        <w:t>Study 1:</w:t>
      </w:r>
    </w:p>
    <w:p w14:paraId="23D77E04" w14:textId="77777777" w:rsidR="00D24277" w:rsidRPr="00912664" w:rsidRDefault="00D24277" w:rsidP="00D24277">
      <w:pPr>
        <w:spacing w:line="276" w:lineRule="auto"/>
        <w:rPr>
          <w:rFonts w:ascii="Times New Roman" w:hAnsi="Times New Roman" w:cs="Times New Roman"/>
          <w:b/>
          <w:sz w:val="24"/>
          <w:szCs w:val="24"/>
          <w:lang w:val="en-US"/>
        </w:rPr>
      </w:pPr>
    </w:p>
    <w:p w14:paraId="1D0A20B8" w14:textId="77777777" w:rsidR="00D24277" w:rsidRPr="009106A8" w:rsidRDefault="00D24277" w:rsidP="00D24277">
      <w:pPr>
        <w:autoSpaceDE w:val="0"/>
        <w:autoSpaceDN w:val="0"/>
        <w:adjustRightInd w:val="0"/>
        <w:spacing w:line="276" w:lineRule="auto"/>
        <w:rPr>
          <w:rFonts w:ascii="Times New Roman" w:hAnsi="Times New Roman" w:cs="Times New Roman"/>
          <w:b/>
          <w:bCs/>
          <w:color w:val="000000"/>
          <w:sz w:val="24"/>
          <w:szCs w:val="24"/>
          <w:u w:val="single"/>
          <w:lang w:val="en-US"/>
        </w:rPr>
      </w:pPr>
      <w:r w:rsidRPr="009106A8">
        <w:rPr>
          <w:rFonts w:ascii="Times New Roman" w:hAnsi="Times New Roman" w:cs="Times New Roman"/>
          <w:b/>
          <w:bCs/>
          <w:color w:val="000000"/>
          <w:sz w:val="24"/>
          <w:szCs w:val="24"/>
          <w:u w:val="single"/>
          <w:lang w:val="en-US"/>
        </w:rPr>
        <w:t>Inclusion criteria</w:t>
      </w:r>
      <w:r>
        <w:rPr>
          <w:rFonts w:ascii="Times New Roman" w:hAnsi="Times New Roman" w:cs="Times New Roman"/>
          <w:b/>
          <w:bCs/>
          <w:color w:val="000000"/>
          <w:sz w:val="24"/>
          <w:szCs w:val="24"/>
          <w:u w:val="single"/>
          <w:lang w:val="en-US"/>
        </w:rPr>
        <w:t xml:space="preserve"> of Study 1:</w:t>
      </w:r>
    </w:p>
    <w:p w14:paraId="2895EE57" w14:textId="77777777" w:rsidR="00D24277" w:rsidRDefault="00D24277" w:rsidP="00D24277">
      <w:pPr>
        <w:autoSpaceDE w:val="0"/>
        <w:autoSpaceDN w:val="0"/>
        <w:adjustRightInd w:val="0"/>
        <w:spacing w:line="276" w:lineRule="auto"/>
        <w:rPr>
          <w:rFonts w:ascii="Times New Roman" w:hAnsi="Times New Roman" w:cs="Times New Roman"/>
          <w:b/>
          <w:bCs/>
          <w:color w:val="000000"/>
          <w:sz w:val="24"/>
          <w:szCs w:val="24"/>
          <w:lang w:val="en-US"/>
        </w:rPr>
      </w:pPr>
    </w:p>
    <w:tbl>
      <w:tblPr>
        <w:tblStyle w:val="Tabellenraster"/>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2"/>
        <w:gridCol w:w="142"/>
        <w:gridCol w:w="1270"/>
        <w:gridCol w:w="1151"/>
        <w:gridCol w:w="5103"/>
        <w:gridCol w:w="61"/>
      </w:tblGrid>
      <w:tr w:rsidR="00D24277" w:rsidRPr="008379AC" w14:paraId="4B8650E6" w14:textId="77777777" w:rsidTr="00D04B3B">
        <w:tc>
          <w:tcPr>
            <w:tcW w:w="1952" w:type="dxa"/>
          </w:tcPr>
          <w:p w14:paraId="1AE53BA0" w14:textId="77777777" w:rsidR="00D24277" w:rsidRPr="00D62E6D" w:rsidRDefault="00D24277" w:rsidP="00D04B3B">
            <w:pPr>
              <w:widowControl w:val="0"/>
              <w:autoSpaceDE w:val="0"/>
              <w:autoSpaceDN w:val="0"/>
              <w:adjustRightInd w:val="0"/>
              <w:spacing w:before="60" w:after="60" w:line="276" w:lineRule="auto"/>
              <w:rPr>
                <w:rFonts w:ascii="Times New Roman" w:hAnsi="Times New Roman" w:cs="Times New Roman"/>
                <w:b/>
                <w:color w:val="000000"/>
                <w:lang w:val="en-US"/>
              </w:rPr>
            </w:pPr>
            <w:r w:rsidRPr="00D62E6D">
              <w:rPr>
                <w:rFonts w:ascii="Times New Roman" w:hAnsi="Times New Roman" w:cs="Times New Roman"/>
                <w:b/>
                <w:color w:val="000000"/>
                <w:lang w:val="en-US"/>
              </w:rPr>
              <w:t>General criteria:</w:t>
            </w:r>
          </w:p>
        </w:tc>
        <w:tc>
          <w:tcPr>
            <w:tcW w:w="7727" w:type="dxa"/>
            <w:gridSpan w:val="5"/>
            <w:vAlign w:val="center"/>
          </w:tcPr>
          <w:p w14:paraId="672D2F8E"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 xml:space="preserve">Patients diagnosed with </w:t>
            </w:r>
            <w:r w:rsidRPr="00D62E6D">
              <w:rPr>
                <w:rFonts w:ascii="Times New Roman" w:hAnsi="Times New Roman" w:cs="Times New Roman"/>
                <w:i/>
                <w:iCs/>
                <w:color w:val="000000"/>
                <w:lang w:val="en-US"/>
              </w:rPr>
              <w:t xml:space="preserve">P. falciparum </w:t>
            </w:r>
            <w:r w:rsidRPr="00D62E6D">
              <w:rPr>
                <w:rFonts w:ascii="Times New Roman" w:hAnsi="Times New Roman" w:cs="Times New Roman"/>
                <w:color w:val="000000"/>
                <w:lang w:val="en-US"/>
              </w:rPr>
              <w:t>malaria microscopically confirmed in blood smear</w:t>
            </w:r>
          </w:p>
        </w:tc>
      </w:tr>
      <w:tr w:rsidR="00D24277" w:rsidRPr="008379AC" w14:paraId="5FDF76DB" w14:textId="77777777" w:rsidTr="00D04B3B">
        <w:tc>
          <w:tcPr>
            <w:tcW w:w="1952" w:type="dxa"/>
          </w:tcPr>
          <w:p w14:paraId="7ADA5A1F"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7727" w:type="dxa"/>
            <w:gridSpan w:val="5"/>
            <w:vAlign w:val="center"/>
          </w:tcPr>
          <w:p w14:paraId="25C05DE9"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 xml:space="preserve">Fever or history of fever within the last 24 hours before administration: auricular or rectal temperature </w:t>
            </w:r>
            <w:r w:rsidRPr="00D62E6D">
              <w:rPr>
                <w:rFonts w:ascii="Times New Roman" w:eastAsia="TimesNewRomanPSMT" w:hAnsi="Times New Roman" w:cs="Times New Roman"/>
                <w:color w:val="000000"/>
                <w:lang w:val="en-US"/>
              </w:rPr>
              <w:t>≥</w:t>
            </w:r>
            <w:r w:rsidRPr="00D62E6D">
              <w:rPr>
                <w:rFonts w:ascii="Times New Roman" w:hAnsi="Times New Roman" w:cs="Times New Roman"/>
                <w:color w:val="000000"/>
                <w:lang w:val="en-US"/>
              </w:rPr>
              <w:t xml:space="preserve">38°C </w:t>
            </w:r>
          </w:p>
        </w:tc>
      </w:tr>
      <w:tr w:rsidR="00D24277" w:rsidRPr="008379AC" w14:paraId="654141C9" w14:textId="77777777" w:rsidTr="00D04B3B">
        <w:tc>
          <w:tcPr>
            <w:tcW w:w="1952" w:type="dxa"/>
          </w:tcPr>
          <w:p w14:paraId="1ADF86C7"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7727" w:type="dxa"/>
            <w:gridSpan w:val="5"/>
            <w:vAlign w:val="center"/>
          </w:tcPr>
          <w:p w14:paraId="0C424442"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Signed informed consent by patient with legal majority</w:t>
            </w:r>
          </w:p>
        </w:tc>
      </w:tr>
      <w:tr w:rsidR="00D24277" w:rsidRPr="008379AC" w14:paraId="4A8DEAB5" w14:textId="77777777" w:rsidTr="00D04B3B">
        <w:tc>
          <w:tcPr>
            <w:tcW w:w="1952" w:type="dxa"/>
          </w:tcPr>
          <w:p w14:paraId="1385A380"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7727" w:type="dxa"/>
            <w:gridSpan w:val="5"/>
            <w:vAlign w:val="center"/>
          </w:tcPr>
          <w:p w14:paraId="08DE130F"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Signed informed consent by parent/legal guardian of pediatric patient or patient with no legal majority</w:t>
            </w:r>
          </w:p>
        </w:tc>
      </w:tr>
      <w:tr w:rsidR="00D24277" w:rsidRPr="008379AC" w14:paraId="49AE06D7" w14:textId="77777777" w:rsidTr="00D04B3B">
        <w:tblPrEx>
          <w:tblCellMar>
            <w:left w:w="70" w:type="dxa"/>
            <w:right w:w="70" w:type="dxa"/>
          </w:tblCellMar>
          <w:tblLook w:val="0000" w:firstRow="0" w:lastRow="0" w:firstColumn="0" w:lastColumn="0" w:noHBand="0" w:noVBand="0"/>
        </w:tblPrEx>
        <w:tc>
          <w:tcPr>
            <w:tcW w:w="2094" w:type="dxa"/>
            <w:gridSpan w:val="2"/>
          </w:tcPr>
          <w:p w14:paraId="41720DCD"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1270" w:type="dxa"/>
          </w:tcPr>
          <w:p w14:paraId="4F884877"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6315" w:type="dxa"/>
            <w:gridSpan w:val="3"/>
          </w:tcPr>
          <w:p w14:paraId="3A50D2A6" w14:textId="77777777" w:rsidR="00D24277" w:rsidRPr="00D62E6D" w:rsidRDefault="00D24277" w:rsidP="00D04B3B">
            <w:pPr>
              <w:pStyle w:val="Listenabsatz"/>
              <w:widowControl w:val="0"/>
              <w:autoSpaceDE w:val="0"/>
              <w:autoSpaceDN w:val="0"/>
              <w:adjustRightInd w:val="0"/>
              <w:spacing w:before="60" w:after="60" w:line="276" w:lineRule="auto"/>
              <w:ind w:left="318"/>
              <w:rPr>
                <w:rFonts w:ascii="Times New Roman" w:hAnsi="Times New Roman" w:cs="Times New Roman"/>
                <w:color w:val="000000"/>
                <w:lang w:val="en-US"/>
              </w:rPr>
            </w:pPr>
          </w:p>
        </w:tc>
      </w:tr>
      <w:tr w:rsidR="00D24277" w:rsidRPr="00D62E6D" w14:paraId="48CEDD30" w14:textId="77777777" w:rsidTr="00D04B3B">
        <w:tblPrEx>
          <w:tblCellMar>
            <w:left w:w="70" w:type="dxa"/>
            <w:right w:w="70" w:type="dxa"/>
          </w:tblCellMar>
          <w:tblLook w:val="0000" w:firstRow="0" w:lastRow="0" w:firstColumn="0" w:lastColumn="0" w:noHBand="0" w:noVBand="0"/>
        </w:tblPrEx>
        <w:tc>
          <w:tcPr>
            <w:tcW w:w="2094" w:type="dxa"/>
            <w:gridSpan w:val="2"/>
          </w:tcPr>
          <w:p w14:paraId="34494C75"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r w:rsidRPr="00D62E6D">
              <w:rPr>
                <w:rFonts w:ascii="Times New Roman" w:hAnsi="Times New Roman" w:cs="Times New Roman"/>
                <w:b/>
                <w:bCs/>
                <w:color w:val="000000"/>
                <w:lang w:val="en-US"/>
              </w:rPr>
              <w:t xml:space="preserve">Specific criteria: </w:t>
            </w:r>
          </w:p>
        </w:tc>
        <w:tc>
          <w:tcPr>
            <w:tcW w:w="1270" w:type="dxa"/>
          </w:tcPr>
          <w:p w14:paraId="7B0702FC"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r w:rsidRPr="00D62E6D">
              <w:rPr>
                <w:rFonts w:ascii="Times New Roman" w:hAnsi="Times New Roman" w:cs="Times New Roman"/>
                <w:b/>
                <w:bCs/>
                <w:color w:val="000000"/>
                <w:lang w:val="en-US"/>
              </w:rPr>
              <w:t xml:space="preserve">Cohort 1: </w:t>
            </w:r>
          </w:p>
        </w:tc>
        <w:tc>
          <w:tcPr>
            <w:tcW w:w="6315" w:type="dxa"/>
            <w:gridSpan w:val="3"/>
          </w:tcPr>
          <w:p w14:paraId="570A7F9F"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Age: ≥18 years to ≤65 years</w:t>
            </w:r>
          </w:p>
        </w:tc>
      </w:tr>
      <w:tr w:rsidR="00D24277" w:rsidRPr="00D62E6D" w14:paraId="70E7E86A" w14:textId="77777777" w:rsidTr="00D04B3B">
        <w:tblPrEx>
          <w:tblCellMar>
            <w:left w:w="70" w:type="dxa"/>
            <w:right w:w="70" w:type="dxa"/>
          </w:tblCellMar>
          <w:tblLook w:val="0000" w:firstRow="0" w:lastRow="0" w:firstColumn="0" w:lastColumn="0" w:noHBand="0" w:noVBand="0"/>
        </w:tblPrEx>
        <w:tc>
          <w:tcPr>
            <w:tcW w:w="2094" w:type="dxa"/>
            <w:gridSpan w:val="2"/>
          </w:tcPr>
          <w:p w14:paraId="43085FE4"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1270" w:type="dxa"/>
          </w:tcPr>
          <w:p w14:paraId="3353856C"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6315" w:type="dxa"/>
            <w:gridSpan w:val="3"/>
          </w:tcPr>
          <w:p w14:paraId="263240AD"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Body weight: ≥50 kg</w:t>
            </w:r>
          </w:p>
        </w:tc>
      </w:tr>
      <w:tr w:rsidR="00D24277" w:rsidRPr="008379AC" w14:paraId="3D2B8718" w14:textId="77777777" w:rsidTr="00D04B3B">
        <w:tblPrEx>
          <w:tblCellMar>
            <w:left w:w="70" w:type="dxa"/>
            <w:right w:w="70" w:type="dxa"/>
          </w:tblCellMar>
          <w:tblLook w:val="0000" w:firstRow="0" w:lastRow="0" w:firstColumn="0" w:lastColumn="0" w:noHBand="0" w:noVBand="0"/>
        </w:tblPrEx>
        <w:tc>
          <w:tcPr>
            <w:tcW w:w="2094" w:type="dxa"/>
            <w:gridSpan w:val="2"/>
          </w:tcPr>
          <w:p w14:paraId="0BCC13DC"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1270" w:type="dxa"/>
          </w:tcPr>
          <w:p w14:paraId="2F22A162"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6315" w:type="dxa"/>
            <w:gridSpan w:val="3"/>
          </w:tcPr>
          <w:p w14:paraId="5E960ADC"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 xml:space="preserve">Symptomatic uncomplicated malaria defined as asexual parasitemia: </w:t>
            </w:r>
            <w:r w:rsidRPr="00D62E6D">
              <w:rPr>
                <w:rFonts w:ascii="Times New Roman" w:hAnsi="Times New Roman" w:cs="Times New Roman"/>
                <w:i/>
                <w:color w:val="000000"/>
                <w:lang w:val="en-US"/>
              </w:rPr>
              <w:t>P. falciparum</w:t>
            </w:r>
            <w:r w:rsidRPr="00D62E6D">
              <w:rPr>
                <w:rFonts w:ascii="Times New Roman" w:hAnsi="Times New Roman" w:cs="Times New Roman"/>
                <w:color w:val="000000"/>
                <w:lang w:val="en-US"/>
              </w:rPr>
              <w:t xml:space="preserve"> ≥100 parasites/μL</w:t>
            </w:r>
          </w:p>
        </w:tc>
      </w:tr>
      <w:tr w:rsidR="00D24277" w:rsidRPr="00D62E6D" w14:paraId="1032C266" w14:textId="77777777" w:rsidTr="00D04B3B">
        <w:trPr>
          <w:gridAfter w:val="1"/>
          <w:wAfter w:w="61" w:type="dxa"/>
        </w:trPr>
        <w:tc>
          <w:tcPr>
            <w:tcW w:w="2094" w:type="dxa"/>
            <w:gridSpan w:val="2"/>
          </w:tcPr>
          <w:p w14:paraId="49EA7025" w14:textId="77777777" w:rsidR="00D24277" w:rsidRPr="00D62E6D" w:rsidRDefault="00D24277" w:rsidP="00D04B3B">
            <w:pPr>
              <w:autoSpaceDE w:val="0"/>
              <w:autoSpaceDN w:val="0"/>
              <w:adjustRightInd w:val="0"/>
              <w:spacing w:before="60" w:after="60" w:line="276" w:lineRule="auto"/>
              <w:ind w:left="-142" w:firstLine="142"/>
              <w:rPr>
                <w:rFonts w:ascii="Times New Roman" w:hAnsi="Times New Roman" w:cs="Times New Roman"/>
                <w:b/>
                <w:bCs/>
                <w:color w:val="000000"/>
                <w:lang w:val="en-US"/>
              </w:rPr>
            </w:pPr>
          </w:p>
        </w:tc>
        <w:tc>
          <w:tcPr>
            <w:tcW w:w="1270" w:type="dxa"/>
          </w:tcPr>
          <w:p w14:paraId="41DD1FC5"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r w:rsidRPr="00D62E6D">
              <w:rPr>
                <w:rFonts w:ascii="Times New Roman" w:hAnsi="Times New Roman" w:cs="Times New Roman"/>
                <w:b/>
                <w:bCs/>
                <w:color w:val="000000"/>
                <w:lang w:val="en-US"/>
              </w:rPr>
              <w:t>Cohort 2:</w:t>
            </w:r>
          </w:p>
        </w:tc>
        <w:tc>
          <w:tcPr>
            <w:tcW w:w="1151" w:type="dxa"/>
          </w:tcPr>
          <w:p w14:paraId="5B18AAB9"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r w:rsidRPr="00D62E6D">
              <w:rPr>
                <w:rFonts w:ascii="Times New Roman" w:hAnsi="Times New Roman" w:cs="Times New Roman"/>
                <w:b/>
                <w:bCs/>
                <w:color w:val="000000"/>
                <w:lang w:val="en-US"/>
              </w:rPr>
              <w:t xml:space="preserve">Group 1 </w:t>
            </w:r>
          </w:p>
        </w:tc>
        <w:tc>
          <w:tcPr>
            <w:tcW w:w="5103" w:type="dxa"/>
          </w:tcPr>
          <w:p w14:paraId="5C5A5319" w14:textId="77777777" w:rsidR="00D24277" w:rsidRPr="00D62E6D" w:rsidRDefault="00D24277" w:rsidP="00D04B3B">
            <w:pPr>
              <w:pStyle w:val="Listenabsatz"/>
              <w:widowControl w:val="0"/>
              <w:numPr>
                <w:ilvl w:val="0"/>
                <w:numId w:val="4"/>
              </w:numPr>
              <w:autoSpaceDE w:val="0"/>
              <w:autoSpaceDN w:val="0"/>
              <w:adjustRightInd w:val="0"/>
              <w:spacing w:before="60" w:after="60" w:line="276" w:lineRule="auto"/>
              <w:ind w:left="339" w:right="34" w:hanging="284"/>
              <w:rPr>
                <w:rFonts w:ascii="Times New Roman" w:hAnsi="Times New Roman" w:cs="Times New Roman"/>
                <w:color w:val="000000"/>
                <w:lang w:val="en-US"/>
              </w:rPr>
            </w:pPr>
            <w:r w:rsidRPr="00D62E6D">
              <w:rPr>
                <w:rFonts w:ascii="Times New Roman" w:hAnsi="Times New Roman" w:cs="Times New Roman"/>
                <w:color w:val="000000"/>
                <w:lang w:val="en-US"/>
              </w:rPr>
              <w:t>Age: ≥ 7 years to ≤ 17 years</w:t>
            </w:r>
          </w:p>
        </w:tc>
      </w:tr>
      <w:tr w:rsidR="00D24277" w:rsidRPr="008379AC" w14:paraId="54DF9267" w14:textId="77777777" w:rsidTr="00D04B3B">
        <w:trPr>
          <w:gridAfter w:val="1"/>
          <w:wAfter w:w="61" w:type="dxa"/>
        </w:trPr>
        <w:tc>
          <w:tcPr>
            <w:tcW w:w="2094" w:type="dxa"/>
            <w:gridSpan w:val="2"/>
          </w:tcPr>
          <w:p w14:paraId="06586E24"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1270" w:type="dxa"/>
          </w:tcPr>
          <w:p w14:paraId="09861F91"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1151" w:type="dxa"/>
          </w:tcPr>
          <w:p w14:paraId="7975B1E6"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5103" w:type="dxa"/>
          </w:tcPr>
          <w:p w14:paraId="3336B58C"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 xml:space="preserve">Symptomatic uncomplicated malaria defined as asexual parasitemia: </w:t>
            </w:r>
            <w:r w:rsidRPr="00D62E6D">
              <w:rPr>
                <w:rFonts w:ascii="Times New Roman" w:hAnsi="Times New Roman" w:cs="Times New Roman"/>
                <w:i/>
                <w:color w:val="000000"/>
                <w:lang w:val="en-US"/>
              </w:rPr>
              <w:t>P. falciparum</w:t>
            </w:r>
            <w:r w:rsidRPr="00D62E6D">
              <w:rPr>
                <w:rFonts w:ascii="Times New Roman" w:hAnsi="Times New Roman" w:cs="Times New Roman"/>
                <w:color w:val="000000"/>
                <w:lang w:val="en-US"/>
              </w:rPr>
              <w:t xml:space="preserve"> ≥1,000 parasites/μL</w:t>
            </w:r>
          </w:p>
        </w:tc>
      </w:tr>
      <w:tr w:rsidR="00D24277" w:rsidRPr="00D62E6D" w14:paraId="635F7FD6" w14:textId="77777777" w:rsidTr="00D04B3B">
        <w:trPr>
          <w:gridAfter w:val="1"/>
          <w:wAfter w:w="61" w:type="dxa"/>
        </w:trPr>
        <w:tc>
          <w:tcPr>
            <w:tcW w:w="2094" w:type="dxa"/>
            <w:gridSpan w:val="2"/>
          </w:tcPr>
          <w:p w14:paraId="20004B64"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1270" w:type="dxa"/>
          </w:tcPr>
          <w:p w14:paraId="46590A3A"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1151" w:type="dxa"/>
          </w:tcPr>
          <w:p w14:paraId="60EA372C"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r w:rsidRPr="00D62E6D">
              <w:rPr>
                <w:rFonts w:ascii="Times New Roman" w:hAnsi="Times New Roman" w:cs="Times New Roman"/>
                <w:b/>
                <w:bCs/>
                <w:color w:val="000000"/>
                <w:lang w:val="en-US"/>
              </w:rPr>
              <w:t xml:space="preserve">Group 2 </w:t>
            </w:r>
          </w:p>
        </w:tc>
        <w:tc>
          <w:tcPr>
            <w:tcW w:w="5103" w:type="dxa"/>
          </w:tcPr>
          <w:p w14:paraId="1453869A" w14:textId="77777777" w:rsidR="00D24277" w:rsidRPr="00D62E6D" w:rsidRDefault="00D24277" w:rsidP="00D04B3B">
            <w:pPr>
              <w:autoSpaceDE w:val="0"/>
              <w:autoSpaceDN w:val="0"/>
              <w:adjustRightInd w:val="0"/>
              <w:spacing w:before="60" w:after="60" w:line="276" w:lineRule="auto"/>
              <w:ind w:right="34"/>
              <w:rPr>
                <w:rFonts w:ascii="Times New Roman" w:hAnsi="Times New Roman" w:cs="Times New Roman"/>
                <w:b/>
                <w:bCs/>
                <w:color w:val="000000"/>
                <w:lang w:val="en-US"/>
              </w:rPr>
            </w:pPr>
            <w:r w:rsidRPr="00D62E6D">
              <w:rPr>
                <w:rFonts w:ascii="Times New Roman" w:hAnsi="Times New Roman" w:cs="Times New Roman"/>
                <w:b/>
                <w:color w:val="000000"/>
                <w:lang w:val="en-US"/>
              </w:rPr>
              <w:t>(not recruited)</w:t>
            </w:r>
          </w:p>
        </w:tc>
      </w:tr>
      <w:tr w:rsidR="00D24277" w:rsidRPr="00D62E6D" w14:paraId="01E82DEF" w14:textId="77777777" w:rsidTr="00D04B3B">
        <w:trPr>
          <w:gridAfter w:val="1"/>
          <w:wAfter w:w="61" w:type="dxa"/>
        </w:trPr>
        <w:tc>
          <w:tcPr>
            <w:tcW w:w="2094" w:type="dxa"/>
            <w:gridSpan w:val="2"/>
          </w:tcPr>
          <w:p w14:paraId="61B80FEE"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1270" w:type="dxa"/>
          </w:tcPr>
          <w:p w14:paraId="6D47F978"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1151" w:type="dxa"/>
          </w:tcPr>
          <w:p w14:paraId="7D3A72E4"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5103" w:type="dxa"/>
          </w:tcPr>
          <w:p w14:paraId="4656903C"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Age: ≥ 6 months to &lt; 7 years</w:t>
            </w:r>
          </w:p>
        </w:tc>
      </w:tr>
      <w:tr w:rsidR="00D24277" w:rsidRPr="008379AC" w14:paraId="722D4B7B" w14:textId="77777777" w:rsidTr="00D04B3B">
        <w:trPr>
          <w:gridAfter w:val="1"/>
          <w:wAfter w:w="61" w:type="dxa"/>
        </w:trPr>
        <w:tc>
          <w:tcPr>
            <w:tcW w:w="2094" w:type="dxa"/>
            <w:gridSpan w:val="2"/>
          </w:tcPr>
          <w:p w14:paraId="4336DF06"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1270" w:type="dxa"/>
          </w:tcPr>
          <w:p w14:paraId="2B16C1AD"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1151" w:type="dxa"/>
          </w:tcPr>
          <w:p w14:paraId="2310C1D2"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5103" w:type="dxa"/>
          </w:tcPr>
          <w:p w14:paraId="54E86310"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 xml:space="preserve">Symptomatic uncomplicated malaria defined as asexual parasitemia: </w:t>
            </w:r>
            <w:r w:rsidRPr="00D62E6D">
              <w:rPr>
                <w:rFonts w:ascii="Times New Roman" w:hAnsi="Times New Roman" w:cs="Times New Roman"/>
                <w:i/>
                <w:color w:val="000000"/>
                <w:lang w:val="en-US"/>
              </w:rPr>
              <w:t>P. falciparum</w:t>
            </w:r>
            <w:r w:rsidRPr="00D62E6D">
              <w:rPr>
                <w:rFonts w:ascii="Times New Roman" w:hAnsi="Times New Roman" w:cs="Times New Roman"/>
                <w:color w:val="000000"/>
                <w:lang w:val="en-US"/>
              </w:rPr>
              <w:t xml:space="preserve"> ≥1,000 parasites/μL</w:t>
            </w:r>
          </w:p>
        </w:tc>
      </w:tr>
      <w:tr w:rsidR="00D24277" w:rsidRPr="00D62E6D" w14:paraId="0B44FE9F" w14:textId="77777777" w:rsidTr="00D04B3B">
        <w:tblPrEx>
          <w:tblCellMar>
            <w:left w:w="70" w:type="dxa"/>
            <w:right w:w="70" w:type="dxa"/>
          </w:tblCellMar>
          <w:tblLook w:val="0000" w:firstRow="0" w:lastRow="0" w:firstColumn="0" w:lastColumn="0" w:noHBand="0" w:noVBand="0"/>
        </w:tblPrEx>
        <w:tc>
          <w:tcPr>
            <w:tcW w:w="2094" w:type="dxa"/>
            <w:gridSpan w:val="2"/>
          </w:tcPr>
          <w:p w14:paraId="4EB59263"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1270" w:type="dxa"/>
          </w:tcPr>
          <w:p w14:paraId="26BDBE9A"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r w:rsidRPr="00D62E6D">
              <w:rPr>
                <w:rFonts w:ascii="Times New Roman" w:hAnsi="Times New Roman" w:cs="Times New Roman"/>
                <w:b/>
                <w:bCs/>
                <w:color w:val="000000"/>
                <w:lang w:val="en-US"/>
              </w:rPr>
              <w:t>Cohort 3:</w:t>
            </w:r>
          </w:p>
        </w:tc>
        <w:tc>
          <w:tcPr>
            <w:tcW w:w="6315" w:type="dxa"/>
            <w:gridSpan w:val="3"/>
          </w:tcPr>
          <w:p w14:paraId="5845DD3B" w14:textId="77777777" w:rsidR="00D24277" w:rsidRPr="00D62E6D" w:rsidRDefault="00D24277" w:rsidP="00D04B3B">
            <w:pPr>
              <w:widowControl w:val="0"/>
              <w:autoSpaceDE w:val="0"/>
              <w:autoSpaceDN w:val="0"/>
              <w:adjustRightInd w:val="0"/>
              <w:spacing w:before="60" w:after="60" w:line="276" w:lineRule="auto"/>
              <w:rPr>
                <w:rFonts w:ascii="Times New Roman" w:hAnsi="Times New Roman" w:cs="Times New Roman"/>
                <w:b/>
                <w:color w:val="000000"/>
                <w:lang w:val="en-US"/>
              </w:rPr>
            </w:pPr>
            <w:r w:rsidRPr="00D62E6D">
              <w:rPr>
                <w:rFonts w:ascii="Times New Roman" w:hAnsi="Times New Roman" w:cs="Times New Roman"/>
                <w:b/>
                <w:color w:val="000000"/>
                <w:lang w:val="en-US"/>
              </w:rPr>
              <w:t>(not recruited)</w:t>
            </w:r>
          </w:p>
        </w:tc>
      </w:tr>
      <w:tr w:rsidR="00D24277" w:rsidRPr="00D62E6D" w14:paraId="108A771F" w14:textId="77777777" w:rsidTr="00D04B3B">
        <w:tblPrEx>
          <w:tblCellMar>
            <w:left w:w="70" w:type="dxa"/>
            <w:right w:w="70" w:type="dxa"/>
          </w:tblCellMar>
          <w:tblLook w:val="0000" w:firstRow="0" w:lastRow="0" w:firstColumn="0" w:lastColumn="0" w:noHBand="0" w:noVBand="0"/>
        </w:tblPrEx>
        <w:tc>
          <w:tcPr>
            <w:tcW w:w="2094" w:type="dxa"/>
            <w:gridSpan w:val="2"/>
          </w:tcPr>
          <w:p w14:paraId="70E8D999"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1270" w:type="dxa"/>
          </w:tcPr>
          <w:p w14:paraId="2FF0B97F"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6315" w:type="dxa"/>
            <w:gridSpan w:val="3"/>
          </w:tcPr>
          <w:p w14:paraId="4108FACE"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eastAsia="TimesNewRomanPSMT" w:hAnsi="Times New Roman" w:cs="Times New Roman"/>
                <w:color w:val="000000"/>
                <w:lang w:val="en-US"/>
              </w:rPr>
            </w:pPr>
            <w:r w:rsidRPr="00D62E6D">
              <w:rPr>
                <w:rFonts w:ascii="Times New Roman" w:eastAsia="TimesNewRomanPSMT" w:hAnsi="Times New Roman" w:cs="Times New Roman"/>
                <w:color w:val="000000"/>
                <w:lang w:val="en-US"/>
              </w:rPr>
              <w:t xml:space="preserve">≥ </w:t>
            </w:r>
            <w:r w:rsidRPr="00D62E6D">
              <w:rPr>
                <w:rFonts w:ascii="Times New Roman" w:hAnsi="Times New Roman" w:cs="Times New Roman"/>
                <w:color w:val="000000"/>
                <w:lang w:val="en-US"/>
              </w:rPr>
              <w:t>6 months to &lt; 7 years</w:t>
            </w:r>
          </w:p>
        </w:tc>
      </w:tr>
      <w:tr w:rsidR="00D24277" w:rsidRPr="008379AC" w14:paraId="015F8DA2" w14:textId="77777777" w:rsidTr="00D04B3B">
        <w:tblPrEx>
          <w:tblCellMar>
            <w:left w:w="70" w:type="dxa"/>
            <w:right w:w="70" w:type="dxa"/>
          </w:tblCellMar>
          <w:tblLook w:val="0000" w:firstRow="0" w:lastRow="0" w:firstColumn="0" w:lastColumn="0" w:noHBand="0" w:noVBand="0"/>
        </w:tblPrEx>
        <w:tc>
          <w:tcPr>
            <w:tcW w:w="2094" w:type="dxa"/>
            <w:gridSpan w:val="2"/>
          </w:tcPr>
          <w:p w14:paraId="2B08A246"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1270" w:type="dxa"/>
          </w:tcPr>
          <w:p w14:paraId="0546323F"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6315" w:type="dxa"/>
            <w:gridSpan w:val="3"/>
          </w:tcPr>
          <w:p w14:paraId="7102540E"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eastAsia="TimesNewRomanPSMT" w:hAnsi="Times New Roman" w:cs="Times New Roman"/>
                <w:color w:val="000000"/>
                <w:lang w:val="en-US"/>
              </w:rPr>
            </w:pPr>
            <w:r w:rsidRPr="00D62E6D">
              <w:rPr>
                <w:rFonts w:ascii="Times New Roman" w:eastAsia="TimesNewRomanPSMT" w:hAnsi="Times New Roman" w:cs="Times New Roman"/>
                <w:color w:val="000000"/>
                <w:lang w:val="en-US"/>
              </w:rPr>
              <w:t>Symptoms or signs of severe malaria, defined according to WHO by the presence of one or more of the following criteria:</w:t>
            </w:r>
          </w:p>
        </w:tc>
      </w:tr>
      <w:tr w:rsidR="00D24277" w:rsidRPr="008379AC" w14:paraId="14ED169D" w14:textId="77777777" w:rsidTr="00D04B3B">
        <w:tblPrEx>
          <w:tblCellMar>
            <w:left w:w="70" w:type="dxa"/>
            <w:right w:w="70" w:type="dxa"/>
          </w:tblCellMar>
          <w:tblLook w:val="0000" w:firstRow="0" w:lastRow="0" w:firstColumn="0" w:lastColumn="0" w:noHBand="0" w:noVBand="0"/>
        </w:tblPrEx>
        <w:tc>
          <w:tcPr>
            <w:tcW w:w="2094" w:type="dxa"/>
            <w:gridSpan w:val="2"/>
          </w:tcPr>
          <w:p w14:paraId="49C92CBC"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1270" w:type="dxa"/>
          </w:tcPr>
          <w:p w14:paraId="45C5FA92"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6315" w:type="dxa"/>
            <w:gridSpan w:val="3"/>
          </w:tcPr>
          <w:p w14:paraId="572A82E9" w14:textId="77777777" w:rsidR="00D24277" w:rsidRPr="00D62E6D" w:rsidRDefault="00D24277" w:rsidP="00D04B3B">
            <w:pPr>
              <w:widowControl w:val="0"/>
              <w:autoSpaceDE w:val="0"/>
              <w:autoSpaceDN w:val="0"/>
              <w:adjustRightInd w:val="0"/>
              <w:spacing w:before="60" w:after="60" w:line="276" w:lineRule="auto"/>
              <w:ind w:left="360"/>
              <w:rPr>
                <w:rFonts w:ascii="Times New Roman" w:hAnsi="Times New Roman" w:cs="Times New Roman"/>
                <w:color w:val="000000"/>
                <w:lang w:val="en-US"/>
              </w:rPr>
            </w:pPr>
            <w:r w:rsidRPr="00D62E6D">
              <w:rPr>
                <w:rFonts w:ascii="Times New Roman" w:hAnsi="Times New Roman" w:cs="Times New Roman"/>
                <w:color w:val="000000"/>
                <w:u w:val="single"/>
                <w:lang w:val="en-US"/>
              </w:rPr>
              <w:t>Clinical manifestations:</w:t>
            </w:r>
            <w:r w:rsidRPr="00D62E6D">
              <w:rPr>
                <w:rFonts w:ascii="Times New Roman" w:hAnsi="Times New Roman" w:cs="Times New Roman"/>
                <w:color w:val="000000"/>
                <w:lang w:val="en-US"/>
              </w:rPr>
              <w:t xml:space="preserve"> persistent vomiting, </w:t>
            </w:r>
            <w:r w:rsidRPr="00D62E6D">
              <w:rPr>
                <w:rFonts w:ascii="Times New Roman" w:eastAsia="SymbolMT" w:hAnsi="Times New Roman" w:cs="Times New Roman"/>
                <w:color w:val="000000"/>
                <w:lang w:val="en-US"/>
              </w:rPr>
              <w:t>p</w:t>
            </w:r>
            <w:r w:rsidRPr="00D62E6D">
              <w:rPr>
                <w:rFonts w:ascii="Times New Roman" w:hAnsi="Times New Roman" w:cs="Times New Roman"/>
                <w:color w:val="000000"/>
                <w:lang w:val="en-US"/>
              </w:rPr>
              <w:t>rostration, impaired consciousness, multiple convulsions, jaundice</w:t>
            </w:r>
          </w:p>
        </w:tc>
      </w:tr>
      <w:tr w:rsidR="00D24277" w:rsidRPr="008379AC" w14:paraId="1402DAC0" w14:textId="77777777" w:rsidTr="00D04B3B">
        <w:tc>
          <w:tcPr>
            <w:tcW w:w="2094" w:type="dxa"/>
            <w:gridSpan w:val="2"/>
          </w:tcPr>
          <w:p w14:paraId="66894313"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1270" w:type="dxa"/>
          </w:tcPr>
          <w:p w14:paraId="3ADF1907"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6315" w:type="dxa"/>
            <w:gridSpan w:val="3"/>
          </w:tcPr>
          <w:p w14:paraId="1BCFF551" w14:textId="77777777" w:rsidR="00D24277" w:rsidRPr="00D62E6D" w:rsidRDefault="00D24277" w:rsidP="00D04B3B">
            <w:pPr>
              <w:widowControl w:val="0"/>
              <w:autoSpaceDE w:val="0"/>
              <w:autoSpaceDN w:val="0"/>
              <w:adjustRightInd w:val="0"/>
              <w:spacing w:before="60" w:after="60" w:line="276" w:lineRule="auto"/>
              <w:ind w:left="322"/>
              <w:rPr>
                <w:rFonts w:ascii="Times New Roman" w:hAnsi="Times New Roman" w:cs="Times New Roman"/>
                <w:color w:val="000000"/>
                <w:lang w:val="en-US"/>
              </w:rPr>
            </w:pPr>
            <w:r w:rsidRPr="00D62E6D">
              <w:rPr>
                <w:rFonts w:ascii="Times New Roman" w:hAnsi="Times New Roman" w:cs="Times New Roman"/>
                <w:bCs/>
                <w:color w:val="000000"/>
                <w:u w:val="single"/>
                <w:lang w:val="en-US"/>
              </w:rPr>
              <w:t>Laboratory abnormalities:</w:t>
            </w:r>
            <w:r w:rsidRPr="00D62E6D">
              <w:rPr>
                <w:rFonts w:ascii="Times New Roman" w:hAnsi="Times New Roman" w:cs="Times New Roman"/>
                <w:bCs/>
                <w:color w:val="000000"/>
                <w:lang w:val="en-US"/>
              </w:rPr>
              <w:t xml:space="preserve"> </w:t>
            </w:r>
            <w:r w:rsidRPr="00D62E6D">
              <w:rPr>
                <w:rFonts w:ascii="Times New Roman" w:hAnsi="Times New Roman" w:cs="Times New Roman"/>
                <w:color w:val="000000"/>
                <w:lang w:val="en-US"/>
              </w:rPr>
              <w:t xml:space="preserve">severe anemia: hemoglobin &lt;50 g/L, acidosis, renal impairment: serum creatinine level &gt;264 </w:t>
            </w:r>
            <w:r w:rsidRPr="00D62E6D">
              <w:rPr>
                <w:rFonts w:ascii="Times New Roman" w:hAnsi="Times New Roman" w:cs="Times New Roman"/>
                <w:color w:val="000000"/>
              </w:rPr>
              <w:t>μ</w:t>
            </w:r>
            <w:r w:rsidRPr="00D62E6D">
              <w:rPr>
                <w:rFonts w:ascii="Times New Roman" w:hAnsi="Times New Roman" w:cs="Times New Roman"/>
                <w:color w:val="000000"/>
                <w:lang w:val="en-US"/>
              </w:rPr>
              <w:t>mol/L with urine output &lt;400 mL/24 hours</w:t>
            </w:r>
          </w:p>
        </w:tc>
      </w:tr>
      <w:tr w:rsidR="00D24277" w:rsidRPr="008379AC" w14:paraId="2FC47B50" w14:textId="77777777" w:rsidTr="00D04B3B">
        <w:tc>
          <w:tcPr>
            <w:tcW w:w="2094" w:type="dxa"/>
            <w:gridSpan w:val="2"/>
          </w:tcPr>
          <w:p w14:paraId="4C8EC5AD"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1270" w:type="dxa"/>
          </w:tcPr>
          <w:p w14:paraId="1C425418"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6315" w:type="dxa"/>
            <w:gridSpan w:val="3"/>
          </w:tcPr>
          <w:p w14:paraId="37A0D2D1" w14:textId="77777777" w:rsidR="00D24277" w:rsidRPr="00D62E6D" w:rsidRDefault="00D24277" w:rsidP="00D04B3B">
            <w:pPr>
              <w:widowControl w:val="0"/>
              <w:autoSpaceDE w:val="0"/>
              <w:autoSpaceDN w:val="0"/>
              <w:adjustRightInd w:val="0"/>
              <w:spacing w:before="60" w:after="60" w:line="276" w:lineRule="auto"/>
              <w:ind w:left="360"/>
              <w:rPr>
                <w:rFonts w:ascii="Times New Roman" w:hAnsi="Times New Roman" w:cs="Times New Roman"/>
                <w:color w:val="000000"/>
                <w:lang w:val="en-US"/>
              </w:rPr>
            </w:pPr>
            <w:r w:rsidRPr="00D62E6D">
              <w:rPr>
                <w:rFonts w:ascii="Times New Roman" w:hAnsi="Times New Roman" w:cs="Times New Roman"/>
                <w:bCs/>
                <w:color w:val="000000"/>
                <w:u w:val="single"/>
                <w:lang w:val="en-US"/>
              </w:rPr>
              <w:t>Hyperparasitemia</w:t>
            </w:r>
            <w:r w:rsidRPr="00D62E6D">
              <w:rPr>
                <w:rFonts w:ascii="Times New Roman" w:hAnsi="Times New Roman" w:cs="Times New Roman"/>
                <w:color w:val="000000"/>
                <w:lang w:val="en-US"/>
              </w:rPr>
              <w:t>: asexual parasitemia ≥250,000 parasites/</w:t>
            </w:r>
            <w:r w:rsidRPr="00D62E6D">
              <w:rPr>
                <w:rFonts w:ascii="Times New Roman" w:hAnsi="Times New Roman" w:cs="Times New Roman"/>
                <w:color w:val="000000"/>
              </w:rPr>
              <w:t>μ</w:t>
            </w:r>
            <w:r w:rsidRPr="00D62E6D">
              <w:rPr>
                <w:rFonts w:ascii="Times New Roman" w:hAnsi="Times New Roman" w:cs="Times New Roman"/>
                <w:color w:val="000000"/>
                <w:lang w:val="en-US"/>
              </w:rPr>
              <w:t>L in a high transmission setting</w:t>
            </w:r>
          </w:p>
        </w:tc>
      </w:tr>
    </w:tbl>
    <w:p w14:paraId="1FBB684F" w14:textId="77777777" w:rsidR="00D24277" w:rsidRPr="00D62E6D" w:rsidRDefault="00D24277" w:rsidP="00D24277">
      <w:pPr>
        <w:widowControl w:val="0"/>
        <w:autoSpaceDE w:val="0"/>
        <w:autoSpaceDN w:val="0"/>
        <w:adjustRightInd w:val="0"/>
        <w:spacing w:line="276" w:lineRule="auto"/>
        <w:rPr>
          <w:rFonts w:ascii="Times New Roman" w:hAnsi="Times New Roman" w:cs="Times New Roman"/>
          <w:b/>
          <w:bCs/>
          <w:color w:val="000000"/>
          <w:lang w:val="en-US"/>
        </w:rPr>
      </w:pPr>
    </w:p>
    <w:p w14:paraId="739D53AC" w14:textId="77777777" w:rsidR="00D24277" w:rsidRDefault="00D24277" w:rsidP="00D24277">
      <w:pPr>
        <w:autoSpaceDE w:val="0"/>
        <w:autoSpaceDN w:val="0"/>
        <w:adjustRightInd w:val="0"/>
        <w:spacing w:line="276" w:lineRule="auto"/>
        <w:rPr>
          <w:rFonts w:ascii="Times New Roman" w:hAnsi="Times New Roman" w:cs="Times New Roman"/>
          <w:b/>
          <w:bCs/>
          <w:color w:val="000000"/>
          <w:sz w:val="24"/>
          <w:szCs w:val="24"/>
          <w:u w:val="single"/>
          <w:lang w:val="en-US"/>
        </w:rPr>
      </w:pPr>
    </w:p>
    <w:p w14:paraId="759FD76E" w14:textId="77777777" w:rsidR="00D24277" w:rsidRPr="00D62E6D" w:rsidRDefault="00D24277" w:rsidP="00D24277">
      <w:pPr>
        <w:autoSpaceDE w:val="0"/>
        <w:autoSpaceDN w:val="0"/>
        <w:adjustRightInd w:val="0"/>
        <w:spacing w:line="276" w:lineRule="auto"/>
        <w:rPr>
          <w:rFonts w:ascii="Times New Roman" w:hAnsi="Times New Roman" w:cs="Times New Roman"/>
          <w:b/>
          <w:bCs/>
          <w:color w:val="000000"/>
          <w:u w:val="single"/>
          <w:lang w:val="en-US"/>
        </w:rPr>
      </w:pPr>
      <w:r w:rsidRPr="00D62E6D">
        <w:rPr>
          <w:rFonts w:ascii="Times New Roman" w:hAnsi="Times New Roman" w:cs="Times New Roman"/>
          <w:b/>
          <w:bCs/>
          <w:color w:val="000000"/>
          <w:u w:val="single"/>
          <w:lang w:val="en-US"/>
        </w:rPr>
        <w:t>Exclusion criteria of Study 1:</w:t>
      </w:r>
    </w:p>
    <w:p w14:paraId="1018912C" w14:textId="77777777" w:rsidR="00D24277" w:rsidRPr="00D62E6D" w:rsidRDefault="00D24277" w:rsidP="00D24277">
      <w:pPr>
        <w:widowControl w:val="0"/>
        <w:autoSpaceDE w:val="0"/>
        <w:autoSpaceDN w:val="0"/>
        <w:adjustRightInd w:val="0"/>
        <w:spacing w:line="276" w:lineRule="auto"/>
        <w:rPr>
          <w:rFonts w:ascii="Times New Roman" w:hAnsi="Times New Roman" w:cs="Times New Roman"/>
          <w:b/>
          <w:bCs/>
          <w:color w:val="000000"/>
          <w:lang w:val="en-US"/>
        </w:rPr>
      </w:pPr>
    </w:p>
    <w:tbl>
      <w:tblPr>
        <w:tblStyle w:val="Tabellenraster"/>
        <w:tblW w:w="970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7512"/>
      </w:tblGrid>
      <w:tr w:rsidR="00D24277" w:rsidRPr="008379AC" w14:paraId="45150778" w14:textId="77777777" w:rsidTr="00D04B3B">
        <w:tc>
          <w:tcPr>
            <w:tcW w:w="9709" w:type="dxa"/>
            <w:gridSpan w:val="2"/>
            <w:vAlign w:val="center"/>
          </w:tcPr>
          <w:p w14:paraId="1986025A"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 xml:space="preserve">Treatment with an antimalarial agent within 72 hours of screening expected to interfere with the assessment of the safety and efficacy of SAR97276A (treatment with 1 single tablet of quinine or chloroquine administered within the previous 72 hours is not exclusionary, treatment with any other antimalarial agent is) </w:t>
            </w:r>
          </w:p>
        </w:tc>
      </w:tr>
      <w:tr w:rsidR="00D24277" w:rsidRPr="008379AC" w14:paraId="0482A0AD" w14:textId="77777777" w:rsidTr="00D04B3B">
        <w:tc>
          <w:tcPr>
            <w:tcW w:w="9709" w:type="dxa"/>
            <w:gridSpan w:val="2"/>
            <w:vAlign w:val="center"/>
          </w:tcPr>
          <w:p w14:paraId="52CC5917"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 xml:space="preserve">Severe concomitant disease (including concomitant infection) </w:t>
            </w:r>
          </w:p>
        </w:tc>
      </w:tr>
      <w:tr w:rsidR="00D24277" w:rsidRPr="00D62E6D" w14:paraId="0BC821E7" w14:textId="77777777" w:rsidTr="00D04B3B">
        <w:tc>
          <w:tcPr>
            <w:tcW w:w="9709" w:type="dxa"/>
            <w:gridSpan w:val="2"/>
            <w:vAlign w:val="center"/>
          </w:tcPr>
          <w:p w14:paraId="225AADBE"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 xml:space="preserve">Severe malnutrition </w:t>
            </w:r>
          </w:p>
        </w:tc>
      </w:tr>
      <w:tr w:rsidR="00D24277" w:rsidRPr="008379AC" w14:paraId="1EAF22F0" w14:textId="77777777" w:rsidTr="00D04B3B">
        <w:tc>
          <w:tcPr>
            <w:tcW w:w="9709" w:type="dxa"/>
            <w:gridSpan w:val="2"/>
            <w:vAlign w:val="center"/>
          </w:tcPr>
          <w:p w14:paraId="17C94029"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 xml:space="preserve">High grade severe malaria as defined by the presence of 1 of the following syndromes or clinical symptoms: </w:t>
            </w:r>
          </w:p>
        </w:tc>
      </w:tr>
      <w:tr w:rsidR="00D24277" w:rsidRPr="008379AC" w14:paraId="1DA78D07" w14:textId="77777777" w:rsidTr="00D04B3B">
        <w:tblPrEx>
          <w:tblCellMar>
            <w:left w:w="70" w:type="dxa"/>
            <w:right w:w="70" w:type="dxa"/>
          </w:tblCellMar>
          <w:tblLook w:val="0000" w:firstRow="0" w:lastRow="0" w:firstColumn="0" w:lastColumn="0" w:noHBand="0" w:noVBand="0"/>
        </w:tblPrEx>
        <w:tc>
          <w:tcPr>
            <w:tcW w:w="2197" w:type="dxa"/>
          </w:tcPr>
          <w:p w14:paraId="3FDC13F3" w14:textId="77777777" w:rsidR="00D24277" w:rsidRPr="00D62E6D" w:rsidRDefault="00D24277" w:rsidP="00D04B3B">
            <w:pPr>
              <w:widowControl w:val="0"/>
              <w:autoSpaceDE w:val="0"/>
              <w:autoSpaceDN w:val="0"/>
              <w:adjustRightInd w:val="0"/>
              <w:spacing w:before="60" w:after="60" w:line="276" w:lineRule="auto"/>
              <w:rPr>
                <w:rFonts w:ascii="Times New Roman" w:hAnsi="Times New Roman" w:cs="Times New Roman"/>
                <w:b/>
                <w:bCs/>
                <w:color w:val="000000"/>
                <w:lang w:val="en-US"/>
              </w:rPr>
            </w:pPr>
          </w:p>
        </w:tc>
        <w:tc>
          <w:tcPr>
            <w:tcW w:w="7512" w:type="dxa"/>
          </w:tcPr>
          <w:p w14:paraId="78F6250B" w14:textId="77777777" w:rsidR="00D24277" w:rsidRPr="00D62E6D" w:rsidRDefault="00D24277" w:rsidP="00D04B3B">
            <w:pPr>
              <w:pStyle w:val="Listenabsatz"/>
              <w:widowControl w:val="0"/>
              <w:numPr>
                <w:ilvl w:val="0"/>
                <w:numId w:val="2"/>
              </w:numPr>
              <w:autoSpaceDE w:val="0"/>
              <w:autoSpaceDN w:val="0"/>
              <w:adjustRightInd w:val="0"/>
              <w:spacing w:before="60" w:after="60" w:line="276" w:lineRule="auto"/>
              <w:ind w:left="355" w:hanging="284"/>
              <w:rPr>
                <w:rFonts w:ascii="Times New Roman" w:hAnsi="Times New Roman" w:cs="Times New Roman"/>
                <w:bCs/>
                <w:color w:val="000000"/>
                <w:lang w:val="en-US"/>
              </w:rPr>
            </w:pPr>
            <w:r w:rsidRPr="00D62E6D">
              <w:rPr>
                <w:rFonts w:ascii="Times New Roman" w:hAnsi="Times New Roman" w:cs="Times New Roman"/>
                <w:bCs/>
                <w:color w:val="000000"/>
                <w:lang w:val="en-US"/>
              </w:rPr>
              <w:t xml:space="preserve">coma with Blantyre coma scale (BCS) &lt;3 </w:t>
            </w:r>
          </w:p>
          <w:p w14:paraId="15F81A0C" w14:textId="77777777" w:rsidR="00D24277" w:rsidRPr="00D62E6D" w:rsidRDefault="00D24277" w:rsidP="00D04B3B">
            <w:pPr>
              <w:pStyle w:val="Listenabsatz"/>
              <w:widowControl w:val="0"/>
              <w:numPr>
                <w:ilvl w:val="0"/>
                <w:numId w:val="2"/>
              </w:numPr>
              <w:autoSpaceDE w:val="0"/>
              <w:autoSpaceDN w:val="0"/>
              <w:adjustRightInd w:val="0"/>
              <w:spacing w:before="60" w:after="60" w:line="276" w:lineRule="auto"/>
              <w:ind w:left="355" w:hanging="284"/>
              <w:rPr>
                <w:rFonts w:ascii="Times New Roman" w:hAnsi="Times New Roman" w:cs="Times New Roman"/>
                <w:bCs/>
                <w:color w:val="000000"/>
                <w:lang w:val="en-US"/>
              </w:rPr>
            </w:pPr>
            <w:r w:rsidRPr="00D62E6D">
              <w:rPr>
                <w:rFonts w:ascii="Times New Roman" w:hAnsi="Times New Roman" w:cs="Times New Roman"/>
                <w:bCs/>
                <w:color w:val="000000"/>
                <w:lang w:val="en-US"/>
              </w:rPr>
              <w:t>circulatory collapse with systolic blood pressure &lt; 50 mmHg</w:t>
            </w:r>
          </w:p>
          <w:p w14:paraId="6A0C0C5C" w14:textId="77777777" w:rsidR="00D24277" w:rsidRPr="00D62E6D" w:rsidRDefault="00D24277" w:rsidP="00D04B3B">
            <w:pPr>
              <w:pStyle w:val="Listenabsatz"/>
              <w:widowControl w:val="0"/>
              <w:numPr>
                <w:ilvl w:val="0"/>
                <w:numId w:val="2"/>
              </w:numPr>
              <w:autoSpaceDE w:val="0"/>
              <w:autoSpaceDN w:val="0"/>
              <w:adjustRightInd w:val="0"/>
              <w:spacing w:before="60" w:after="60" w:line="276" w:lineRule="auto"/>
              <w:ind w:left="355" w:hanging="284"/>
              <w:rPr>
                <w:rFonts w:ascii="Times New Roman" w:hAnsi="Times New Roman" w:cs="Times New Roman"/>
                <w:bCs/>
                <w:color w:val="000000"/>
                <w:lang w:val="en-US"/>
              </w:rPr>
            </w:pPr>
            <w:r w:rsidRPr="00D62E6D">
              <w:rPr>
                <w:rFonts w:ascii="Times New Roman" w:hAnsi="Times New Roman" w:cs="Times New Roman"/>
                <w:bCs/>
                <w:color w:val="000000"/>
                <w:lang w:val="en-US"/>
              </w:rPr>
              <w:t>pulmonary edema (radiological)</w:t>
            </w:r>
          </w:p>
          <w:p w14:paraId="6B4302A1" w14:textId="77777777" w:rsidR="00D24277" w:rsidRPr="00D62E6D" w:rsidRDefault="00D24277" w:rsidP="00D04B3B">
            <w:pPr>
              <w:pStyle w:val="Listenabsatz"/>
              <w:widowControl w:val="0"/>
              <w:numPr>
                <w:ilvl w:val="0"/>
                <w:numId w:val="2"/>
              </w:numPr>
              <w:autoSpaceDE w:val="0"/>
              <w:autoSpaceDN w:val="0"/>
              <w:adjustRightInd w:val="0"/>
              <w:spacing w:before="60" w:after="60" w:line="276" w:lineRule="auto"/>
              <w:ind w:left="355" w:hanging="284"/>
              <w:rPr>
                <w:rFonts w:ascii="Times New Roman" w:hAnsi="Times New Roman" w:cs="Times New Roman"/>
                <w:bCs/>
                <w:color w:val="000000"/>
                <w:lang w:val="en-US"/>
              </w:rPr>
            </w:pPr>
            <w:r w:rsidRPr="00D62E6D">
              <w:rPr>
                <w:rFonts w:ascii="Times New Roman" w:hAnsi="Times New Roman" w:cs="Times New Roman"/>
                <w:bCs/>
                <w:color w:val="000000"/>
                <w:lang w:val="en-US"/>
              </w:rPr>
              <w:t xml:space="preserve">abnormal bleeding, </w:t>
            </w:r>
          </w:p>
          <w:p w14:paraId="04C8D932" w14:textId="77777777" w:rsidR="00D24277" w:rsidRPr="00D62E6D" w:rsidRDefault="00D24277" w:rsidP="00D04B3B">
            <w:pPr>
              <w:pStyle w:val="Listenabsatz"/>
              <w:widowControl w:val="0"/>
              <w:numPr>
                <w:ilvl w:val="0"/>
                <w:numId w:val="2"/>
              </w:numPr>
              <w:autoSpaceDE w:val="0"/>
              <w:autoSpaceDN w:val="0"/>
              <w:adjustRightInd w:val="0"/>
              <w:spacing w:before="60" w:after="60" w:line="276" w:lineRule="auto"/>
              <w:ind w:left="355" w:hanging="284"/>
              <w:rPr>
                <w:rFonts w:ascii="Times New Roman" w:hAnsi="Times New Roman" w:cs="Times New Roman"/>
                <w:bCs/>
                <w:color w:val="000000"/>
                <w:lang w:val="en-US"/>
              </w:rPr>
            </w:pPr>
            <w:r w:rsidRPr="00D62E6D">
              <w:rPr>
                <w:rFonts w:ascii="Times New Roman" w:hAnsi="Times New Roman" w:cs="Times New Roman"/>
                <w:bCs/>
                <w:color w:val="000000"/>
                <w:lang w:val="en-US"/>
              </w:rPr>
              <w:t>haemoglobinuria</w:t>
            </w:r>
          </w:p>
          <w:p w14:paraId="28410CA3" w14:textId="77777777" w:rsidR="00D24277" w:rsidRPr="00D62E6D" w:rsidRDefault="00D24277" w:rsidP="00D04B3B">
            <w:pPr>
              <w:pStyle w:val="Listenabsatz"/>
              <w:widowControl w:val="0"/>
              <w:numPr>
                <w:ilvl w:val="0"/>
                <w:numId w:val="2"/>
              </w:numPr>
              <w:autoSpaceDE w:val="0"/>
              <w:autoSpaceDN w:val="0"/>
              <w:adjustRightInd w:val="0"/>
              <w:spacing w:before="60" w:after="60" w:line="276" w:lineRule="auto"/>
              <w:ind w:left="355" w:hanging="284"/>
              <w:rPr>
                <w:rFonts w:ascii="Times New Roman" w:hAnsi="Times New Roman" w:cs="Times New Roman"/>
                <w:bCs/>
                <w:color w:val="000000"/>
                <w:lang w:val="en-US"/>
              </w:rPr>
            </w:pPr>
            <w:r w:rsidRPr="00D62E6D">
              <w:rPr>
                <w:rFonts w:ascii="Times New Roman" w:hAnsi="Times New Roman" w:cs="Times New Roman"/>
                <w:bCs/>
                <w:color w:val="000000"/>
                <w:lang w:val="en-US"/>
              </w:rPr>
              <w:t>any sign of respiratory distress</w:t>
            </w:r>
          </w:p>
          <w:p w14:paraId="628E88E7" w14:textId="77777777" w:rsidR="00D24277" w:rsidRPr="00D62E6D" w:rsidRDefault="00D24277" w:rsidP="00D04B3B">
            <w:pPr>
              <w:pStyle w:val="Listenabsatz"/>
              <w:widowControl w:val="0"/>
              <w:numPr>
                <w:ilvl w:val="0"/>
                <w:numId w:val="2"/>
              </w:numPr>
              <w:autoSpaceDE w:val="0"/>
              <w:autoSpaceDN w:val="0"/>
              <w:adjustRightInd w:val="0"/>
              <w:spacing w:before="60" w:after="60" w:line="276" w:lineRule="auto"/>
              <w:ind w:left="355" w:hanging="284"/>
              <w:rPr>
                <w:rFonts w:ascii="Times New Roman" w:hAnsi="Times New Roman" w:cs="Times New Roman"/>
                <w:bCs/>
                <w:color w:val="000000"/>
                <w:lang w:val="en-US"/>
              </w:rPr>
            </w:pPr>
            <w:r w:rsidRPr="00D62E6D">
              <w:rPr>
                <w:rFonts w:ascii="Times New Roman" w:hAnsi="Times New Roman" w:cs="Times New Roman"/>
                <w:bCs/>
                <w:color w:val="000000"/>
                <w:lang w:val="en-US"/>
              </w:rPr>
              <w:t>hypoglycemia &lt;2.2 mmol/L</w:t>
            </w:r>
          </w:p>
          <w:p w14:paraId="1126EEE5" w14:textId="77777777" w:rsidR="00D24277" w:rsidRPr="00D62E6D" w:rsidRDefault="00D24277" w:rsidP="00D04B3B">
            <w:pPr>
              <w:pStyle w:val="Listenabsatz"/>
              <w:widowControl w:val="0"/>
              <w:numPr>
                <w:ilvl w:val="0"/>
                <w:numId w:val="2"/>
              </w:numPr>
              <w:autoSpaceDE w:val="0"/>
              <w:autoSpaceDN w:val="0"/>
              <w:adjustRightInd w:val="0"/>
              <w:spacing w:before="60" w:after="60" w:line="276" w:lineRule="auto"/>
              <w:ind w:left="355" w:hanging="284"/>
              <w:rPr>
                <w:rFonts w:ascii="Times New Roman" w:hAnsi="Times New Roman" w:cs="Times New Roman"/>
                <w:bCs/>
                <w:color w:val="000000"/>
                <w:lang w:val="en-US"/>
              </w:rPr>
            </w:pPr>
            <w:r w:rsidRPr="00D62E6D">
              <w:rPr>
                <w:rFonts w:ascii="Times New Roman" w:hAnsi="Times New Roman" w:cs="Times New Roman"/>
                <w:bCs/>
                <w:color w:val="000000"/>
                <w:lang w:val="en-US"/>
              </w:rPr>
              <w:t>severe metabolic acidosis (bicarbonates &lt;15 mmol/L) or hyperlactaemia (lactate &gt;5mmol/L).</w:t>
            </w:r>
          </w:p>
        </w:tc>
      </w:tr>
      <w:tr w:rsidR="00D24277" w:rsidRPr="008379AC" w14:paraId="29DC735A" w14:textId="77777777" w:rsidTr="00D04B3B">
        <w:tc>
          <w:tcPr>
            <w:tcW w:w="9709" w:type="dxa"/>
            <w:gridSpan w:val="2"/>
            <w:vAlign w:val="center"/>
          </w:tcPr>
          <w:p w14:paraId="3FDA041C"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Impossibility to be hospitalized and followed up</w:t>
            </w:r>
          </w:p>
        </w:tc>
      </w:tr>
      <w:tr w:rsidR="00D24277" w:rsidRPr="008379AC" w14:paraId="43385EB5" w14:textId="77777777" w:rsidTr="00D04B3B">
        <w:tc>
          <w:tcPr>
            <w:tcW w:w="9709" w:type="dxa"/>
            <w:gridSpan w:val="2"/>
          </w:tcPr>
          <w:p w14:paraId="0941FA9F"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Patient is the Investigator or any Sub-Investigator, research assistant, pharmacist, study coordinator, other staff or relative thereof directly involved in the conduct of the protocol</w:t>
            </w:r>
          </w:p>
        </w:tc>
      </w:tr>
      <w:tr w:rsidR="00D24277" w:rsidRPr="008379AC" w14:paraId="6E8BD8C9" w14:textId="77777777" w:rsidTr="00D04B3B">
        <w:tc>
          <w:tcPr>
            <w:tcW w:w="9709" w:type="dxa"/>
            <w:gridSpan w:val="2"/>
          </w:tcPr>
          <w:p w14:paraId="64962164"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 xml:space="preserve">Specific to Cohort 1 and Cohort 2: asexual parasitemia: </w:t>
            </w:r>
            <w:r w:rsidRPr="00D62E6D">
              <w:rPr>
                <w:rFonts w:ascii="Times New Roman" w:hAnsi="Times New Roman" w:cs="Times New Roman"/>
                <w:i/>
                <w:iCs/>
                <w:color w:val="000000"/>
                <w:lang w:val="en-US"/>
              </w:rPr>
              <w:t xml:space="preserve">P. falciparum </w:t>
            </w:r>
            <w:r w:rsidRPr="00D62E6D">
              <w:rPr>
                <w:rFonts w:ascii="Times New Roman" w:hAnsi="Times New Roman" w:cs="Times New Roman"/>
                <w:color w:val="000000"/>
                <w:lang w:val="en-US"/>
              </w:rPr>
              <w:t>&gt;100,000 parasites/</w:t>
            </w:r>
            <w:r w:rsidRPr="00D62E6D">
              <w:rPr>
                <w:rFonts w:ascii="Times New Roman" w:hAnsi="Times New Roman" w:cs="Times New Roman"/>
                <w:color w:val="000000"/>
              </w:rPr>
              <w:t>μ</w:t>
            </w:r>
            <w:r w:rsidRPr="00D62E6D">
              <w:rPr>
                <w:rFonts w:ascii="Times New Roman" w:hAnsi="Times New Roman" w:cs="Times New Roman"/>
                <w:color w:val="000000"/>
                <w:lang w:val="en-US"/>
              </w:rPr>
              <w:t>L</w:t>
            </w:r>
          </w:p>
        </w:tc>
      </w:tr>
      <w:tr w:rsidR="00D24277" w:rsidRPr="008379AC" w14:paraId="0F3A1E83" w14:textId="77777777" w:rsidTr="00D04B3B">
        <w:tc>
          <w:tcPr>
            <w:tcW w:w="9709" w:type="dxa"/>
            <w:gridSpan w:val="2"/>
          </w:tcPr>
          <w:p w14:paraId="06088099"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Exclusion criteria related to SAR97276A treatment</w:t>
            </w:r>
          </w:p>
        </w:tc>
      </w:tr>
      <w:tr w:rsidR="00D24277" w:rsidRPr="008379AC" w14:paraId="04B7845F" w14:textId="77777777" w:rsidTr="00D04B3B">
        <w:tc>
          <w:tcPr>
            <w:tcW w:w="9709" w:type="dxa"/>
            <w:gridSpan w:val="2"/>
          </w:tcPr>
          <w:p w14:paraId="43B15285"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Participation in another clinical trial within the last 3 months or participation within a different cohort in this ACT10004 clinical trial</w:t>
            </w:r>
          </w:p>
        </w:tc>
      </w:tr>
      <w:tr w:rsidR="00D24277" w:rsidRPr="008379AC" w14:paraId="2219BA66" w14:textId="77777777" w:rsidTr="00D04B3B">
        <w:tc>
          <w:tcPr>
            <w:tcW w:w="9709" w:type="dxa"/>
            <w:gridSpan w:val="2"/>
          </w:tcPr>
          <w:p w14:paraId="0F5DF201"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Previous treatment within 3 weeks prior to inclusion, and concomitant treatment with potent cytochrome P450 (CYP) 3A4 inhibitors or CYP3A4 inducers or CYP2D6 substrates</w:t>
            </w:r>
          </w:p>
        </w:tc>
      </w:tr>
      <w:tr w:rsidR="00D24277" w:rsidRPr="008379AC" w14:paraId="2B65ED76" w14:textId="77777777" w:rsidTr="00D04B3B">
        <w:tc>
          <w:tcPr>
            <w:tcW w:w="9709" w:type="dxa"/>
            <w:gridSpan w:val="2"/>
          </w:tcPr>
          <w:p w14:paraId="5010B112"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Pregnant or breast-feeding women</w:t>
            </w:r>
          </w:p>
        </w:tc>
      </w:tr>
      <w:tr w:rsidR="00D24277" w:rsidRPr="008379AC" w14:paraId="205EB1BC" w14:textId="77777777" w:rsidTr="00D04B3B">
        <w:tc>
          <w:tcPr>
            <w:tcW w:w="9709" w:type="dxa"/>
            <w:gridSpan w:val="2"/>
          </w:tcPr>
          <w:p w14:paraId="00538D41"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Women of childbearing potential not protected by an effective method of birth control for 2 weeks before the start of study drug treatment and 1 week after the end of study drug treatment, and/or who are unwilling or unable to be tested for pregnancy (pregnancy status should be checked by urine pregnancy testing prior to exposure to the investigational product)</w:t>
            </w:r>
          </w:p>
        </w:tc>
      </w:tr>
      <w:tr w:rsidR="00D24277" w:rsidRPr="008379AC" w14:paraId="6DF2532A" w14:textId="77777777" w:rsidTr="00D04B3B">
        <w:tc>
          <w:tcPr>
            <w:tcW w:w="9709" w:type="dxa"/>
            <w:gridSpan w:val="2"/>
          </w:tcPr>
          <w:p w14:paraId="6BD538D6"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Pregnant or breast-feeding women</w:t>
            </w:r>
          </w:p>
        </w:tc>
      </w:tr>
    </w:tbl>
    <w:p w14:paraId="046D61FB" w14:textId="77777777" w:rsidR="00D24277" w:rsidRPr="00D62E6D" w:rsidRDefault="00D24277" w:rsidP="00D24277">
      <w:pPr>
        <w:widowControl w:val="0"/>
        <w:autoSpaceDE w:val="0"/>
        <w:autoSpaceDN w:val="0"/>
        <w:adjustRightInd w:val="0"/>
        <w:spacing w:line="276" w:lineRule="auto"/>
        <w:rPr>
          <w:rFonts w:ascii="Times New Roman" w:hAnsi="Times New Roman" w:cs="Times New Roman"/>
          <w:b/>
          <w:bCs/>
          <w:color w:val="000000"/>
          <w:lang w:val="en-US"/>
        </w:rPr>
      </w:pPr>
    </w:p>
    <w:p w14:paraId="73548710" w14:textId="77777777" w:rsidR="00D24277" w:rsidRPr="00D62E6D" w:rsidRDefault="00D24277" w:rsidP="00D24277">
      <w:pPr>
        <w:pBdr>
          <w:bottom w:val="single" w:sz="4" w:space="1" w:color="auto"/>
        </w:pBdr>
        <w:spacing w:line="276" w:lineRule="auto"/>
        <w:rPr>
          <w:rFonts w:ascii="Times New Roman" w:hAnsi="Times New Roman" w:cs="Times New Roman"/>
          <w:b/>
          <w:lang w:val="en-US"/>
        </w:rPr>
      </w:pPr>
      <w:r w:rsidRPr="00D62E6D">
        <w:rPr>
          <w:rFonts w:ascii="Times New Roman" w:hAnsi="Times New Roman" w:cs="Times New Roman"/>
          <w:b/>
          <w:lang w:val="en-US"/>
        </w:rPr>
        <w:t>Study 2:</w:t>
      </w:r>
    </w:p>
    <w:p w14:paraId="0CCE6973" w14:textId="77777777" w:rsidR="00D24277" w:rsidRPr="00D62E6D" w:rsidRDefault="00D24277" w:rsidP="00D24277">
      <w:pPr>
        <w:spacing w:line="276" w:lineRule="auto"/>
        <w:rPr>
          <w:rFonts w:ascii="Times New Roman" w:hAnsi="Times New Roman" w:cs="Times New Roman"/>
          <w:b/>
          <w:lang w:val="en-US"/>
        </w:rPr>
      </w:pPr>
    </w:p>
    <w:p w14:paraId="65B02556" w14:textId="77777777" w:rsidR="00D24277" w:rsidRPr="00D62E6D" w:rsidRDefault="00D24277" w:rsidP="00D24277">
      <w:pPr>
        <w:autoSpaceDE w:val="0"/>
        <w:autoSpaceDN w:val="0"/>
        <w:adjustRightInd w:val="0"/>
        <w:spacing w:line="276" w:lineRule="auto"/>
        <w:rPr>
          <w:rFonts w:ascii="Times New Roman" w:hAnsi="Times New Roman" w:cs="Times New Roman"/>
          <w:b/>
          <w:bCs/>
          <w:color w:val="000000"/>
          <w:u w:val="single"/>
          <w:lang w:val="en-US"/>
        </w:rPr>
      </w:pPr>
      <w:r w:rsidRPr="00D62E6D">
        <w:rPr>
          <w:rFonts w:ascii="Times New Roman" w:hAnsi="Times New Roman" w:cs="Times New Roman"/>
          <w:b/>
          <w:bCs/>
          <w:color w:val="000000"/>
          <w:u w:val="single"/>
          <w:lang w:val="en-US"/>
        </w:rPr>
        <w:t>Inclusion criteria of Study 2:</w:t>
      </w:r>
    </w:p>
    <w:p w14:paraId="319535CD" w14:textId="77777777" w:rsidR="00D24277" w:rsidRPr="00D62E6D" w:rsidRDefault="00D24277" w:rsidP="00D24277">
      <w:pPr>
        <w:autoSpaceDE w:val="0"/>
        <w:autoSpaceDN w:val="0"/>
        <w:adjustRightInd w:val="0"/>
        <w:spacing w:line="276" w:lineRule="auto"/>
        <w:rPr>
          <w:rFonts w:ascii="Times New Roman" w:hAnsi="Times New Roman" w:cs="Times New Roman"/>
          <w:b/>
          <w:bCs/>
          <w:color w:val="000000"/>
          <w:lang w:val="en-US"/>
        </w:rPr>
      </w:pPr>
    </w:p>
    <w:tbl>
      <w:tblPr>
        <w:tblStyle w:val="Tabellenraster"/>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2"/>
        <w:gridCol w:w="142"/>
        <w:gridCol w:w="1270"/>
        <w:gridCol w:w="6315"/>
      </w:tblGrid>
      <w:tr w:rsidR="00D24277" w:rsidRPr="008379AC" w14:paraId="251ACEE6" w14:textId="77777777" w:rsidTr="00D04B3B">
        <w:tc>
          <w:tcPr>
            <w:tcW w:w="1952" w:type="dxa"/>
          </w:tcPr>
          <w:p w14:paraId="443DBFFB" w14:textId="77777777" w:rsidR="00D24277" w:rsidRPr="00D62E6D" w:rsidRDefault="00D24277" w:rsidP="00D04B3B">
            <w:pPr>
              <w:widowControl w:val="0"/>
              <w:autoSpaceDE w:val="0"/>
              <w:autoSpaceDN w:val="0"/>
              <w:adjustRightInd w:val="0"/>
              <w:spacing w:before="60" w:after="60" w:line="276" w:lineRule="auto"/>
              <w:rPr>
                <w:rFonts w:ascii="Times New Roman" w:hAnsi="Times New Roman" w:cs="Times New Roman"/>
                <w:b/>
                <w:color w:val="000000"/>
                <w:lang w:val="en-US"/>
              </w:rPr>
            </w:pPr>
            <w:r w:rsidRPr="00D62E6D">
              <w:rPr>
                <w:rFonts w:ascii="Times New Roman" w:hAnsi="Times New Roman" w:cs="Times New Roman"/>
                <w:b/>
                <w:color w:val="000000"/>
                <w:lang w:val="en-US"/>
              </w:rPr>
              <w:t>General criteria:</w:t>
            </w:r>
          </w:p>
        </w:tc>
        <w:tc>
          <w:tcPr>
            <w:tcW w:w="7727" w:type="dxa"/>
            <w:gridSpan w:val="3"/>
            <w:vAlign w:val="center"/>
          </w:tcPr>
          <w:p w14:paraId="0FFAD71B"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 xml:space="preserve">Patients diagnosed with </w:t>
            </w:r>
            <w:r w:rsidRPr="00D62E6D">
              <w:rPr>
                <w:rFonts w:ascii="Times New Roman" w:hAnsi="Times New Roman" w:cs="Times New Roman"/>
                <w:i/>
                <w:iCs/>
                <w:color w:val="000000"/>
                <w:lang w:val="en-US"/>
              </w:rPr>
              <w:t xml:space="preserve">P. falciparum </w:t>
            </w:r>
            <w:r w:rsidRPr="00D62E6D">
              <w:rPr>
                <w:rFonts w:ascii="Times New Roman" w:hAnsi="Times New Roman" w:cs="Times New Roman"/>
                <w:color w:val="000000"/>
                <w:lang w:val="en-US"/>
              </w:rPr>
              <w:t>malaria microscopically confirmed in blood smear at Day-1 visit</w:t>
            </w:r>
          </w:p>
        </w:tc>
      </w:tr>
      <w:tr w:rsidR="00D24277" w:rsidRPr="008379AC" w14:paraId="6B17E834" w14:textId="77777777" w:rsidTr="00D04B3B">
        <w:tc>
          <w:tcPr>
            <w:tcW w:w="1952" w:type="dxa"/>
          </w:tcPr>
          <w:p w14:paraId="108007DA"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7727" w:type="dxa"/>
            <w:gridSpan w:val="3"/>
            <w:vAlign w:val="center"/>
          </w:tcPr>
          <w:p w14:paraId="1AB9F5D0"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 xml:space="preserve">Fever or history of fever within the last 24 hours before administration: auricular or rectal temperature </w:t>
            </w:r>
            <w:r w:rsidRPr="00D62E6D">
              <w:rPr>
                <w:rFonts w:ascii="Times New Roman" w:eastAsia="TimesNewRomanPSMT" w:hAnsi="Times New Roman" w:cs="Times New Roman"/>
                <w:color w:val="000000"/>
                <w:lang w:val="en-US"/>
              </w:rPr>
              <w:t>≥</w:t>
            </w:r>
            <w:r w:rsidRPr="00D62E6D">
              <w:rPr>
                <w:rFonts w:ascii="Times New Roman" w:hAnsi="Times New Roman" w:cs="Times New Roman"/>
                <w:color w:val="000000"/>
                <w:lang w:val="en-US"/>
              </w:rPr>
              <w:t xml:space="preserve">38,5°C </w:t>
            </w:r>
          </w:p>
        </w:tc>
      </w:tr>
      <w:tr w:rsidR="00D24277" w:rsidRPr="008379AC" w14:paraId="1C6B71C5" w14:textId="77777777" w:rsidTr="00D04B3B">
        <w:tc>
          <w:tcPr>
            <w:tcW w:w="1952" w:type="dxa"/>
          </w:tcPr>
          <w:p w14:paraId="0F340336"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7727" w:type="dxa"/>
            <w:gridSpan w:val="3"/>
            <w:vAlign w:val="center"/>
          </w:tcPr>
          <w:p w14:paraId="596BECE2"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Asexual parasitemia of ≥2 000 parasites/μL in blood smear at D-1 visit</w:t>
            </w:r>
          </w:p>
        </w:tc>
      </w:tr>
      <w:tr w:rsidR="00D24277" w:rsidRPr="008379AC" w14:paraId="52D8B16D" w14:textId="77777777" w:rsidTr="00D04B3B">
        <w:tc>
          <w:tcPr>
            <w:tcW w:w="1952" w:type="dxa"/>
          </w:tcPr>
          <w:p w14:paraId="60F859F9"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7727" w:type="dxa"/>
            <w:gridSpan w:val="3"/>
            <w:vAlign w:val="center"/>
          </w:tcPr>
          <w:p w14:paraId="32A08345"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Signed informed consent by parent/legal guardian of pediatric patient. In addition, participants with capacity for writing will sign off an Assent Form. Patients with no capacity for writing will have the Assent Form read. In that case, an impartial witness will certify the document was read to the child</w:t>
            </w:r>
          </w:p>
        </w:tc>
      </w:tr>
      <w:tr w:rsidR="00D24277" w:rsidRPr="008379AC" w14:paraId="68417867" w14:textId="77777777" w:rsidTr="00D04B3B">
        <w:tblPrEx>
          <w:tblCellMar>
            <w:left w:w="70" w:type="dxa"/>
            <w:right w:w="70" w:type="dxa"/>
          </w:tblCellMar>
          <w:tblLook w:val="0000" w:firstRow="0" w:lastRow="0" w:firstColumn="0" w:lastColumn="0" w:noHBand="0" w:noVBand="0"/>
        </w:tblPrEx>
        <w:tc>
          <w:tcPr>
            <w:tcW w:w="2094" w:type="dxa"/>
            <w:gridSpan w:val="2"/>
          </w:tcPr>
          <w:p w14:paraId="5E1B87C0"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1270" w:type="dxa"/>
          </w:tcPr>
          <w:p w14:paraId="6133B2D4"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6315" w:type="dxa"/>
          </w:tcPr>
          <w:p w14:paraId="1760664E" w14:textId="77777777" w:rsidR="00D24277" w:rsidRPr="00D62E6D" w:rsidRDefault="00D24277" w:rsidP="00D04B3B">
            <w:pPr>
              <w:pStyle w:val="Listenabsatz"/>
              <w:widowControl w:val="0"/>
              <w:autoSpaceDE w:val="0"/>
              <w:autoSpaceDN w:val="0"/>
              <w:adjustRightInd w:val="0"/>
              <w:spacing w:before="60" w:after="60" w:line="276" w:lineRule="auto"/>
              <w:ind w:left="318"/>
              <w:rPr>
                <w:rFonts w:ascii="Times New Roman" w:hAnsi="Times New Roman" w:cs="Times New Roman"/>
                <w:color w:val="000000"/>
                <w:lang w:val="en-US"/>
              </w:rPr>
            </w:pPr>
          </w:p>
        </w:tc>
      </w:tr>
      <w:tr w:rsidR="00D24277" w:rsidRPr="00D62E6D" w14:paraId="7BD6F1FB" w14:textId="77777777" w:rsidTr="00D04B3B">
        <w:tblPrEx>
          <w:tblCellMar>
            <w:left w:w="70" w:type="dxa"/>
            <w:right w:w="70" w:type="dxa"/>
          </w:tblCellMar>
          <w:tblLook w:val="0000" w:firstRow="0" w:lastRow="0" w:firstColumn="0" w:lastColumn="0" w:noHBand="0" w:noVBand="0"/>
        </w:tblPrEx>
        <w:tc>
          <w:tcPr>
            <w:tcW w:w="2094" w:type="dxa"/>
            <w:gridSpan w:val="2"/>
          </w:tcPr>
          <w:p w14:paraId="32B4FEDB"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r w:rsidRPr="00D62E6D">
              <w:rPr>
                <w:rFonts w:ascii="Times New Roman" w:hAnsi="Times New Roman" w:cs="Times New Roman"/>
                <w:b/>
                <w:bCs/>
                <w:color w:val="000000"/>
                <w:lang w:val="en-US"/>
              </w:rPr>
              <w:t xml:space="preserve">Specific criteria: </w:t>
            </w:r>
          </w:p>
        </w:tc>
        <w:tc>
          <w:tcPr>
            <w:tcW w:w="1270" w:type="dxa"/>
          </w:tcPr>
          <w:p w14:paraId="64A1DF90"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r w:rsidRPr="00D62E6D">
              <w:rPr>
                <w:rFonts w:ascii="Times New Roman" w:hAnsi="Times New Roman" w:cs="Times New Roman"/>
                <w:b/>
                <w:bCs/>
                <w:color w:val="000000"/>
                <w:lang w:val="en-US"/>
              </w:rPr>
              <w:t xml:space="preserve">Cohort 1: </w:t>
            </w:r>
          </w:p>
        </w:tc>
        <w:tc>
          <w:tcPr>
            <w:tcW w:w="6315" w:type="dxa"/>
          </w:tcPr>
          <w:p w14:paraId="310A8682"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Age: ≥12 years to ≤17 years</w:t>
            </w:r>
          </w:p>
        </w:tc>
      </w:tr>
      <w:tr w:rsidR="00D24277" w:rsidRPr="00D62E6D" w14:paraId="3506B7DD" w14:textId="77777777" w:rsidTr="00D04B3B">
        <w:tblPrEx>
          <w:tblCellMar>
            <w:left w:w="70" w:type="dxa"/>
            <w:right w:w="70" w:type="dxa"/>
          </w:tblCellMar>
          <w:tblLook w:val="0000" w:firstRow="0" w:lastRow="0" w:firstColumn="0" w:lastColumn="0" w:noHBand="0" w:noVBand="0"/>
        </w:tblPrEx>
        <w:tc>
          <w:tcPr>
            <w:tcW w:w="2094" w:type="dxa"/>
            <w:gridSpan w:val="2"/>
          </w:tcPr>
          <w:p w14:paraId="000E1257"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1270" w:type="dxa"/>
          </w:tcPr>
          <w:p w14:paraId="36E2334D"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r w:rsidRPr="00D62E6D">
              <w:rPr>
                <w:rFonts w:ascii="Times New Roman" w:hAnsi="Times New Roman" w:cs="Times New Roman"/>
                <w:b/>
                <w:bCs/>
                <w:color w:val="000000"/>
                <w:lang w:val="en-US"/>
              </w:rPr>
              <w:t xml:space="preserve">Cohort 2: </w:t>
            </w:r>
          </w:p>
        </w:tc>
        <w:tc>
          <w:tcPr>
            <w:tcW w:w="6315" w:type="dxa"/>
          </w:tcPr>
          <w:p w14:paraId="1ED6E472" w14:textId="77777777" w:rsidR="00D24277" w:rsidRPr="00D62E6D" w:rsidRDefault="00D24277" w:rsidP="00D04B3B">
            <w:pPr>
              <w:widowControl w:val="0"/>
              <w:autoSpaceDE w:val="0"/>
              <w:autoSpaceDN w:val="0"/>
              <w:adjustRightInd w:val="0"/>
              <w:spacing w:before="60" w:after="60" w:line="276" w:lineRule="auto"/>
              <w:rPr>
                <w:rFonts w:ascii="Times New Roman" w:hAnsi="Times New Roman" w:cs="Times New Roman"/>
                <w:b/>
                <w:color w:val="000000"/>
                <w:lang w:val="en-US"/>
              </w:rPr>
            </w:pPr>
            <w:r w:rsidRPr="00D62E6D">
              <w:rPr>
                <w:rFonts w:ascii="Times New Roman" w:hAnsi="Times New Roman" w:cs="Times New Roman"/>
                <w:b/>
                <w:color w:val="000000"/>
                <w:lang w:val="en-US"/>
              </w:rPr>
              <w:t>(not recruited)</w:t>
            </w:r>
          </w:p>
        </w:tc>
      </w:tr>
      <w:tr w:rsidR="00D24277" w:rsidRPr="00D62E6D" w14:paraId="5488FDAD" w14:textId="77777777" w:rsidTr="00D04B3B">
        <w:tblPrEx>
          <w:tblCellMar>
            <w:left w:w="70" w:type="dxa"/>
            <w:right w:w="70" w:type="dxa"/>
          </w:tblCellMar>
          <w:tblLook w:val="0000" w:firstRow="0" w:lastRow="0" w:firstColumn="0" w:lastColumn="0" w:noHBand="0" w:noVBand="0"/>
        </w:tblPrEx>
        <w:tc>
          <w:tcPr>
            <w:tcW w:w="2094" w:type="dxa"/>
            <w:gridSpan w:val="2"/>
          </w:tcPr>
          <w:p w14:paraId="5DC879F1"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1270" w:type="dxa"/>
          </w:tcPr>
          <w:p w14:paraId="6EFAF887"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6315" w:type="dxa"/>
          </w:tcPr>
          <w:p w14:paraId="2D1D350D"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Age: ≥2 years to ≤11 years</w:t>
            </w:r>
          </w:p>
        </w:tc>
      </w:tr>
    </w:tbl>
    <w:p w14:paraId="2678BA67" w14:textId="77777777" w:rsidR="00D24277" w:rsidRPr="00D62E6D" w:rsidRDefault="00D24277" w:rsidP="00D24277">
      <w:pPr>
        <w:autoSpaceDE w:val="0"/>
        <w:autoSpaceDN w:val="0"/>
        <w:adjustRightInd w:val="0"/>
        <w:spacing w:line="276" w:lineRule="auto"/>
        <w:rPr>
          <w:rFonts w:ascii="Times New Roman" w:hAnsi="Times New Roman" w:cs="Times New Roman"/>
          <w:b/>
          <w:bCs/>
          <w:color w:val="000000"/>
          <w:lang w:val="en-US"/>
        </w:rPr>
      </w:pPr>
    </w:p>
    <w:p w14:paraId="0093D21F" w14:textId="77777777" w:rsidR="00D24277" w:rsidRPr="00D62E6D" w:rsidRDefault="00D24277" w:rsidP="00D24277">
      <w:pPr>
        <w:autoSpaceDE w:val="0"/>
        <w:autoSpaceDN w:val="0"/>
        <w:adjustRightInd w:val="0"/>
        <w:spacing w:line="276" w:lineRule="auto"/>
        <w:rPr>
          <w:rFonts w:ascii="Times New Roman" w:hAnsi="Times New Roman" w:cs="Times New Roman"/>
          <w:b/>
          <w:bCs/>
          <w:color w:val="000000"/>
          <w:lang w:val="en-US"/>
        </w:rPr>
      </w:pPr>
    </w:p>
    <w:p w14:paraId="41F0946D" w14:textId="77777777" w:rsidR="00D24277" w:rsidRPr="00D62E6D" w:rsidRDefault="00D24277" w:rsidP="00D24277">
      <w:pPr>
        <w:autoSpaceDE w:val="0"/>
        <w:autoSpaceDN w:val="0"/>
        <w:adjustRightInd w:val="0"/>
        <w:spacing w:line="276" w:lineRule="auto"/>
        <w:rPr>
          <w:rFonts w:ascii="Times New Roman" w:hAnsi="Times New Roman" w:cs="Times New Roman"/>
          <w:b/>
          <w:bCs/>
          <w:color w:val="000000"/>
          <w:u w:val="single"/>
          <w:lang w:val="en-US"/>
        </w:rPr>
      </w:pPr>
      <w:r w:rsidRPr="00D62E6D">
        <w:rPr>
          <w:rFonts w:ascii="Times New Roman" w:hAnsi="Times New Roman" w:cs="Times New Roman"/>
          <w:b/>
          <w:bCs/>
          <w:color w:val="000000"/>
          <w:u w:val="single"/>
          <w:lang w:val="en-US"/>
        </w:rPr>
        <w:t>Exclusion criteria of Study 2:</w:t>
      </w:r>
    </w:p>
    <w:p w14:paraId="457AF709" w14:textId="77777777" w:rsidR="00D24277" w:rsidRPr="00D62E6D" w:rsidRDefault="00D24277" w:rsidP="00D24277">
      <w:pPr>
        <w:autoSpaceDE w:val="0"/>
        <w:autoSpaceDN w:val="0"/>
        <w:adjustRightInd w:val="0"/>
        <w:spacing w:line="276" w:lineRule="auto"/>
        <w:rPr>
          <w:rFonts w:ascii="Times New Roman" w:hAnsi="Times New Roman" w:cs="Times New Roman"/>
          <w:b/>
          <w:bCs/>
          <w:color w:val="000000"/>
          <w:lang w:val="en-US"/>
        </w:rPr>
      </w:pPr>
    </w:p>
    <w:tbl>
      <w:tblPr>
        <w:tblStyle w:val="Tabellenraster"/>
        <w:tblW w:w="970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2197"/>
        <w:gridCol w:w="7512"/>
      </w:tblGrid>
      <w:tr w:rsidR="00D24277" w:rsidRPr="008379AC" w14:paraId="2B77CFCB" w14:textId="77777777" w:rsidTr="00D04B3B">
        <w:tc>
          <w:tcPr>
            <w:tcW w:w="2197" w:type="dxa"/>
          </w:tcPr>
          <w:p w14:paraId="1963E69E" w14:textId="77777777" w:rsidR="00D24277" w:rsidRPr="00D62E6D" w:rsidRDefault="00D24277" w:rsidP="00D04B3B">
            <w:pPr>
              <w:widowControl w:val="0"/>
              <w:autoSpaceDE w:val="0"/>
              <w:autoSpaceDN w:val="0"/>
              <w:adjustRightInd w:val="0"/>
              <w:spacing w:before="60" w:after="60" w:line="276" w:lineRule="auto"/>
              <w:rPr>
                <w:rFonts w:ascii="Times New Roman" w:hAnsi="Times New Roman" w:cs="Times New Roman"/>
                <w:b/>
                <w:bCs/>
                <w:color w:val="000000"/>
                <w:lang w:val="en-US"/>
              </w:rPr>
            </w:pPr>
            <w:r w:rsidRPr="00D62E6D">
              <w:rPr>
                <w:rFonts w:ascii="Times New Roman" w:hAnsi="Times New Roman" w:cs="Times New Roman"/>
                <w:b/>
                <w:bCs/>
                <w:color w:val="000000"/>
                <w:lang w:val="en-US"/>
              </w:rPr>
              <w:t xml:space="preserve">Related to study methodology: </w:t>
            </w:r>
          </w:p>
        </w:tc>
        <w:tc>
          <w:tcPr>
            <w:tcW w:w="7512" w:type="dxa"/>
          </w:tcPr>
          <w:p w14:paraId="289306C7"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Participation in another clinical trial within the last 3 months or participation within a different cohort in this PDY11737 clinical trial</w:t>
            </w:r>
          </w:p>
        </w:tc>
      </w:tr>
      <w:tr w:rsidR="00D24277" w:rsidRPr="008379AC" w14:paraId="6CD1D248" w14:textId="77777777" w:rsidTr="00D04B3B">
        <w:tblPrEx>
          <w:tblCellMar>
            <w:left w:w="108" w:type="dxa"/>
            <w:right w:w="108" w:type="dxa"/>
          </w:tblCellMar>
          <w:tblLook w:val="04A0" w:firstRow="1" w:lastRow="0" w:firstColumn="1" w:lastColumn="0" w:noHBand="0" w:noVBand="1"/>
        </w:tblPrEx>
        <w:tc>
          <w:tcPr>
            <w:tcW w:w="2197" w:type="dxa"/>
          </w:tcPr>
          <w:p w14:paraId="2E6B6DDF"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7512" w:type="dxa"/>
          </w:tcPr>
          <w:p w14:paraId="6A62D6A8"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eastAsia="TimesNewRomanPSMT" w:hAnsi="Times New Roman" w:cs="Times New Roman"/>
                <w:color w:val="000000"/>
                <w:lang w:val="en-US"/>
              </w:rPr>
            </w:pPr>
            <w:r w:rsidRPr="00D62E6D">
              <w:rPr>
                <w:rFonts w:ascii="Times New Roman" w:eastAsia="TimesNewRomanPSMT" w:hAnsi="Times New Roman" w:cs="Times New Roman"/>
                <w:color w:val="000000"/>
                <w:lang w:val="en-US"/>
              </w:rPr>
              <w:t>Participation to previous trial with SAR97276</w:t>
            </w:r>
          </w:p>
        </w:tc>
      </w:tr>
      <w:tr w:rsidR="00D24277" w:rsidRPr="008379AC" w14:paraId="5E40401F" w14:textId="77777777" w:rsidTr="00D04B3B">
        <w:tblPrEx>
          <w:tblCellMar>
            <w:left w:w="108" w:type="dxa"/>
            <w:right w:w="108" w:type="dxa"/>
          </w:tblCellMar>
          <w:tblLook w:val="04A0" w:firstRow="1" w:lastRow="0" w:firstColumn="1" w:lastColumn="0" w:noHBand="0" w:noVBand="1"/>
        </w:tblPrEx>
        <w:tc>
          <w:tcPr>
            <w:tcW w:w="2197" w:type="dxa"/>
          </w:tcPr>
          <w:p w14:paraId="487CF989"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7512" w:type="dxa"/>
          </w:tcPr>
          <w:p w14:paraId="7D7DCD77"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hAnsi="Times New Roman" w:cs="Times New Roman"/>
                <w:color w:val="000000"/>
                <w:lang w:val="en-US"/>
              </w:rPr>
            </w:pPr>
            <w:r w:rsidRPr="00D62E6D">
              <w:rPr>
                <w:rFonts w:ascii="Times New Roman" w:hAnsi="Times New Roman" w:cs="Times New Roman"/>
                <w:color w:val="000000"/>
                <w:lang w:val="en-US"/>
              </w:rPr>
              <w:t>Documented history of adequate treatment with antimalarials expected to be effective within the preceding 72 hours (treatment with a single tablet of quinine or chloroquine within the previous 72 hours is acceptable)</w:t>
            </w:r>
          </w:p>
        </w:tc>
      </w:tr>
      <w:tr w:rsidR="00D24277" w:rsidRPr="008379AC" w14:paraId="4E42A50A" w14:textId="77777777" w:rsidTr="00D04B3B">
        <w:tblPrEx>
          <w:tblCellMar>
            <w:left w:w="108" w:type="dxa"/>
            <w:right w:w="108" w:type="dxa"/>
          </w:tblCellMar>
          <w:tblLook w:val="04A0" w:firstRow="1" w:lastRow="0" w:firstColumn="1" w:lastColumn="0" w:noHBand="0" w:noVBand="1"/>
        </w:tblPrEx>
        <w:tc>
          <w:tcPr>
            <w:tcW w:w="2197" w:type="dxa"/>
          </w:tcPr>
          <w:p w14:paraId="61E8C2B2"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7512" w:type="dxa"/>
          </w:tcPr>
          <w:p w14:paraId="398213E9"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eastAsia="TimesNewRomanPSMT" w:hAnsi="Times New Roman" w:cs="Times New Roman"/>
                <w:color w:val="000000"/>
                <w:lang w:val="en-US"/>
              </w:rPr>
            </w:pPr>
            <w:r w:rsidRPr="00D62E6D">
              <w:rPr>
                <w:rFonts w:ascii="Times New Roman" w:eastAsia="TimesNewRomanPSMT" w:hAnsi="Times New Roman" w:cs="Times New Roman"/>
                <w:color w:val="000000"/>
                <w:lang w:val="en-US"/>
              </w:rPr>
              <w:t>Severe concomitant disease (including concomitant febrile illnesses or infection)</w:t>
            </w:r>
          </w:p>
        </w:tc>
      </w:tr>
      <w:tr w:rsidR="00D24277" w:rsidRPr="008379AC" w14:paraId="7F0483A8" w14:textId="77777777" w:rsidTr="00D04B3B">
        <w:tblPrEx>
          <w:tblCellMar>
            <w:left w:w="108" w:type="dxa"/>
            <w:right w:w="108" w:type="dxa"/>
          </w:tblCellMar>
          <w:tblLook w:val="04A0" w:firstRow="1" w:lastRow="0" w:firstColumn="1" w:lastColumn="0" w:noHBand="0" w:noVBand="1"/>
        </w:tblPrEx>
        <w:tc>
          <w:tcPr>
            <w:tcW w:w="2197" w:type="dxa"/>
          </w:tcPr>
          <w:p w14:paraId="6DC250D7"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7512" w:type="dxa"/>
          </w:tcPr>
          <w:p w14:paraId="52A42AA3"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eastAsia="TimesNewRomanPSMT" w:hAnsi="Times New Roman" w:cs="Times New Roman"/>
                <w:color w:val="000000"/>
                <w:lang w:val="en-US"/>
              </w:rPr>
            </w:pPr>
            <w:r w:rsidRPr="00D62E6D">
              <w:rPr>
                <w:rFonts w:ascii="Times New Roman" w:eastAsia="TimesNewRomanPSMT" w:hAnsi="Times New Roman" w:cs="Times New Roman"/>
                <w:color w:val="000000"/>
                <w:lang w:val="en-US"/>
              </w:rPr>
              <w:t xml:space="preserve">Any sign suggestive of severe malaria </w:t>
            </w:r>
          </w:p>
        </w:tc>
      </w:tr>
      <w:tr w:rsidR="00D24277" w:rsidRPr="008379AC" w14:paraId="0D700A18" w14:textId="77777777" w:rsidTr="00D04B3B">
        <w:tblPrEx>
          <w:tblCellMar>
            <w:left w:w="108" w:type="dxa"/>
            <w:right w:w="108" w:type="dxa"/>
          </w:tblCellMar>
          <w:tblLook w:val="04A0" w:firstRow="1" w:lastRow="0" w:firstColumn="1" w:lastColumn="0" w:noHBand="0" w:noVBand="1"/>
        </w:tblPrEx>
        <w:tc>
          <w:tcPr>
            <w:tcW w:w="2197" w:type="dxa"/>
          </w:tcPr>
          <w:p w14:paraId="6B3BB911"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7512" w:type="dxa"/>
          </w:tcPr>
          <w:p w14:paraId="6D37B6E3"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eastAsia="TimesNewRomanPSMT" w:hAnsi="Times New Roman" w:cs="Times New Roman"/>
                <w:color w:val="000000"/>
                <w:lang w:val="en-US"/>
              </w:rPr>
            </w:pPr>
            <w:r w:rsidRPr="00D62E6D">
              <w:rPr>
                <w:rFonts w:ascii="Times New Roman" w:eastAsia="TimesNewRomanPSMT" w:hAnsi="Times New Roman" w:cs="Times New Roman"/>
                <w:color w:val="000000"/>
                <w:lang w:val="en-US"/>
              </w:rPr>
              <w:t xml:space="preserve">Requirement for concomitant treatment that could bias the primary evaluation </w:t>
            </w:r>
          </w:p>
        </w:tc>
      </w:tr>
      <w:tr w:rsidR="00D24277" w:rsidRPr="008379AC" w14:paraId="7FE42852" w14:textId="77777777" w:rsidTr="00D04B3B">
        <w:tblPrEx>
          <w:tblCellMar>
            <w:left w:w="108" w:type="dxa"/>
            <w:right w:w="108" w:type="dxa"/>
          </w:tblCellMar>
          <w:tblLook w:val="04A0" w:firstRow="1" w:lastRow="0" w:firstColumn="1" w:lastColumn="0" w:noHBand="0" w:noVBand="1"/>
        </w:tblPrEx>
        <w:tc>
          <w:tcPr>
            <w:tcW w:w="2197" w:type="dxa"/>
          </w:tcPr>
          <w:p w14:paraId="1E3FF64A"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7512" w:type="dxa"/>
          </w:tcPr>
          <w:p w14:paraId="16D837DF"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eastAsia="TimesNewRomanPSMT" w:hAnsi="Times New Roman" w:cs="Times New Roman"/>
                <w:color w:val="000000"/>
                <w:lang w:val="en-US"/>
              </w:rPr>
            </w:pPr>
            <w:r w:rsidRPr="00D62E6D">
              <w:rPr>
                <w:rFonts w:ascii="Times New Roman" w:eastAsia="TimesNewRomanPSMT" w:hAnsi="Times New Roman" w:cs="Times New Roman"/>
                <w:color w:val="000000"/>
                <w:lang w:val="en-US"/>
              </w:rPr>
              <w:t>Any condition that could interfere with the study assessments (including efficacy) especially for safety (e.g. blindness)</w:t>
            </w:r>
          </w:p>
        </w:tc>
      </w:tr>
      <w:tr w:rsidR="00D24277" w:rsidRPr="00D62E6D" w14:paraId="74986B43" w14:textId="77777777" w:rsidTr="00D04B3B">
        <w:tblPrEx>
          <w:tblCellMar>
            <w:left w:w="108" w:type="dxa"/>
            <w:right w:w="108" w:type="dxa"/>
          </w:tblCellMar>
          <w:tblLook w:val="04A0" w:firstRow="1" w:lastRow="0" w:firstColumn="1" w:lastColumn="0" w:noHBand="0" w:noVBand="1"/>
        </w:tblPrEx>
        <w:tc>
          <w:tcPr>
            <w:tcW w:w="2197" w:type="dxa"/>
          </w:tcPr>
          <w:p w14:paraId="6EEBC879"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7512" w:type="dxa"/>
          </w:tcPr>
          <w:p w14:paraId="6676BF5E"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eastAsia="TimesNewRomanPSMT" w:hAnsi="Times New Roman" w:cs="Times New Roman"/>
                <w:color w:val="000000"/>
                <w:lang w:val="en-US"/>
              </w:rPr>
            </w:pPr>
            <w:r w:rsidRPr="00D62E6D">
              <w:rPr>
                <w:rFonts w:ascii="Times New Roman" w:eastAsia="TimesNewRomanPSMT" w:hAnsi="Times New Roman" w:cs="Times New Roman"/>
                <w:color w:val="000000"/>
                <w:lang w:val="en-US"/>
              </w:rPr>
              <w:t>Severe malnutrition</w:t>
            </w:r>
          </w:p>
        </w:tc>
      </w:tr>
      <w:tr w:rsidR="00D24277" w:rsidRPr="008379AC" w14:paraId="70514195" w14:textId="77777777" w:rsidTr="00D04B3B">
        <w:tblPrEx>
          <w:tblCellMar>
            <w:left w:w="108" w:type="dxa"/>
            <w:right w:w="108" w:type="dxa"/>
          </w:tblCellMar>
          <w:tblLook w:val="04A0" w:firstRow="1" w:lastRow="0" w:firstColumn="1" w:lastColumn="0" w:noHBand="0" w:noVBand="1"/>
        </w:tblPrEx>
        <w:tc>
          <w:tcPr>
            <w:tcW w:w="2197" w:type="dxa"/>
          </w:tcPr>
          <w:p w14:paraId="1657DBAF"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7512" w:type="dxa"/>
          </w:tcPr>
          <w:p w14:paraId="4393833E"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eastAsia="TimesNewRomanPSMT" w:hAnsi="Times New Roman" w:cs="Times New Roman"/>
                <w:color w:val="000000"/>
                <w:lang w:val="en-US"/>
              </w:rPr>
            </w:pPr>
            <w:r w:rsidRPr="00D62E6D">
              <w:rPr>
                <w:rFonts w:ascii="Times New Roman" w:eastAsia="TimesNewRomanPSMT" w:hAnsi="Times New Roman" w:cs="Times New Roman"/>
                <w:color w:val="000000"/>
                <w:lang w:val="en-US"/>
              </w:rPr>
              <w:t xml:space="preserve">Asexual parasitemia: </w:t>
            </w:r>
            <w:r w:rsidRPr="00D62E6D">
              <w:rPr>
                <w:rFonts w:ascii="Times New Roman" w:eastAsia="TimesNewRomanPSMT" w:hAnsi="Times New Roman" w:cs="Times New Roman"/>
                <w:i/>
                <w:color w:val="000000"/>
                <w:lang w:val="en-US"/>
              </w:rPr>
              <w:t>P. falciparum</w:t>
            </w:r>
            <w:r w:rsidRPr="00D62E6D">
              <w:rPr>
                <w:rFonts w:ascii="Times New Roman" w:eastAsia="TimesNewRomanPSMT" w:hAnsi="Times New Roman" w:cs="Times New Roman"/>
                <w:color w:val="000000"/>
                <w:lang w:val="en-US"/>
              </w:rPr>
              <w:t xml:space="preserve"> &gt; 100,000 parasites/μL in blood smear at D-1 visit</w:t>
            </w:r>
          </w:p>
          <w:p w14:paraId="0D1EC3FC"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eastAsia="TimesNewRomanPSMT" w:hAnsi="Times New Roman" w:cs="Times New Roman"/>
                <w:color w:val="000000"/>
                <w:lang w:val="en-US"/>
              </w:rPr>
            </w:pPr>
            <w:r w:rsidRPr="00D62E6D">
              <w:rPr>
                <w:rFonts w:ascii="Times New Roman" w:eastAsia="TimesNewRomanPSMT" w:hAnsi="Times New Roman" w:cs="Times New Roman"/>
                <w:color w:val="000000"/>
                <w:lang w:val="en-US"/>
              </w:rPr>
              <w:lastRenderedPageBreak/>
              <w:t>Uncooperative or any condition that could make the patient potentially non-compliant to the study procedures</w:t>
            </w:r>
          </w:p>
        </w:tc>
      </w:tr>
      <w:tr w:rsidR="00D24277" w:rsidRPr="008379AC" w14:paraId="002E7023" w14:textId="77777777" w:rsidTr="00D04B3B">
        <w:tblPrEx>
          <w:tblCellMar>
            <w:left w:w="108" w:type="dxa"/>
            <w:right w:w="108" w:type="dxa"/>
          </w:tblCellMar>
          <w:tblLook w:val="04A0" w:firstRow="1" w:lastRow="0" w:firstColumn="1" w:lastColumn="0" w:noHBand="0" w:noVBand="1"/>
        </w:tblPrEx>
        <w:tc>
          <w:tcPr>
            <w:tcW w:w="2197" w:type="dxa"/>
          </w:tcPr>
          <w:p w14:paraId="784DE351"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7512" w:type="dxa"/>
          </w:tcPr>
          <w:p w14:paraId="5F1693BC"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eastAsia="TimesNewRomanPSMT" w:hAnsi="Times New Roman" w:cs="Times New Roman"/>
                <w:color w:val="000000"/>
                <w:lang w:val="en-US"/>
              </w:rPr>
            </w:pPr>
            <w:r w:rsidRPr="00D62E6D">
              <w:rPr>
                <w:rFonts w:ascii="Times New Roman" w:eastAsia="TimesNewRomanPSMT" w:hAnsi="Times New Roman" w:cs="Times New Roman"/>
                <w:color w:val="000000"/>
                <w:lang w:val="en-US"/>
              </w:rPr>
              <w:t>Impossibility to meet specific protocol requirements such as the impossibility to stay at hospital during the first 4 days of study participation or be followed up in ambulatory manner up to at least the 28th day inclusive</w:t>
            </w:r>
          </w:p>
        </w:tc>
      </w:tr>
      <w:tr w:rsidR="00D24277" w:rsidRPr="008379AC" w14:paraId="381E4BC3" w14:textId="77777777" w:rsidTr="00D04B3B">
        <w:tblPrEx>
          <w:tblCellMar>
            <w:left w:w="108" w:type="dxa"/>
            <w:right w:w="108" w:type="dxa"/>
          </w:tblCellMar>
          <w:tblLook w:val="04A0" w:firstRow="1" w:lastRow="0" w:firstColumn="1" w:lastColumn="0" w:noHBand="0" w:noVBand="1"/>
        </w:tblPrEx>
        <w:tc>
          <w:tcPr>
            <w:tcW w:w="2197" w:type="dxa"/>
          </w:tcPr>
          <w:p w14:paraId="1090A438"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7512" w:type="dxa"/>
          </w:tcPr>
          <w:p w14:paraId="17F89FFC"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eastAsia="TimesNewRomanPSMT" w:hAnsi="Times New Roman" w:cs="Times New Roman"/>
                <w:color w:val="000000"/>
                <w:lang w:val="en-US"/>
              </w:rPr>
            </w:pPr>
            <w:r w:rsidRPr="00D62E6D">
              <w:rPr>
                <w:rFonts w:ascii="Times New Roman" w:eastAsia="TimesNewRomanPSMT" w:hAnsi="Times New Roman" w:cs="Times New Roman"/>
                <w:color w:val="000000"/>
                <w:lang w:val="en-US"/>
              </w:rPr>
              <w:t>Previous treatment within 3 weeks prior to inclusion, and concomitant treatment with potent CYP3A4 inhibitors or CYP3A4 inducers or CYP2D6 substrates or potent CYP2D6 inhibitors</w:t>
            </w:r>
          </w:p>
        </w:tc>
      </w:tr>
      <w:tr w:rsidR="00D24277" w:rsidRPr="008379AC" w14:paraId="13DEF1B1" w14:textId="77777777" w:rsidTr="00D04B3B">
        <w:tblPrEx>
          <w:tblCellMar>
            <w:left w:w="108" w:type="dxa"/>
            <w:right w:w="108" w:type="dxa"/>
          </w:tblCellMar>
          <w:tblLook w:val="04A0" w:firstRow="1" w:lastRow="0" w:firstColumn="1" w:lastColumn="0" w:noHBand="0" w:noVBand="1"/>
        </w:tblPrEx>
        <w:tc>
          <w:tcPr>
            <w:tcW w:w="2197" w:type="dxa"/>
          </w:tcPr>
          <w:p w14:paraId="7D4D533B"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7512" w:type="dxa"/>
          </w:tcPr>
          <w:p w14:paraId="1A7EF738"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eastAsia="TimesNewRomanPSMT" w:hAnsi="Times New Roman" w:cs="Times New Roman"/>
                <w:color w:val="000000"/>
                <w:lang w:val="en-US"/>
              </w:rPr>
            </w:pPr>
            <w:r w:rsidRPr="00D62E6D">
              <w:rPr>
                <w:rFonts w:ascii="Times New Roman" w:eastAsia="TimesNewRomanPSMT" w:hAnsi="Times New Roman" w:cs="Times New Roman"/>
                <w:color w:val="000000"/>
                <w:lang w:val="en-US"/>
              </w:rPr>
              <w:t>Patient is relative of the Investigator or of the Sub-Investigator, or of a study nurse directly involved in the conduct of the protocol</w:t>
            </w:r>
          </w:p>
        </w:tc>
      </w:tr>
      <w:tr w:rsidR="00D24277" w:rsidRPr="008379AC" w14:paraId="38227D51" w14:textId="77777777" w:rsidTr="00D04B3B">
        <w:tblPrEx>
          <w:tblCellMar>
            <w:left w:w="108" w:type="dxa"/>
            <w:right w:w="108" w:type="dxa"/>
          </w:tblCellMar>
          <w:tblLook w:val="04A0" w:firstRow="1" w:lastRow="0" w:firstColumn="1" w:lastColumn="0" w:noHBand="0" w:noVBand="1"/>
        </w:tblPrEx>
        <w:tc>
          <w:tcPr>
            <w:tcW w:w="2197" w:type="dxa"/>
          </w:tcPr>
          <w:p w14:paraId="6AEADEAD"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7512" w:type="dxa"/>
          </w:tcPr>
          <w:p w14:paraId="4F6D88B6"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eastAsia="TimesNewRomanPSMT" w:hAnsi="Times New Roman" w:cs="Times New Roman"/>
                <w:color w:val="000000"/>
                <w:lang w:val="en-US"/>
              </w:rPr>
            </w:pPr>
            <w:r w:rsidRPr="00D62E6D">
              <w:rPr>
                <w:rFonts w:ascii="Times New Roman" w:eastAsia="TimesNewRomanPSMT" w:hAnsi="Times New Roman" w:cs="Times New Roman"/>
                <w:color w:val="000000"/>
                <w:lang w:val="en-US"/>
              </w:rPr>
              <w:t>Any technical/administrative reason that makes it impossible to randomize the patient in the study</w:t>
            </w:r>
          </w:p>
        </w:tc>
      </w:tr>
      <w:tr w:rsidR="00D24277" w:rsidRPr="008379AC" w14:paraId="1FABCE98" w14:textId="77777777" w:rsidTr="00D04B3B">
        <w:tblPrEx>
          <w:tblCellMar>
            <w:left w:w="108" w:type="dxa"/>
            <w:right w:w="108" w:type="dxa"/>
          </w:tblCellMar>
          <w:tblLook w:val="04A0" w:firstRow="1" w:lastRow="0" w:firstColumn="1" w:lastColumn="0" w:noHBand="0" w:noVBand="1"/>
        </w:tblPrEx>
        <w:tc>
          <w:tcPr>
            <w:tcW w:w="2197" w:type="dxa"/>
          </w:tcPr>
          <w:p w14:paraId="1E2E660B"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7512" w:type="dxa"/>
          </w:tcPr>
          <w:p w14:paraId="750D70C3" w14:textId="77777777" w:rsidR="00D24277" w:rsidRPr="00D62E6D" w:rsidRDefault="00D24277" w:rsidP="00D04B3B">
            <w:pPr>
              <w:widowControl w:val="0"/>
              <w:autoSpaceDE w:val="0"/>
              <w:autoSpaceDN w:val="0"/>
              <w:adjustRightInd w:val="0"/>
              <w:spacing w:before="60" w:after="60" w:line="276" w:lineRule="auto"/>
              <w:rPr>
                <w:rFonts w:ascii="Times New Roman" w:eastAsia="TimesNewRomanPSMT" w:hAnsi="Times New Roman" w:cs="Times New Roman"/>
                <w:color w:val="000000"/>
                <w:lang w:val="en-US"/>
              </w:rPr>
            </w:pPr>
          </w:p>
        </w:tc>
      </w:tr>
      <w:tr w:rsidR="00D24277" w:rsidRPr="008379AC" w14:paraId="3820A4D4" w14:textId="77777777" w:rsidTr="00D04B3B">
        <w:tblPrEx>
          <w:tblCellMar>
            <w:left w:w="108" w:type="dxa"/>
            <w:right w:w="108" w:type="dxa"/>
          </w:tblCellMar>
          <w:tblLook w:val="04A0" w:firstRow="1" w:lastRow="0" w:firstColumn="1" w:lastColumn="0" w:noHBand="0" w:noVBand="1"/>
        </w:tblPrEx>
        <w:tc>
          <w:tcPr>
            <w:tcW w:w="2197" w:type="dxa"/>
          </w:tcPr>
          <w:p w14:paraId="1D216A79"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r w:rsidRPr="00D62E6D">
              <w:rPr>
                <w:rFonts w:ascii="Times New Roman" w:hAnsi="Times New Roman" w:cs="Times New Roman"/>
                <w:b/>
                <w:bCs/>
                <w:color w:val="000000"/>
                <w:lang w:val="en-US"/>
              </w:rPr>
              <w:t>Related to the active comparator and/or mandatory background</w:t>
            </w:r>
          </w:p>
          <w:p w14:paraId="25FE61DA"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r w:rsidRPr="00D62E6D">
              <w:rPr>
                <w:rFonts w:ascii="Times New Roman" w:hAnsi="Times New Roman" w:cs="Times New Roman"/>
                <w:b/>
                <w:bCs/>
                <w:color w:val="000000"/>
                <w:lang w:val="en-US"/>
              </w:rPr>
              <w:t>therapies</w:t>
            </w:r>
          </w:p>
        </w:tc>
        <w:tc>
          <w:tcPr>
            <w:tcW w:w="7512" w:type="dxa"/>
          </w:tcPr>
          <w:p w14:paraId="2AFC9D05"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eastAsia="TimesNewRomanPSMT" w:hAnsi="Times New Roman" w:cs="Times New Roman"/>
                <w:color w:val="000000"/>
                <w:lang w:val="en-US"/>
              </w:rPr>
            </w:pPr>
            <w:r w:rsidRPr="00D62E6D">
              <w:rPr>
                <w:rFonts w:ascii="Times New Roman" w:eastAsia="TimesNewRomanPSMT" w:hAnsi="Times New Roman" w:cs="Times New Roman"/>
                <w:color w:val="000000"/>
                <w:lang w:val="en-US"/>
              </w:rPr>
              <w:t>Known serious adverse event reaction or hypersensitivity to ACTs or any contraindications from the positive control therapy or warning/precaution of use as defined in the respective National Product Labeling</w:t>
            </w:r>
          </w:p>
        </w:tc>
      </w:tr>
      <w:tr w:rsidR="00D24277" w:rsidRPr="008379AC" w14:paraId="3E00BEC3" w14:textId="77777777" w:rsidTr="00D04B3B">
        <w:tblPrEx>
          <w:tblCellMar>
            <w:left w:w="108" w:type="dxa"/>
            <w:right w:w="108" w:type="dxa"/>
          </w:tblCellMar>
          <w:tblLook w:val="04A0" w:firstRow="1" w:lastRow="0" w:firstColumn="1" w:lastColumn="0" w:noHBand="0" w:noVBand="1"/>
        </w:tblPrEx>
        <w:tc>
          <w:tcPr>
            <w:tcW w:w="2197" w:type="dxa"/>
          </w:tcPr>
          <w:p w14:paraId="576034F4"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7512" w:type="dxa"/>
          </w:tcPr>
          <w:p w14:paraId="20DC499D" w14:textId="77777777" w:rsidR="00D24277" w:rsidRPr="00D62E6D" w:rsidRDefault="00D24277" w:rsidP="00D04B3B">
            <w:pPr>
              <w:widowControl w:val="0"/>
              <w:autoSpaceDE w:val="0"/>
              <w:autoSpaceDN w:val="0"/>
              <w:adjustRightInd w:val="0"/>
              <w:spacing w:before="60" w:after="60" w:line="276" w:lineRule="auto"/>
              <w:rPr>
                <w:rFonts w:ascii="Times New Roman" w:eastAsia="TimesNewRomanPSMT" w:hAnsi="Times New Roman" w:cs="Times New Roman"/>
                <w:color w:val="000000"/>
                <w:lang w:val="en-US"/>
              </w:rPr>
            </w:pPr>
          </w:p>
        </w:tc>
      </w:tr>
      <w:tr w:rsidR="00D24277" w:rsidRPr="008379AC" w14:paraId="4395F3F5" w14:textId="77777777" w:rsidTr="00D04B3B">
        <w:tblPrEx>
          <w:tblCellMar>
            <w:left w:w="108" w:type="dxa"/>
            <w:right w:w="108" w:type="dxa"/>
          </w:tblCellMar>
          <w:tblLook w:val="04A0" w:firstRow="1" w:lastRow="0" w:firstColumn="1" w:lastColumn="0" w:noHBand="0" w:noVBand="1"/>
        </w:tblPrEx>
        <w:tc>
          <w:tcPr>
            <w:tcW w:w="2197" w:type="dxa"/>
          </w:tcPr>
          <w:p w14:paraId="3DA3178E"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r w:rsidRPr="00D62E6D">
              <w:rPr>
                <w:rFonts w:ascii="Times New Roman" w:hAnsi="Times New Roman" w:cs="Times New Roman"/>
                <w:b/>
                <w:bCs/>
                <w:color w:val="000000"/>
                <w:lang w:val="en-US"/>
              </w:rPr>
              <w:t>Related to the current knowledge of Sanofi compound</w:t>
            </w:r>
          </w:p>
        </w:tc>
        <w:tc>
          <w:tcPr>
            <w:tcW w:w="7512" w:type="dxa"/>
          </w:tcPr>
          <w:p w14:paraId="34CB7ED3"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eastAsia="TimesNewRomanPSMT" w:hAnsi="Times New Roman" w:cs="Times New Roman"/>
                <w:color w:val="000000"/>
                <w:lang w:val="en-US"/>
              </w:rPr>
            </w:pPr>
            <w:r w:rsidRPr="00D62E6D">
              <w:rPr>
                <w:rFonts w:ascii="Times New Roman" w:eastAsia="TimesNewRomanPSMT" w:hAnsi="Times New Roman" w:cs="Times New Roman"/>
                <w:color w:val="000000"/>
                <w:lang w:val="en-US"/>
              </w:rPr>
              <w:t>Pregnant or breast-feeding women (Cohort 1)</w:t>
            </w:r>
          </w:p>
          <w:p w14:paraId="7DCD2F21"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eastAsia="TimesNewRomanPSMT" w:hAnsi="Times New Roman" w:cs="Times New Roman"/>
                <w:color w:val="000000"/>
                <w:lang w:val="en-US"/>
              </w:rPr>
            </w:pPr>
            <w:r w:rsidRPr="00D62E6D">
              <w:rPr>
                <w:rFonts w:ascii="Times New Roman" w:eastAsia="TimesNewRomanPSMT" w:hAnsi="Times New Roman" w:cs="Times New Roman"/>
                <w:color w:val="000000"/>
                <w:lang w:val="en-US"/>
              </w:rPr>
              <w:t>Women of childbearing potential (Cohort 1) not protected by effective contraceptive method of birth control, or not willing to use an effective contraceptive(s) method(s) for the duration of the study (e.g.: double barrier method), and/or who are unwilling or unable to be tested for pregnancy. Pregnancy status should be checked by serum or urine pregnancy testing prior to exposure to the investigational product. The need for an efficient birth control method will be reminded to the patient and the patient’s legal guardian(s) by the investigator</w:t>
            </w:r>
          </w:p>
        </w:tc>
      </w:tr>
      <w:tr w:rsidR="00D24277" w:rsidRPr="00D62E6D" w14:paraId="6742F8CF" w14:textId="77777777" w:rsidTr="00D04B3B">
        <w:tblPrEx>
          <w:tblCellMar>
            <w:left w:w="108" w:type="dxa"/>
            <w:right w:w="108" w:type="dxa"/>
          </w:tblCellMar>
          <w:tblLook w:val="04A0" w:firstRow="1" w:lastRow="0" w:firstColumn="1" w:lastColumn="0" w:noHBand="0" w:noVBand="1"/>
        </w:tblPrEx>
        <w:tc>
          <w:tcPr>
            <w:tcW w:w="2197" w:type="dxa"/>
          </w:tcPr>
          <w:p w14:paraId="6ABCD84A"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7512" w:type="dxa"/>
          </w:tcPr>
          <w:p w14:paraId="69C28A5D"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eastAsia="TimesNewRomanPSMT" w:hAnsi="Times New Roman" w:cs="Times New Roman"/>
                <w:color w:val="000000"/>
                <w:lang w:val="en-US"/>
              </w:rPr>
            </w:pPr>
            <w:r w:rsidRPr="00D62E6D">
              <w:rPr>
                <w:rFonts w:ascii="Times New Roman" w:eastAsia="TimesNewRomanPSMT" w:hAnsi="Times New Roman" w:cs="Times New Roman"/>
                <w:color w:val="000000"/>
                <w:lang w:val="en-US"/>
              </w:rPr>
              <w:t>CPK above 3 ULN</w:t>
            </w:r>
          </w:p>
        </w:tc>
      </w:tr>
      <w:tr w:rsidR="00D24277" w:rsidRPr="008379AC" w14:paraId="1BE7F96A" w14:textId="77777777" w:rsidTr="00D04B3B">
        <w:tblPrEx>
          <w:tblCellMar>
            <w:left w:w="108" w:type="dxa"/>
            <w:right w:w="108" w:type="dxa"/>
          </w:tblCellMar>
          <w:tblLook w:val="04A0" w:firstRow="1" w:lastRow="0" w:firstColumn="1" w:lastColumn="0" w:noHBand="0" w:noVBand="1"/>
        </w:tblPrEx>
        <w:tc>
          <w:tcPr>
            <w:tcW w:w="2197" w:type="dxa"/>
          </w:tcPr>
          <w:p w14:paraId="0F50140A" w14:textId="77777777" w:rsidR="00D24277" w:rsidRPr="00D62E6D" w:rsidRDefault="00D24277" w:rsidP="00D04B3B">
            <w:pPr>
              <w:autoSpaceDE w:val="0"/>
              <w:autoSpaceDN w:val="0"/>
              <w:adjustRightInd w:val="0"/>
              <w:spacing w:before="60" w:after="60" w:line="276" w:lineRule="auto"/>
              <w:rPr>
                <w:rFonts w:ascii="Times New Roman" w:hAnsi="Times New Roman" w:cs="Times New Roman"/>
                <w:b/>
                <w:bCs/>
                <w:color w:val="000000"/>
                <w:lang w:val="en-US"/>
              </w:rPr>
            </w:pPr>
          </w:p>
        </w:tc>
        <w:tc>
          <w:tcPr>
            <w:tcW w:w="7512" w:type="dxa"/>
          </w:tcPr>
          <w:p w14:paraId="0E1D7A42" w14:textId="77777777" w:rsidR="00D24277" w:rsidRPr="00D62E6D" w:rsidRDefault="00D24277" w:rsidP="00D04B3B">
            <w:pPr>
              <w:pStyle w:val="Listenabsatz"/>
              <w:widowControl w:val="0"/>
              <w:numPr>
                <w:ilvl w:val="0"/>
                <w:numId w:val="1"/>
              </w:numPr>
              <w:autoSpaceDE w:val="0"/>
              <w:autoSpaceDN w:val="0"/>
              <w:adjustRightInd w:val="0"/>
              <w:spacing w:before="60" w:after="60" w:line="276" w:lineRule="auto"/>
              <w:ind w:left="318" w:hanging="284"/>
              <w:rPr>
                <w:rFonts w:ascii="Times New Roman" w:eastAsia="TimesNewRomanPSMT" w:hAnsi="Times New Roman" w:cs="Times New Roman"/>
                <w:color w:val="000000"/>
                <w:lang w:val="en-US"/>
              </w:rPr>
            </w:pPr>
            <w:r w:rsidRPr="00D62E6D">
              <w:rPr>
                <w:rFonts w:ascii="Times New Roman" w:eastAsia="TimesNewRomanPSMT" w:hAnsi="Times New Roman" w:cs="Times New Roman"/>
                <w:color w:val="000000"/>
                <w:lang w:val="en-US"/>
              </w:rPr>
              <w:t>Underlying hepatobiliary disease or ALT&gt;3 ULN</w:t>
            </w:r>
          </w:p>
        </w:tc>
      </w:tr>
    </w:tbl>
    <w:p w14:paraId="2D581D44" w14:textId="77777777" w:rsidR="00D24277" w:rsidRDefault="00D24277" w:rsidP="00D24277">
      <w:pPr>
        <w:rPr>
          <w:rFonts w:ascii="Times New Roman" w:eastAsia="TimesNewRomanPSMT" w:hAnsi="Times New Roman" w:cs="Times New Roman"/>
          <w:color w:val="000000"/>
          <w:lang w:val="en-US"/>
        </w:rPr>
      </w:pPr>
    </w:p>
    <w:p w14:paraId="7B953FAF" w14:textId="77777777" w:rsidR="008379AC" w:rsidRDefault="008379AC" w:rsidP="00D24277">
      <w:pPr>
        <w:rPr>
          <w:rFonts w:ascii="Times New Roman" w:eastAsia="TimesNewRomanPSMT" w:hAnsi="Times New Roman" w:cs="Times New Roman"/>
          <w:color w:val="000000"/>
          <w:lang w:val="en-US"/>
        </w:rPr>
      </w:pPr>
    </w:p>
    <w:p w14:paraId="27B916EF" w14:textId="77777777" w:rsidR="008379AC" w:rsidRDefault="008379AC" w:rsidP="00D24277">
      <w:pPr>
        <w:rPr>
          <w:rFonts w:ascii="Times New Roman" w:eastAsia="TimesNewRomanPSMT" w:hAnsi="Times New Roman" w:cs="Times New Roman"/>
          <w:color w:val="000000"/>
          <w:lang w:val="en-US"/>
        </w:rPr>
      </w:pPr>
    </w:p>
    <w:p w14:paraId="02B19A22" w14:textId="77777777" w:rsidR="008379AC" w:rsidRDefault="008379AC" w:rsidP="00D24277">
      <w:pPr>
        <w:rPr>
          <w:rFonts w:ascii="Times New Roman" w:eastAsia="TimesNewRomanPSMT" w:hAnsi="Times New Roman" w:cs="Times New Roman"/>
          <w:color w:val="000000"/>
          <w:lang w:val="en-US"/>
        </w:rPr>
      </w:pPr>
    </w:p>
    <w:p w14:paraId="7272AC84" w14:textId="77777777" w:rsidR="008379AC" w:rsidRDefault="008379AC" w:rsidP="00D24277">
      <w:pPr>
        <w:rPr>
          <w:rFonts w:ascii="Times New Roman" w:eastAsia="TimesNewRomanPSMT" w:hAnsi="Times New Roman" w:cs="Times New Roman"/>
          <w:color w:val="000000"/>
          <w:lang w:val="en-US"/>
        </w:rPr>
      </w:pPr>
    </w:p>
    <w:p w14:paraId="34513D91" w14:textId="77777777" w:rsidR="008379AC" w:rsidRPr="008A454B" w:rsidRDefault="008379AC" w:rsidP="00D24277">
      <w:pPr>
        <w:rPr>
          <w:rFonts w:ascii="Times New Roman" w:eastAsia="TimesNewRomanPSMT" w:hAnsi="Times New Roman" w:cs="Times New Roman"/>
          <w:color w:val="000000"/>
          <w:lang w:val="en-US"/>
        </w:rPr>
      </w:pPr>
    </w:p>
    <w:p w14:paraId="57CD36A0" w14:textId="77777777" w:rsidR="00E50B04" w:rsidRDefault="00E50B04" w:rsidP="00ED6631">
      <w:pPr>
        <w:autoSpaceDE w:val="0"/>
        <w:autoSpaceDN w:val="0"/>
        <w:adjustRightInd w:val="0"/>
        <w:jc w:val="both"/>
        <w:rPr>
          <w:rFonts w:ascii="Times New Roman" w:hAnsi="Times New Roman" w:cs="Times New Roman"/>
          <w:sz w:val="24"/>
          <w:szCs w:val="24"/>
          <w:lang w:val="en-US"/>
        </w:rPr>
      </w:pPr>
      <w:bookmarkStart w:id="0" w:name="_GoBack"/>
      <w:bookmarkEnd w:id="0"/>
    </w:p>
    <w:sectPr w:rsidR="00E50B04" w:rsidSect="006B3ED8">
      <w:footerReference w:type="even" r:id="rId8"/>
      <w:footerReference w:type="default" r:id="rId9"/>
      <w:pgSz w:w="12240" w:h="15840" w:code="1"/>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22A60" w14:textId="77777777" w:rsidR="00901B6B" w:rsidRDefault="00901B6B" w:rsidP="00CD36C5">
      <w:pPr>
        <w:spacing w:line="240" w:lineRule="auto"/>
      </w:pPr>
      <w:r>
        <w:separator/>
      </w:r>
    </w:p>
  </w:endnote>
  <w:endnote w:type="continuationSeparator" w:id="0">
    <w:p w14:paraId="76B80215" w14:textId="77777777" w:rsidR="00901B6B" w:rsidRDefault="00901B6B" w:rsidP="00CD3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MT">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A5A5E" w14:textId="77777777" w:rsidR="00440934" w:rsidRDefault="00440934" w:rsidP="00DD68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DA4994F" w14:textId="77777777" w:rsidR="00440934" w:rsidRDefault="00440934" w:rsidP="00CD36C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17FA9" w14:textId="77777777" w:rsidR="00440934" w:rsidRDefault="00440934" w:rsidP="00DD68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379AC">
      <w:rPr>
        <w:rStyle w:val="Seitenzahl"/>
        <w:noProof/>
      </w:rPr>
      <w:t>1</w:t>
    </w:r>
    <w:r>
      <w:rPr>
        <w:rStyle w:val="Seitenzahl"/>
      </w:rPr>
      <w:fldChar w:fldCharType="end"/>
    </w:r>
  </w:p>
  <w:p w14:paraId="36B905D5" w14:textId="77777777" w:rsidR="00440934" w:rsidRDefault="00440934" w:rsidP="00CD36C5">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4932C" w14:textId="77777777" w:rsidR="00901B6B" w:rsidRDefault="00901B6B" w:rsidP="00CD36C5">
      <w:pPr>
        <w:spacing w:line="240" w:lineRule="auto"/>
      </w:pPr>
      <w:r>
        <w:separator/>
      </w:r>
    </w:p>
  </w:footnote>
  <w:footnote w:type="continuationSeparator" w:id="0">
    <w:p w14:paraId="4659D48E" w14:textId="77777777" w:rsidR="00901B6B" w:rsidRDefault="00901B6B" w:rsidP="00CD36C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95AE3"/>
    <w:multiLevelType w:val="hybridMultilevel"/>
    <w:tmpl w:val="F7507400"/>
    <w:lvl w:ilvl="0" w:tplc="F1807254">
      <w:start w:val="1"/>
      <w:numFmt w:val="bullet"/>
      <w:lvlText w:val="-"/>
      <w:lvlJc w:val="left"/>
      <w:pPr>
        <w:ind w:left="720" w:hanging="360"/>
      </w:pPr>
      <w:rPr>
        <w:rFonts w:ascii="Times New Roman" w:eastAsia="SymbolMT"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E32F4D"/>
    <w:multiLevelType w:val="hybridMultilevel"/>
    <w:tmpl w:val="AA1ED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E33ADF"/>
    <w:multiLevelType w:val="hybridMultilevel"/>
    <w:tmpl w:val="7F8A6F9C"/>
    <w:lvl w:ilvl="0" w:tplc="F1807254">
      <w:start w:val="1"/>
      <w:numFmt w:val="bullet"/>
      <w:lvlText w:val="-"/>
      <w:lvlJc w:val="left"/>
      <w:pPr>
        <w:ind w:left="720" w:hanging="360"/>
      </w:pPr>
      <w:rPr>
        <w:rFonts w:ascii="Times New Roman" w:eastAsia="SymbolMT"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CC6960"/>
    <w:multiLevelType w:val="hybridMultilevel"/>
    <w:tmpl w:val="B942D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36"/>
    <w:rsid w:val="000C2357"/>
    <w:rsid w:val="000C50FA"/>
    <w:rsid w:val="000D25B4"/>
    <w:rsid w:val="000E0A8C"/>
    <w:rsid w:val="00116632"/>
    <w:rsid w:val="00121DFD"/>
    <w:rsid w:val="001541C0"/>
    <w:rsid w:val="00181DAD"/>
    <w:rsid w:val="001A27B3"/>
    <w:rsid w:val="001B1CBF"/>
    <w:rsid w:val="001B725A"/>
    <w:rsid w:val="002231C6"/>
    <w:rsid w:val="002D7ECA"/>
    <w:rsid w:val="002E1CB1"/>
    <w:rsid w:val="00304715"/>
    <w:rsid w:val="00310FE0"/>
    <w:rsid w:val="003A08C4"/>
    <w:rsid w:val="003B20F1"/>
    <w:rsid w:val="003E1913"/>
    <w:rsid w:val="003E4977"/>
    <w:rsid w:val="0040147E"/>
    <w:rsid w:val="00401B3A"/>
    <w:rsid w:val="00440934"/>
    <w:rsid w:val="0044547F"/>
    <w:rsid w:val="00465838"/>
    <w:rsid w:val="00473333"/>
    <w:rsid w:val="00503C37"/>
    <w:rsid w:val="00556D78"/>
    <w:rsid w:val="005725A7"/>
    <w:rsid w:val="005A5751"/>
    <w:rsid w:val="005B3B94"/>
    <w:rsid w:val="005B7526"/>
    <w:rsid w:val="006300DA"/>
    <w:rsid w:val="00682908"/>
    <w:rsid w:val="0069572A"/>
    <w:rsid w:val="006B3ED8"/>
    <w:rsid w:val="006C2C36"/>
    <w:rsid w:val="006D0FC1"/>
    <w:rsid w:val="0074077E"/>
    <w:rsid w:val="0077365C"/>
    <w:rsid w:val="0079340B"/>
    <w:rsid w:val="008379AC"/>
    <w:rsid w:val="008856E0"/>
    <w:rsid w:val="008F4FCD"/>
    <w:rsid w:val="00901B6B"/>
    <w:rsid w:val="009106A8"/>
    <w:rsid w:val="00912664"/>
    <w:rsid w:val="009246D1"/>
    <w:rsid w:val="00985EF2"/>
    <w:rsid w:val="009B2B71"/>
    <w:rsid w:val="009B60AD"/>
    <w:rsid w:val="009F6F84"/>
    <w:rsid w:val="00A90F11"/>
    <w:rsid w:val="00AB2D64"/>
    <w:rsid w:val="00B529FC"/>
    <w:rsid w:val="00B6260B"/>
    <w:rsid w:val="00B91A4F"/>
    <w:rsid w:val="00C71BC5"/>
    <w:rsid w:val="00CC3E27"/>
    <w:rsid w:val="00CD36C5"/>
    <w:rsid w:val="00D24277"/>
    <w:rsid w:val="00D40BD4"/>
    <w:rsid w:val="00D424F8"/>
    <w:rsid w:val="00D63A7B"/>
    <w:rsid w:val="00D730A5"/>
    <w:rsid w:val="00DD6899"/>
    <w:rsid w:val="00E10F4B"/>
    <w:rsid w:val="00E22680"/>
    <w:rsid w:val="00E43246"/>
    <w:rsid w:val="00E46B42"/>
    <w:rsid w:val="00E50B04"/>
    <w:rsid w:val="00E70232"/>
    <w:rsid w:val="00ED6631"/>
    <w:rsid w:val="00EF7A28"/>
    <w:rsid w:val="00FD059D"/>
    <w:rsid w:val="00FF43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90B51"/>
  <w15:docId w15:val="{79CBBCFF-B566-490A-A521-725F6BF5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2C36"/>
    <w:pPr>
      <w:spacing w:after="0" w:line="48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F4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F4FCD"/>
    <w:pPr>
      <w:ind w:left="720"/>
      <w:contextualSpacing/>
    </w:pPr>
  </w:style>
  <w:style w:type="paragraph" w:styleId="Fuzeile">
    <w:name w:val="footer"/>
    <w:basedOn w:val="Standard"/>
    <w:link w:val="FuzeileZchn"/>
    <w:uiPriority w:val="99"/>
    <w:unhideWhenUsed/>
    <w:rsid w:val="00CD36C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D36C5"/>
  </w:style>
  <w:style w:type="character" w:styleId="Seitenzahl">
    <w:name w:val="page number"/>
    <w:basedOn w:val="Absatz-Standardschriftart"/>
    <w:uiPriority w:val="99"/>
    <w:semiHidden/>
    <w:unhideWhenUsed/>
    <w:rsid w:val="00CD36C5"/>
  </w:style>
  <w:style w:type="paragraph" w:styleId="Sprechblasentext">
    <w:name w:val="Balloon Text"/>
    <w:basedOn w:val="Standard"/>
    <w:link w:val="SprechblasentextZchn"/>
    <w:uiPriority w:val="99"/>
    <w:semiHidden/>
    <w:unhideWhenUsed/>
    <w:rsid w:val="00682908"/>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829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01588-95B0-4E6B-B4B9-F545ADAA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6054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2</cp:revision>
  <cp:lastPrinted>2017-01-15T14:45:00Z</cp:lastPrinted>
  <dcterms:created xsi:type="dcterms:W3CDTF">2017-04-29T11:03:00Z</dcterms:created>
  <dcterms:modified xsi:type="dcterms:W3CDTF">2017-04-29T11:03:00Z</dcterms:modified>
</cp:coreProperties>
</file>