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30" w:rsidRPr="008855EC" w:rsidRDefault="002A7E30" w:rsidP="002A7E30">
      <w:pPr>
        <w:spacing w:line="276" w:lineRule="auto"/>
      </w:pPr>
      <w:r w:rsidRPr="008855EC">
        <w:rPr>
          <w:b/>
        </w:rPr>
        <w:t>Table S3</w:t>
      </w:r>
      <w:r w:rsidRPr="008855EC">
        <w:t>: Pharmacy and hospitalisation based indicators of adverse drug events/diseases states identified in Table S2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2480"/>
        <w:gridCol w:w="3205"/>
        <w:gridCol w:w="2935"/>
      </w:tblGrid>
      <w:tr w:rsidR="002A7E30" w:rsidRPr="008855EC" w:rsidTr="00CF20BB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Adverse drug event/disease state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E30" w:rsidRPr="008855EC" w:rsidRDefault="002A7E30" w:rsidP="00CF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Medicine based indicator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E30" w:rsidRPr="008855EC" w:rsidRDefault="002A7E30" w:rsidP="00CF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Diagnostic indicator</w:t>
            </w:r>
          </w:p>
        </w:tc>
      </w:tr>
      <w:tr w:rsidR="002A7E30" w:rsidRPr="008855EC" w:rsidTr="00CF20BB">
        <w:trPr>
          <w:trHeight w:val="62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Acute coronary syndrome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 related to acute ischemic heart disease (ICD-10: I20-24)</w:t>
            </w:r>
          </w:p>
        </w:tc>
      </w:tr>
      <w:tr w:rsidR="002A7E30" w:rsidRPr="008855EC" w:rsidTr="00CF20BB">
        <w:trPr>
          <w:trHeight w:val="63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Antimicrobial resistance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2A7E30" w:rsidRPr="008855EC" w:rsidTr="00CF20BB">
        <w:trPr>
          <w:trHeight w:val="63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Clostridium difficile infection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 with Clostridium difficile colitis (ICD-10: A04.7)</w:t>
            </w:r>
          </w:p>
        </w:tc>
      </w:tr>
      <w:tr w:rsidR="002A7E30" w:rsidRPr="008855EC" w:rsidTr="00CF20BB">
        <w:trPr>
          <w:trHeight w:val="63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Death recorded in PBS data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2A7E30" w:rsidRPr="008855EC" w:rsidTr="00CF20B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Dementia (or cognitive decline)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Dementia: Anti-dementia medication (ATC</w:t>
            </w:r>
            <w:proofErr w:type="gramStart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:NO6D</w:t>
            </w:r>
            <w:proofErr w:type="gramEnd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Pr="008855E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 with dementia (ICD-10: F02)</w:t>
            </w:r>
          </w:p>
        </w:tc>
      </w:tr>
      <w:tr w:rsidR="002A7E30" w:rsidRPr="008855EC" w:rsidTr="00CF20BB">
        <w:trPr>
          <w:trHeight w:val="63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Oral hypoglycaemic (ATC A10B)</w:t>
            </w:r>
            <w:r w:rsidRPr="008855E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 xml:space="preserve"> $</w:t>
            </w: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*, insulin (ATC A10A)*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Hospitalisation with diabetes type 2 (ICD-10: E11) </w:t>
            </w:r>
          </w:p>
        </w:tc>
      </w:tr>
      <w:tr w:rsidR="002A7E30" w:rsidRPr="008855EC" w:rsidTr="00CF20BB">
        <w:trPr>
          <w:trHeight w:val="6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Drug dependence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Hospitalisation with mental disorder related to sedatives, hypnotics, anxiolytics (ICD-10: F13) </w:t>
            </w:r>
          </w:p>
        </w:tc>
      </w:tr>
      <w:tr w:rsidR="002A7E30" w:rsidRPr="008855EC" w:rsidTr="00CF20BB">
        <w:trPr>
          <w:trHeight w:val="63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 with fall (ICD-10: W00-W19)</w:t>
            </w:r>
          </w:p>
        </w:tc>
      </w:tr>
      <w:tr w:rsidR="002A7E30" w:rsidRPr="008855EC" w:rsidTr="00CF20BB">
        <w:trPr>
          <w:trHeight w:val="6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loop</w:t>
            </w:r>
            <w:proofErr w:type="gramEnd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diuretics (ATC: C03CA)</w:t>
            </w:r>
            <w:r w:rsidRPr="008855E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 xml:space="preserve"> $</w:t>
            </w: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, ACE (ATC: C09A and B)</w:t>
            </w:r>
            <w:r w:rsidRPr="008855E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 xml:space="preserve"> $</w:t>
            </w: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angiotensin II inhibitors (ATC: C09C and D)</w:t>
            </w:r>
            <w:r w:rsidRPr="008855E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 xml:space="preserve"> $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 with congestive cardiac failure (ICD-10: I50)</w:t>
            </w:r>
          </w:p>
        </w:tc>
      </w:tr>
      <w:tr w:rsidR="002A7E30" w:rsidRPr="008855EC" w:rsidTr="00CF20B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Hip fracture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 with hip fracture (ICD-10: S720, S721)</w:t>
            </w:r>
          </w:p>
        </w:tc>
      </w:tr>
      <w:tr w:rsidR="002A7E30" w:rsidRPr="008855EC" w:rsidTr="00CF20BB">
        <w:trPr>
          <w:trHeight w:val="63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Any hospitalisation</w:t>
            </w:r>
          </w:p>
        </w:tc>
      </w:tr>
      <w:tr w:rsidR="002A7E30" w:rsidRPr="008855EC" w:rsidTr="00CF20BB">
        <w:trPr>
          <w:trHeight w:val="63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Hyperlipidaemia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Statin (ATC: C10AA, C10B)</w:t>
            </w:r>
            <w:r w:rsidRPr="008855E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 xml:space="preserve"> $</w:t>
            </w: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2A7E30" w:rsidRPr="008855EC" w:rsidTr="00CF20BB">
        <w:trPr>
          <w:trHeight w:val="9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Thiazides, potassium-sparing agents, combination </w:t>
            </w:r>
            <w:proofErr w:type="spellStart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antihypertensives</w:t>
            </w:r>
            <w:proofErr w:type="spellEnd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other </w:t>
            </w:r>
            <w:proofErr w:type="spellStart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antihypertensives</w:t>
            </w:r>
            <w:proofErr w:type="spellEnd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(e.g. clonidine, hydralazine) (ATC: C02A to L)</w:t>
            </w:r>
            <w:r w:rsidRPr="008855E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 xml:space="preserve"> $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2A7E30" w:rsidRPr="008855EC" w:rsidTr="00CF20BB">
        <w:trPr>
          <w:trHeight w:val="63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Overdose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 with overdose (ICD-10: T36-T50)</w:t>
            </w:r>
          </w:p>
        </w:tc>
      </w:tr>
      <w:tr w:rsidR="002A7E30" w:rsidRPr="008855EC" w:rsidTr="00CF20BB">
        <w:trPr>
          <w:trHeight w:val="9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Parkinsonism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Levodopa (ATC: NO4BA)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 with parkinsonism (ICD-10: G20)</w:t>
            </w:r>
          </w:p>
        </w:tc>
      </w:tr>
      <w:tr w:rsidR="002A7E30" w:rsidRPr="008855EC" w:rsidTr="00CF20BB">
        <w:trPr>
          <w:trHeight w:val="63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 with pneumonia (ICD-10: J12, J13, J14, J15, J16, J17, J18)</w:t>
            </w:r>
          </w:p>
        </w:tc>
      </w:tr>
      <w:tr w:rsidR="002A7E30" w:rsidRPr="008855EC" w:rsidTr="00CF20BB">
        <w:trPr>
          <w:trHeight w:val="6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Renal failure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End stage renal disease: alpha erythropoietin (ATC: B03XA01), </w:t>
            </w:r>
            <w:proofErr w:type="spellStart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calciferol</w:t>
            </w:r>
            <w:proofErr w:type="spellEnd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(ATC: A11CC05), </w:t>
            </w:r>
            <w:proofErr w:type="spellStart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calcitriol</w:t>
            </w:r>
            <w:proofErr w:type="spellEnd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(ATC: A11CC04), </w:t>
            </w:r>
            <w:proofErr w:type="spellStart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sevelamer</w:t>
            </w:r>
            <w:proofErr w:type="spellEnd"/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(ATC: V03AE02) $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 with renal failure* (ICD-10: N17, N18, N19)</w:t>
            </w:r>
          </w:p>
        </w:tc>
      </w:tr>
      <w:tr w:rsidR="002A7E30" w:rsidRPr="008855EC" w:rsidTr="00CF20BB">
        <w:trPr>
          <w:trHeight w:val="63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Hospitalisation with stroke* (ICD-10: I60-I64)</w:t>
            </w:r>
          </w:p>
        </w:tc>
      </w:tr>
      <w:tr w:rsidR="002A7E30" w:rsidRPr="008855EC" w:rsidTr="00CF20BB">
        <w:trPr>
          <w:trHeight w:val="63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Sudden cardiac death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A7E30" w:rsidRPr="008855EC" w:rsidRDefault="002A7E30" w:rsidP="00CF20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5EC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</w:tbl>
    <w:p w:rsidR="002A7E30" w:rsidRPr="00AA3F75" w:rsidRDefault="002A7E30" w:rsidP="002A7E30">
      <w:pPr>
        <w:spacing w:after="0" w:line="240" w:lineRule="auto"/>
        <w:rPr>
          <w:sz w:val="20"/>
        </w:rPr>
      </w:pPr>
      <w:r w:rsidRPr="008855EC">
        <w:rPr>
          <w:sz w:val="20"/>
        </w:rPr>
        <w:t xml:space="preserve">*Validated as adverse drug event marker in Australian data </w:t>
      </w:r>
      <w:r w:rsidRPr="008855EC">
        <w:rPr>
          <w:sz w:val="20"/>
        </w:rPr>
        <w:fldChar w:fldCharType="begin"/>
      </w:r>
      <w:r w:rsidRPr="008855EC">
        <w:rPr>
          <w:sz w:val="20"/>
        </w:rPr>
        <w:instrText xml:space="preserve"> ADDIN EN.CITE &lt;EndNote&gt;&lt;Cite&gt;&lt;Author&gt;Wahab&lt;/Author&gt;&lt;Year&gt;2013&lt;/Year&gt;&lt;RecNum&gt;701&lt;/RecNum&gt;&lt;DisplayText&gt;(44)&lt;/DisplayText&gt;&lt;record&gt;&lt;rec-number&gt;701&lt;/rec-number&gt;&lt;foreign-keys&gt;&lt;key app="EN" db-id="rvvatsaavdrav5ef20mxfpt305xpas9fdxdw" timestamp="1464292438"&gt;701&lt;/key&gt;&lt;/foreign-keys&gt;&lt;ref-type name="Journal Article"&gt;17&lt;/ref-type&gt;&lt;contributors&gt;&lt;authors&gt;&lt;author&gt;Wahab, Izyan A&lt;/author&gt;&lt;author&gt;Pratt, Nicole L&lt;/author&gt;&lt;author&gt;Wiese, Michael D&lt;/author&gt;&lt;author&gt;Kalisch, Lisa M&lt;/author&gt;&lt;author&gt;Roughead, Elizabeth E&lt;/author&gt;&lt;/authors&gt;&lt;/contributors&gt;&lt;titles&gt;&lt;title&gt;The validity of sequence symmetry analysis (SSA) for adverse drug reaction signal detection&lt;/title&gt;&lt;secondary-title&gt;Pharmacoepidemiology and drug safety&lt;/secondary-title&gt;&lt;/titles&gt;&lt;periodical&gt;&lt;full-title&gt;Pharmacoepidemiol Drug Saf&lt;/full-title&gt;&lt;abbr-1&gt;Pharmacoepidemiology and drug safety&lt;/abbr-1&gt;&lt;/periodical&gt;&lt;pages&gt;496-502&lt;/pages&gt;&lt;volume&gt;22&lt;/volume&gt;&lt;number&gt;5&lt;/number&gt;&lt;dates&gt;&lt;year&gt;2013&lt;/year&gt;&lt;/dates&gt;&lt;isbn&gt;1099-1557&lt;/isbn&gt;&lt;urls&gt;&lt;/urls&gt;&lt;/record&gt;&lt;/Cite&gt;&lt;/EndNote&gt;</w:instrText>
      </w:r>
      <w:r w:rsidRPr="008855EC">
        <w:rPr>
          <w:sz w:val="20"/>
        </w:rPr>
        <w:fldChar w:fldCharType="separate"/>
      </w:r>
      <w:r w:rsidRPr="008855EC">
        <w:rPr>
          <w:noProof/>
          <w:sz w:val="20"/>
        </w:rPr>
        <w:t>(44)</w:t>
      </w:r>
      <w:r w:rsidRPr="008855EC">
        <w:rPr>
          <w:sz w:val="20"/>
        </w:rPr>
        <w:fldChar w:fldCharType="end"/>
      </w:r>
      <w:r w:rsidRPr="008855EC">
        <w:rPr>
          <w:sz w:val="20"/>
        </w:rPr>
        <w:t xml:space="preserve">. $ Validated as disease state marker in Australian data </w:t>
      </w:r>
      <w:r w:rsidRPr="008855EC">
        <w:rPr>
          <w:sz w:val="20"/>
        </w:rPr>
        <w:fldChar w:fldCharType="begin"/>
      </w:r>
      <w:r w:rsidRPr="008855EC">
        <w:rPr>
          <w:sz w:val="20"/>
        </w:rPr>
        <w:instrText xml:space="preserve"> ADDIN EN.CITE &lt;EndNote&gt;&lt;Cite&gt;&lt;Author&gt;Vitry&lt;/Author&gt;&lt;Year&gt;2009&lt;/Year&gt;&lt;RecNum&gt;307&lt;/RecNum&gt;&lt;DisplayText&gt;(45)&lt;/DisplayText&gt;&lt;record&gt;&lt;rec-number&gt;307&lt;/rec-number&gt;&lt;foreign-keys&gt;&lt;key app="EN" db-id="rvvatsaavdrav5ef20mxfpt305xpas9fdxdw" timestamp="1431406199"&gt;307&lt;/key&gt;&lt;/foreign-keys&gt;&lt;ref-type name="Journal Article"&gt;17&lt;/ref-type&gt;&lt;contributors&gt;&lt;authors&gt;&lt;author&gt;Vitry, Agnes&lt;/author&gt;&lt;author&gt;Wong, Soo Ann&lt;/author&gt;&lt;author&gt;Roughead, Elizabeth E&lt;/author&gt;&lt;author&gt;Ramsay, Emmae&lt;/author&gt;&lt;author&gt;Barratt, John&lt;/author&gt;&lt;/authors&gt;&lt;/contributors&gt;&lt;titles&gt;&lt;title&gt;Validity of medication‐based co‐morbidity indices in the Australian elderly population&lt;/title&gt;&lt;secondary-title&gt;Australian and New Zealand journal of public health&lt;/secondary-title&gt;&lt;/titles&gt;&lt;periodical&gt;&lt;full-title&gt;Australian and New Zealand Journal of Public Health&lt;/full-title&gt;&lt;/periodical&gt;&lt;pages&gt;126-130&lt;/pages&gt;&lt;volume&gt;33&lt;/volume&gt;&lt;number&gt;2&lt;/number&gt;&lt;dates&gt;&lt;year&gt;2009&lt;/year&gt;&lt;/dates&gt;&lt;isbn&gt;1753-6405&lt;/isbn&gt;&lt;urls&gt;&lt;related-urls&gt;&lt;url&gt;http://onlinelibrary.wiley.com/doi/10.1111/j.1753-6405.2009.00357.x/abstract&lt;/url&gt;&lt;/related-urls&gt;&lt;/urls&gt;&lt;/record&gt;&lt;/Cite&gt;&lt;/EndNote&gt;</w:instrText>
      </w:r>
      <w:r w:rsidRPr="008855EC">
        <w:rPr>
          <w:sz w:val="20"/>
        </w:rPr>
        <w:fldChar w:fldCharType="separate"/>
      </w:r>
      <w:r w:rsidRPr="008855EC">
        <w:rPr>
          <w:noProof/>
          <w:sz w:val="20"/>
        </w:rPr>
        <w:t>(45)</w:t>
      </w:r>
      <w:r w:rsidRPr="008855EC">
        <w:rPr>
          <w:sz w:val="20"/>
        </w:rPr>
        <w:fldChar w:fldCharType="end"/>
      </w:r>
      <w:r w:rsidRPr="008855EC">
        <w:rPr>
          <w:sz w:val="20"/>
        </w:rPr>
        <w:t>.</w:t>
      </w:r>
    </w:p>
    <w:p w:rsidR="00C64878" w:rsidRDefault="00C64878">
      <w:bookmarkStart w:id="0" w:name="_GoBack"/>
      <w:bookmarkEnd w:id="0"/>
    </w:p>
    <w:sectPr w:rsidR="00C64878" w:rsidSect="00C648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30"/>
    <w:rsid w:val="002A7E30"/>
    <w:rsid w:val="00C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11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30"/>
    <w:pPr>
      <w:spacing w:after="200" w:line="360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30"/>
    <w:pPr>
      <w:spacing w:after="200" w:line="360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3570</Characters>
  <Application>Microsoft Macintosh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Brett</dc:creator>
  <cp:keywords/>
  <dc:description/>
  <cp:lastModifiedBy>Jonathan Brett</cp:lastModifiedBy>
  <cp:revision>1</cp:revision>
  <dcterms:created xsi:type="dcterms:W3CDTF">2017-04-03T06:08:00Z</dcterms:created>
  <dcterms:modified xsi:type="dcterms:W3CDTF">2017-04-03T06:08:00Z</dcterms:modified>
</cp:coreProperties>
</file>