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F" w:rsidRDefault="00B133BF" w:rsidP="00B133BF">
      <w:pPr>
        <w:autoSpaceDE w:val="0"/>
        <w:autoSpaceDN w:val="0"/>
        <w:adjustRightInd w:val="0"/>
        <w:snapToGrid w:val="0"/>
        <w:spacing w:afterLines="100" w:after="312" w:line="480" w:lineRule="auto"/>
        <w:rPr>
          <w:b/>
          <w:color w:val="000000"/>
          <w:sz w:val="24"/>
        </w:rPr>
      </w:pPr>
      <w:bookmarkStart w:id="0" w:name="_GoBack"/>
      <w:bookmarkEnd w:id="0"/>
      <w:r w:rsidRPr="00BB2CA7">
        <w:rPr>
          <w:b/>
          <w:kern w:val="0"/>
          <w:sz w:val="24"/>
        </w:rPr>
        <w:t xml:space="preserve">Additional file </w:t>
      </w:r>
      <w:r>
        <w:rPr>
          <w:rFonts w:hint="eastAsia"/>
          <w:b/>
          <w:kern w:val="0"/>
          <w:sz w:val="24"/>
        </w:rPr>
        <w:t>4</w:t>
      </w:r>
      <w:r w:rsidRPr="00C40EEF">
        <w:rPr>
          <w:b/>
          <w:color w:val="000000"/>
          <w:sz w:val="24"/>
        </w:rPr>
        <w:t>. Figure S2</w:t>
      </w:r>
    </w:p>
    <w:p w:rsidR="00B133BF" w:rsidRDefault="00B133BF" w:rsidP="00B133BF">
      <w:pPr>
        <w:autoSpaceDE w:val="0"/>
        <w:autoSpaceDN w:val="0"/>
        <w:adjustRightInd w:val="0"/>
        <w:snapToGrid w:val="0"/>
        <w:spacing w:afterLines="100" w:after="312" w:line="480" w:lineRule="auto"/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  <w:drawing>
          <wp:inline distT="0" distB="0" distL="0" distR="0" wp14:anchorId="6D86B3EC" wp14:editId="63B159EC">
            <wp:extent cx="3881887" cy="3980529"/>
            <wp:effectExtent l="0" t="0" r="4445" b="1270"/>
            <wp:docPr id="5" name="图片 5" descr="J:\已投文章\148a文章终\BMC cancer\Figure(s)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已投文章\148a文章终\BMC cancer\Figure(s)\Figure 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03" cy="39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6A" w:rsidRPr="00B133BF" w:rsidRDefault="00B133BF" w:rsidP="00B133BF">
      <w:pPr>
        <w:autoSpaceDE w:val="0"/>
        <w:autoSpaceDN w:val="0"/>
        <w:adjustRightInd w:val="0"/>
        <w:snapToGrid w:val="0"/>
        <w:spacing w:line="480" w:lineRule="auto"/>
        <w:rPr>
          <w:b/>
          <w:color w:val="000000"/>
          <w:sz w:val="24"/>
        </w:rPr>
      </w:pPr>
      <w:r w:rsidRPr="00C40EEF">
        <w:rPr>
          <w:color w:val="000000"/>
          <w:sz w:val="24"/>
        </w:rPr>
        <w:t xml:space="preserve">Figure S2. </w:t>
      </w:r>
      <w:r>
        <w:rPr>
          <w:color w:val="000000"/>
          <w:sz w:val="24"/>
        </w:rPr>
        <w:t>MDA-MB-231 cells were pretreated with 0, or 20 μM GLA for 48 h, then the media w</w:t>
      </w:r>
      <w:r>
        <w:rPr>
          <w:rFonts w:hint="eastAsia"/>
          <w:color w:val="000000"/>
          <w:sz w:val="24"/>
        </w:rPr>
        <w:t>as</w:t>
      </w:r>
      <w:r>
        <w:rPr>
          <w:color w:val="000000"/>
          <w:sz w:val="24"/>
        </w:rPr>
        <w:t xml:space="preserve"> removed, the cells were washed with 1× PBS</w:t>
      </w:r>
      <w:r>
        <w:rPr>
          <w:rFonts w:hint="eastAsia"/>
          <w:color w:val="000000"/>
          <w:sz w:val="24"/>
        </w:rPr>
        <w:t>,</w:t>
      </w:r>
      <w:r>
        <w:rPr>
          <w:color w:val="000000"/>
          <w:sz w:val="24"/>
        </w:rPr>
        <w:t xml:space="preserve"> followed by replacement with fresh media with 1% </w:t>
      </w:r>
      <w:r>
        <w:rPr>
          <w:rFonts w:hint="eastAsia"/>
          <w:color w:val="000000"/>
          <w:sz w:val="24"/>
        </w:rPr>
        <w:t>FBS</w:t>
      </w:r>
      <w:r>
        <w:rPr>
          <w:color w:val="000000"/>
          <w:sz w:val="24"/>
        </w:rPr>
        <w:t xml:space="preserve"> for 24 h.</w:t>
      </w:r>
      <w:r>
        <w:rPr>
          <w:rFonts w:eastAsia="Times New Roman"/>
          <w:color w:val="000000"/>
          <w:kern w:val="0"/>
          <w:sz w:val="24"/>
        </w:rPr>
        <w:t xml:space="preserve"> (A)</w:t>
      </w:r>
      <w:r w:rsidRPr="0092724C">
        <w:rPr>
          <w:rFonts w:hint="eastAsia"/>
          <w:color w:val="000000"/>
          <w:kern w:val="0"/>
          <w:sz w:val="24"/>
        </w:rPr>
        <w:t>The e</w:t>
      </w:r>
      <w:r w:rsidRPr="0092724C">
        <w:rPr>
          <w:color w:val="000000"/>
          <w:kern w:val="0"/>
          <w:sz w:val="24"/>
        </w:rPr>
        <w:t xml:space="preserve">xpression of </w:t>
      </w:r>
      <w:r>
        <w:rPr>
          <w:color w:val="000000"/>
          <w:kern w:val="0"/>
          <w:sz w:val="24"/>
        </w:rPr>
        <w:t xml:space="preserve">miR-148a </w:t>
      </w:r>
      <w:r>
        <w:rPr>
          <w:rFonts w:hint="eastAsia"/>
          <w:color w:val="000000"/>
          <w:kern w:val="0"/>
          <w:sz w:val="24"/>
        </w:rPr>
        <w:t xml:space="preserve">was analysed by </w:t>
      </w:r>
      <w:r>
        <w:rPr>
          <w:rFonts w:eastAsia="Times New Roman"/>
          <w:color w:val="000000"/>
          <w:kern w:val="0"/>
          <w:sz w:val="24"/>
        </w:rPr>
        <w:t xml:space="preserve">qRT-PCR </w:t>
      </w:r>
      <w:r>
        <w:rPr>
          <w:color w:val="000000"/>
          <w:kern w:val="0"/>
          <w:sz w:val="24"/>
        </w:rPr>
        <w:t xml:space="preserve">(mean </w:t>
      </w:r>
      <w:r>
        <w:rPr>
          <w:rFonts w:eastAsia="AdvP4C4E74"/>
          <w:color w:val="000000"/>
          <w:kern w:val="0"/>
          <w:sz w:val="24"/>
        </w:rPr>
        <w:t xml:space="preserve">± </w:t>
      </w:r>
      <w:r>
        <w:rPr>
          <w:color w:val="000000"/>
          <w:kern w:val="0"/>
          <w:sz w:val="24"/>
        </w:rPr>
        <w:t>SD, n = 3)</w:t>
      </w:r>
      <w:r>
        <w:rPr>
          <w:rFonts w:eastAsia="Times New Roman"/>
          <w:color w:val="000000"/>
          <w:kern w:val="0"/>
          <w:sz w:val="24"/>
        </w:rPr>
        <w:t>. (B</w:t>
      </w:r>
      <w:r w:rsidRPr="0092724C">
        <w:rPr>
          <w:rFonts w:hint="eastAsia"/>
          <w:color w:val="000000"/>
          <w:kern w:val="0"/>
          <w:sz w:val="24"/>
        </w:rPr>
        <w:t>-C</w:t>
      </w:r>
      <w:r>
        <w:rPr>
          <w:rFonts w:eastAsia="Times New Roman"/>
          <w:color w:val="000000"/>
          <w:kern w:val="0"/>
          <w:sz w:val="24"/>
        </w:rPr>
        <w:t>)</w:t>
      </w:r>
      <w:r>
        <w:rPr>
          <w:color w:val="000000"/>
          <w:kern w:val="0"/>
          <w:sz w:val="24"/>
        </w:rPr>
        <w:t xml:space="preserve"> Western blot analyses</w:t>
      </w:r>
      <w:r>
        <w:rPr>
          <w:rFonts w:hint="eastAsia"/>
          <w:color w:val="000000"/>
          <w:kern w:val="0"/>
          <w:sz w:val="24"/>
        </w:rPr>
        <w:t xml:space="preserve"> the</w:t>
      </w:r>
      <w:r>
        <w:rPr>
          <w:color w:val="000000"/>
          <w:kern w:val="0"/>
          <w:sz w:val="24"/>
        </w:rPr>
        <w:t xml:space="preserve"> relative protein levels of </w:t>
      </w:r>
      <w:r>
        <w:rPr>
          <w:rFonts w:hint="eastAsia"/>
          <w:color w:val="000000"/>
          <w:kern w:val="0"/>
          <w:sz w:val="24"/>
        </w:rPr>
        <w:t>W</w:t>
      </w:r>
      <w:r>
        <w:rPr>
          <w:color w:val="000000"/>
          <w:kern w:val="0"/>
          <w:sz w:val="24"/>
        </w:rPr>
        <w:t>nt</w:t>
      </w:r>
      <w:r>
        <w:rPr>
          <w:rFonts w:hint="eastAsia"/>
          <w:color w:val="000000"/>
          <w:kern w:val="0"/>
          <w:sz w:val="24"/>
        </w:rPr>
        <w:t>1</w:t>
      </w:r>
      <w:r>
        <w:rPr>
          <w:color w:val="000000"/>
          <w:kern w:val="0"/>
          <w:sz w:val="24"/>
        </w:rPr>
        <w:t xml:space="preserve">, </w:t>
      </w:r>
      <w:r>
        <w:rPr>
          <w:kern w:val="0"/>
          <w:sz w:val="24"/>
        </w:rPr>
        <w:t>β-catenin,</w:t>
      </w:r>
      <w:r>
        <w:rPr>
          <w:rFonts w:eastAsia="Times New Roman"/>
          <w:kern w:val="0"/>
          <w:sz w:val="24"/>
        </w:rPr>
        <w:t xml:space="preserve"> and </w:t>
      </w:r>
      <w:r w:rsidRPr="00DB5788">
        <w:rPr>
          <w:kern w:val="0"/>
          <w:sz w:val="24"/>
        </w:rPr>
        <w:t>non-phospho (active) β-catenin</w:t>
      </w:r>
      <w:r>
        <w:rPr>
          <w:kern w:val="0"/>
          <w:sz w:val="24"/>
        </w:rPr>
        <w:t xml:space="preserve"> </w:t>
      </w:r>
      <w:r>
        <w:rPr>
          <w:rFonts w:eastAsia="Times New Roman"/>
          <w:color w:val="000000"/>
          <w:kern w:val="0"/>
          <w:sz w:val="24"/>
        </w:rPr>
        <w:t>(</w:t>
      </w:r>
      <w:r>
        <w:rPr>
          <w:color w:val="000000"/>
          <w:kern w:val="0"/>
          <w:sz w:val="24"/>
        </w:rPr>
        <w:t xml:space="preserve">mean </w:t>
      </w:r>
      <w:r>
        <w:rPr>
          <w:rFonts w:eastAsia="AdvP4C4E74"/>
          <w:color w:val="000000"/>
          <w:kern w:val="0"/>
          <w:sz w:val="24"/>
        </w:rPr>
        <w:t xml:space="preserve">± </w:t>
      </w:r>
      <w:r>
        <w:rPr>
          <w:color w:val="000000"/>
          <w:kern w:val="0"/>
          <w:sz w:val="24"/>
        </w:rPr>
        <w:t>SD, n = 3</w:t>
      </w:r>
      <w:r>
        <w:rPr>
          <w:rFonts w:eastAsia="Times New Roman"/>
          <w:color w:val="000000"/>
          <w:kern w:val="0"/>
          <w:sz w:val="24"/>
        </w:rPr>
        <w:t>).</w:t>
      </w:r>
      <w:r>
        <w:rPr>
          <w:color w:val="000000"/>
          <w:sz w:val="24"/>
        </w:rPr>
        <w:t xml:space="preserve"> (D) The </w:t>
      </w:r>
      <w:r>
        <w:rPr>
          <w:rFonts w:eastAsia="Times New Roman"/>
          <w:color w:val="000000"/>
          <w:kern w:val="0"/>
          <w:sz w:val="24"/>
        </w:rPr>
        <w:t xml:space="preserve">ELISA was used to detect </w:t>
      </w:r>
      <w:r>
        <w:rPr>
          <w:color w:val="000000"/>
          <w:sz w:val="24"/>
        </w:rPr>
        <w:t>the secretion of VEGF</w:t>
      </w:r>
      <w:r>
        <w:rPr>
          <w:color w:val="000000"/>
          <w:kern w:val="0"/>
          <w:sz w:val="24"/>
        </w:rPr>
        <w:t xml:space="preserve"> (mean </w:t>
      </w:r>
      <w:r>
        <w:rPr>
          <w:rFonts w:eastAsia="AdvP4C4E74"/>
          <w:color w:val="000000"/>
          <w:kern w:val="0"/>
          <w:sz w:val="24"/>
        </w:rPr>
        <w:t xml:space="preserve">± </w:t>
      </w:r>
      <w:r>
        <w:rPr>
          <w:color w:val="000000"/>
          <w:kern w:val="0"/>
          <w:sz w:val="24"/>
        </w:rPr>
        <w:t>SD, n = 3)</w:t>
      </w:r>
      <w:r>
        <w:rPr>
          <w:rFonts w:eastAsia="Times New Roman"/>
          <w:color w:val="000000"/>
          <w:kern w:val="0"/>
          <w:sz w:val="24"/>
        </w:rPr>
        <w:t>;</w:t>
      </w:r>
      <w:r>
        <w:rPr>
          <w:color w:val="000000"/>
          <w:kern w:val="0"/>
          <w:sz w:val="24"/>
        </w:rPr>
        <w:t xml:space="preserve"> </w:t>
      </w:r>
      <w:r w:rsidRPr="000F2C27">
        <w:rPr>
          <w:color w:val="000000"/>
          <w:kern w:val="0"/>
          <w:sz w:val="24"/>
          <w:vertAlign w:val="superscript"/>
        </w:rPr>
        <w:t>**</w:t>
      </w:r>
      <w:r>
        <w:rPr>
          <w:color w:val="000000"/>
          <w:kern w:val="0"/>
          <w:sz w:val="24"/>
        </w:rPr>
        <w:t>P &lt; 0.01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color w:val="000000"/>
          <w:kern w:val="0"/>
          <w:sz w:val="24"/>
        </w:rPr>
        <w:t xml:space="preserve">and </w:t>
      </w:r>
      <w:r w:rsidRPr="000F2C27">
        <w:rPr>
          <w:kern w:val="0"/>
          <w:sz w:val="24"/>
          <w:vertAlign w:val="superscript"/>
        </w:rPr>
        <w:t>***</w:t>
      </w:r>
      <w:r>
        <w:rPr>
          <w:kern w:val="0"/>
          <w:sz w:val="24"/>
        </w:rPr>
        <w:t>P &lt; 0.001</w:t>
      </w:r>
      <w:r>
        <w:rPr>
          <w:color w:val="000000"/>
          <w:kern w:val="0"/>
          <w:sz w:val="24"/>
        </w:rPr>
        <w:t xml:space="preserve"> compared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color w:val="000000"/>
          <w:kern w:val="0"/>
          <w:sz w:val="24"/>
        </w:rPr>
        <w:t>with the control medi</w:t>
      </w:r>
      <w:r>
        <w:rPr>
          <w:rFonts w:hint="eastAsia"/>
          <w:color w:val="000000"/>
          <w:kern w:val="0"/>
          <w:sz w:val="24"/>
        </w:rPr>
        <w:t>a</w:t>
      </w:r>
      <w:r>
        <w:rPr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or </w:t>
      </w:r>
      <w:r>
        <w:rPr>
          <w:color w:val="000000"/>
          <w:kern w:val="0"/>
          <w:sz w:val="24"/>
        </w:rPr>
        <w:t>cells</w:t>
      </w:r>
      <w:r>
        <w:rPr>
          <w:rFonts w:hint="eastAsia"/>
          <w:color w:val="000000"/>
          <w:kern w:val="0"/>
          <w:sz w:val="24"/>
        </w:rPr>
        <w:t>.</w:t>
      </w:r>
    </w:p>
    <w:sectPr w:rsidR="004C306A" w:rsidRPr="00B13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A3" w:rsidRDefault="00EE13A3" w:rsidP="00DB276F">
      <w:r>
        <w:separator/>
      </w:r>
    </w:p>
  </w:endnote>
  <w:endnote w:type="continuationSeparator" w:id="0">
    <w:p w:rsidR="00EE13A3" w:rsidRDefault="00EE13A3" w:rsidP="00DB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C4E74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A3" w:rsidRDefault="00EE13A3" w:rsidP="00DB276F">
      <w:r>
        <w:separator/>
      </w:r>
    </w:p>
  </w:footnote>
  <w:footnote w:type="continuationSeparator" w:id="0">
    <w:p w:rsidR="00EE13A3" w:rsidRDefault="00EE13A3" w:rsidP="00DB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7"/>
    <w:rsid w:val="00146757"/>
    <w:rsid w:val="00165BD8"/>
    <w:rsid w:val="001B7E28"/>
    <w:rsid w:val="003F2A5C"/>
    <w:rsid w:val="004C306A"/>
    <w:rsid w:val="006950B3"/>
    <w:rsid w:val="00B133BF"/>
    <w:rsid w:val="00DB276F"/>
    <w:rsid w:val="00E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76F"/>
    <w:rPr>
      <w:sz w:val="18"/>
      <w:szCs w:val="18"/>
    </w:rPr>
  </w:style>
  <w:style w:type="table" w:styleId="a5">
    <w:name w:val="Table Grid"/>
    <w:basedOn w:val="a1"/>
    <w:uiPriority w:val="59"/>
    <w:rsid w:val="003F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A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133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33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76F"/>
    <w:rPr>
      <w:sz w:val="18"/>
      <w:szCs w:val="18"/>
    </w:rPr>
  </w:style>
  <w:style w:type="table" w:styleId="a5">
    <w:name w:val="Table Grid"/>
    <w:basedOn w:val="a1"/>
    <w:uiPriority w:val="59"/>
    <w:rsid w:val="003F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A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133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33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http://sdwm.org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15</cp:revision>
  <cp:lastPrinted>2017-02-15T13:31:00Z</cp:lastPrinted>
  <dcterms:created xsi:type="dcterms:W3CDTF">2017-02-15T13:23:00Z</dcterms:created>
  <dcterms:modified xsi:type="dcterms:W3CDTF">2017-02-15T13:31:00Z</dcterms:modified>
</cp:coreProperties>
</file>