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88" w:rsidRDefault="00A26C88" w:rsidP="00A26C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Additional file 2</w:t>
      </w:r>
      <w:r w:rsidRPr="00A46C65">
        <w:rPr>
          <w:rFonts w:ascii="Times New Roman" w:hAnsi="Times New Roman" w:cs="Times New Roman"/>
          <w:i/>
          <w:sz w:val="24"/>
          <w:szCs w:val="24"/>
        </w:rPr>
        <w:t xml:space="preserve">: Summary of included study characteristics, findings and integrated working strategies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9"/>
        <w:gridCol w:w="2188"/>
        <w:gridCol w:w="1877"/>
        <w:gridCol w:w="1443"/>
        <w:gridCol w:w="2815"/>
        <w:gridCol w:w="2078"/>
        <w:gridCol w:w="1704"/>
      </w:tblGrid>
      <w:tr w:rsidR="00A26C88" w:rsidRPr="00CF5681" w:rsidTr="00633C8A">
        <w:tc>
          <w:tcPr>
            <w:tcW w:w="730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Study authors and year</w:t>
            </w:r>
          </w:p>
        </w:tc>
        <w:tc>
          <w:tcPr>
            <w:tcW w:w="772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Study aim</w:t>
            </w:r>
          </w:p>
        </w:tc>
        <w:tc>
          <w:tcPr>
            <w:tcW w:w="662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Study type</w:t>
            </w:r>
          </w:p>
          <w:p w:rsidR="00A26C88" w:rsidRPr="001D494E" w:rsidRDefault="00A26C88" w:rsidP="00633C8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509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Setting</w:t>
            </w:r>
          </w:p>
          <w:p w:rsidR="00A26C88" w:rsidRPr="001D494E" w:rsidRDefault="00A26C88" w:rsidP="00633C8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Target population</w:t>
            </w:r>
          </w:p>
          <w:p w:rsidR="00A26C88" w:rsidRPr="001D494E" w:rsidRDefault="00A26C88" w:rsidP="00633C8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A26C88" w:rsidRPr="001D494E" w:rsidRDefault="00A26C88" w:rsidP="00633C8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33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Type of integration</w:t>
            </w:r>
          </w:p>
          <w:p w:rsidR="00A26C88" w:rsidRPr="001D494E" w:rsidRDefault="00A26C88" w:rsidP="00633C8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A26C88" w:rsidRPr="001D494E" w:rsidRDefault="00A26C88" w:rsidP="00633C8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01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Integrated working strategies studied/identified</w:t>
            </w:r>
          </w:p>
          <w:p w:rsidR="00A26C88" w:rsidRPr="001D494E" w:rsidRDefault="00A26C88" w:rsidP="00633C8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A26C88" w:rsidRPr="00CF5681" w:rsidTr="00633C8A">
        <w:tc>
          <w:tcPr>
            <w:tcW w:w="730" w:type="pct"/>
          </w:tcPr>
          <w:p w:rsidR="00A26C88" w:rsidRPr="001D494E" w:rsidRDefault="00A26C88" w:rsidP="00633C8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1.Sc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h</w:t>
            </w:r>
            <w:r w:rsidRPr="001D494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arf et al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., [</w:t>
            </w:r>
            <w:r w:rsidR="00FE6D8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]</w:t>
            </w:r>
          </w:p>
        </w:tc>
        <w:tc>
          <w:tcPr>
            <w:tcW w:w="772" w:type="pct"/>
          </w:tcPr>
          <w:p w:rsidR="00A26C88" w:rsidRPr="001D494E" w:rsidRDefault="00A26C88" w:rsidP="0063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describe the integration of primary care services into community behavioral health settings based on review </w:t>
            </w:r>
            <w:proofErr w:type="gramStart"/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14D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Substance</w:t>
            </w:r>
            <w:proofErr w:type="gramEnd"/>
            <w:r w:rsidRPr="00014D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Abuse and Mental Health Services Administration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Primary and Behavioral Health Care Integration grants.</w:t>
            </w:r>
          </w:p>
        </w:tc>
        <w:tc>
          <w:tcPr>
            <w:tcW w:w="662" w:type="pct"/>
          </w:tcPr>
          <w:p w:rsidR="00A26C88" w:rsidRPr="001D494E" w:rsidRDefault="00A26C88" w:rsidP="0063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>Data extraction from grantee proposals from 56 programs, across</w:t>
            </w:r>
          </w:p>
          <w:p w:rsidR="00A26C88" w:rsidRPr="001D494E" w:rsidRDefault="00A26C88" w:rsidP="0063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>26 states.</w:t>
            </w:r>
          </w:p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Unites States of America (</w:t>
            </w: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pct"/>
          </w:tcPr>
          <w:p w:rsidR="00A26C88" w:rsidRPr="001D494E" w:rsidRDefault="00A26C88" w:rsidP="0063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 xml:space="preserve">Adults with serious mental illness and AOD use. </w:t>
            </w:r>
          </w:p>
        </w:tc>
        <w:tc>
          <w:tcPr>
            <w:tcW w:w="733" w:type="pct"/>
          </w:tcPr>
          <w:p w:rsidR="00A26C88" w:rsidRPr="001D494E" w:rsidRDefault="0039790C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A26C88"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etween primary care organization and behavioral care organization.</w:t>
            </w:r>
          </w:p>
        </w:tc>
        <w:tc>
          <w:tcPr>
            <w:tcW w:w="601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Nurse care management, co-location of nurse practitioners and primary care providers, supervision by primary care providers</w:t>
            </w:r>
          </w:p>
        </w:tc>
      </w:tr>
      <w:tr w:rsidR="00A26C88" w:rsidRPr="00CF5681" w:rsidTr="00633C8A">
        <w:tc>
          <w:tcPr>
            <w:tcW w:w="730" w:type="pct"/>
          </w:tcPr>
          <w:p w:rsidR="00A26C88" w:rsidRPr="001D494E" w:rsidRDefault="00A26C88" w:rsidP="00FE6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Sword et 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[</w:t>
            </w:r>
            <w:r w:rsidR="00FE6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772" w:type="pct"/>
          </w:tcPr>
          <w:p w:rsidR="00A26C88" w:rsidRPr="001D494E" w:rsidRDefault="00A26C88" w:rsidP="0063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>To determine predictors that influence partnership</w:t>
            </w:r>
            <w:r w:rsidRPr="001D494E" w:rsidDel="003F7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>among agenc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ies for women with AOD problems</w:t>
            </w: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 survey of 270 agencies.</w:t>
            </w:r>
          </w:p>
        </w:tc>
        <w:tc>
          <w:tcPr>
            <w:tcW w:w="509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Canada</w:t>
            </w:r>
          </w:p>
        </w:tc>
        <w:tc>
          <w:tcPr>
            <w:tcW w:w="993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Women with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AOD problems</w:t>
            </w:r>
            <w:r w:rsidR="00B43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26C88" w:rsidRPr="001D494E" w:rsidRDefault="00A26C88" w:rsidP="0063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</w:tcPr>
          <w:p w:rsidR="00A26C88" w:rsidRPr="001D494E" w:rsidRDefault="0039790C" w:rsidP="0063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A26C88"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esponding agencies </w:t>
            </w:r>
            <w:r w:rsidR="00A26C88" w:rsidRPr="001D494E">
              <w:rPr>
                <w:rFonts w:ascii="Times New Roman" w:hAnsi="Times New Roman" w:cs="Times New Roman"/>
                <w:sz w:val="20"/>
                <w:szCs w:val="20"/>
              </w:rPr>
              <w:t>most frequently partnered with social agencies, followed by health care and child agencies; they least frequently partnered with prenatal/postnatal services and universities.</w:t>
            </w:r>
          </w:p>
        </w:tc>
        <w:tc>
          <w:tcPr>
            <w:tcW w:w="601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>Partnership activities; referrals sent; referrals received; information shared;</w:t>
            </w:r>
          </w:p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94E">
              <w:rPr>
                <w:rFonts w:ascii="Times New Roman" w:hAnsi="Times New Roman" w:cs="Times New Roman"/>
                <w:sz w:val="20"/>
                <w:szCs w:val="20"/>
              </w:rPr>
              <w:t>consultation</w:t>
            </w:r>
            <w:proofErr w:type="gramEnd"/>
            <w:r w:rsidRPr="001D494E">
              <w:rPr>
                <w:rFonts w:ascii="Times New Roman" w:hAnsi="Times New Roman" w:cs="Times New Roman"/>
                <w:sz w:val="20"/>
                <w:szCs w:val="20"/>
              </w:rPr>
              <w:t>; joint programs.</w:t>
            </w:r>
          </w:p>
        </w:tc>
      </w:tr>
      <w:tr w:rsidR="00A26C88" w:rsidRPr="00CF5681" w:rsidTr="00633C8A">
        <w:tc>
          <w:tcPr>
            <w:tcW w:w="730" w:type="pct"/>
          </w:tcPr>
          <w:p w:rsidR="00A26C88" w:rsidRPr="001D494E" w:rsidRDefault="00A26C88" w:rsidP="00FE6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Lee et al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., [</w:t>
            </w:r>
            <w:r w:rsidR="00FE6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772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>To identify collaborative care models for adults with comorbidities involving severe mental illness.</w:t>
            </w:r>
          </w:p>
        </w:tc>
        <w:tc>
          <w:tcPr>
            <w:tcW w:w="662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>Literature review and consultation with national stakeholders.</w:t>
            </w:r>
          </w:p>
        </w:tc>
        <w:tc>
          <w:tcPr>
            <w:tcW w:w="509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993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Clients with severe mental illness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AOD problems</w:t>
            </w:r>
            <w:r w:rsidR="00B43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33" w:type="pct"/>
          </w:tcPr>
          <w:p w:rsidR="00A26C88" w:rsidRPr="001D494E" w:rsidRDefault="0039790C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A26C88"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etween mental health treatment and AOD services</w:t>
            </w:r>
            <w:r w:rsidR="00B43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01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Exchange client information, shared treatment plans, joint case conferences, consultations, </w:t>
            </w: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>comorbidity screen</w:t>
            </w:r>
            <w:r w:rsidRPr="001D494E">
              <w:rPr>
                <w:rFonts w:ascii="Times New Roman" w:hAnsi="Times New Roman" w:cs="Times New Roman"/>
                <w:sz w:val="20"/>
                <w:szCs w:val="20"/>
              </w:rPr>
              <w:softHyphen/>
              <w:t>ing and staff education.</w:t>
            </w:r>
          </w:p>
        </w:tc>
      </w:tr>
      <w:tr w:rsidR="00A26C88" w:rsidRPr="00CF5681" w:rsidTr="00633C8A">
        <w:tc>
          <w:tcPr>
            <w:tcW w:w="730" w:type="pct"/>
          </w:tcPr>
          <w:p w:rsidR="00A26C88" w:rsidRPr="001D494E" w:rsidRDefault="00A26C88" w:rsidP="00FE6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4. Sterling et 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[</w:t>
            </w:r>
            <w:r w:rsidR="00FE6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772" w:type="pct"/>
          </w:tcPr>
          <w:p w:rsidR="00A26C88" w:rsidRPr="001D494E" w:rsidRDefault="00A26C88" w:rsidP="0063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 xml:space="preserve">To examine the literature on integration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AOD</w:t>
            </w: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 xml:space="preserve"> treatment with other adolescent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ealth care services focusing on </w:t>
            </w: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>Screening, Brief Intervention and Referral to</w:t>
            </w:r>
          </w:p>
          <w:p w:rsidR="00A26C88" w:rsidRPr="001D494E" w:rsidRDefault="00A26C88" w:rsidP="0063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Literature review</w:t>
            </w:r>
            <w:r w:rsidR="00B43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26C88" w:rsidRPr="001D494E" w:rsidRDefault="00A26C88" w:rsidP="0063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993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Adolescents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 AOD problems and other issues</w:t>
            </w:r>
            <w:r w:rsidR="00B43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26C88" w:rsidRPr="001D494E" w:rsidRDefault="00A26C88" w:rsidP="0063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</w:tcPr>
          <w:p w:rsidR="00A26C88" w:rsidRPr="001D494E" w:rsidRDefault="0039790C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A26C88"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etween AOD services and Emergency Departments, primary care, and school-based health care centers.</w:t>
            </w:r>
          </w:p>
        </w:tc>
        <w:tc>
          <w:tcPr>
            <w:tcW w:w="601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Delivery 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brief intervention in emergency department</w:t>
            </w: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settings, physician-delivered risk behavior screening and counseling; access to behavioral health services,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AOD</w:t>
            </w: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treatment integration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into college health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A26C88" w:rsidRPr="00CF5681" w:rsidTr="00633C8A">
        <w:tc>
          <w:tcPr>
            <w:tcW w:w="730" w:type="pct"/>
          </w:tcPr>
          <w:p w:rsidR="00A26C88" w:rsidRPr="001D494E" w:rsidRDefault="00A26C88" w:rsidP="00FE6D8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5.Vanderplasschen et al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., [</w:t>
            </w:r>
            <w:r w:rsidR="00FE6D8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]</w:t>
            </w:r>
          </w:p>
        </w:tc>
        <w:tc>
          <w:tcPr>
            <w:tcW w:w="772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examine the impact of inter-agency care coordination and intensive case-management on multiple service utilization.</w:t>
            </w:r>
          </w:p>
        </w:tc>
        <w:tc>
          <w:tcPr>
            <w:tcW w:w="662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Qualitative component of a larger randomized controlled trial of case managers/care coordinators and 20 clients.</w:t>
            </w:r>
          </w:p>
        </w:tc>
        <w:tc>
          <w:tcPr>
            <w:tcW w:w="509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993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Adults with substance</w:t>
            </w:r>
            <w:r w:rsidR="00586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abuse in residential treatment</w:t>
            </w:r>
            <w:r w:rsidR="00B43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33" w:type="pct"/>
          </w:tcPr>
          <w:p w:rsidR="00A26C88" w:rsidRPr="001D494E" w:rsidRDefault="0039790C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A26C88"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etween detoxification AOD services and outpatient services</w:t>
            </w:r>
            <w:r w:rsidR="00B43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01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Case-management</w:t>
            </w:r>
          </w:p>
        </w:tc>
      </w:tr>
      <w:tr w:rsidR="00A26C88" w:rsidRPr="00CF5681" w:rsidTr="00633C8A">
        <w:tc>
          <w:tcPr>
            <w:tcW w:w="730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 Roberts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</w:t>
            </w:r>
            <w:r w:rsidR="00FE6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2" w:type="pct"/>
          </w:tcPr>
          <w:p w:rsidR="00A26C88" w:rsidRPr="001D494E" w:rsidRDefault="00A26C88" w:rsidP="0063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>To expl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ore the attitudes of specialist </w:t>
            </w: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 xml:space="preserve">mental health workers to AOD problems in the process of developing effective services for people with ‘dual </w:t>
            </w:r>
            <w:proofErr w:type="gramStart"/>
            <w:r w:rsidRPr="001D494E">
              <w:rPr>
                <w:rFonts w:ascii="Times New Roman" w:hAnsi="Times New Roman" w:cs="Times New Roman"/>
                <w:sz w:val="20"/>
                <w:szCs w:val="20"/>
              </w:rPr>
              <w:t>diagnosis’</w:t>
            </w:r>
            <w:proofErr w:type="gramEnd"/>
            <w:r w:rsidRPr="001D4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Qualitative case study of </w:t>
            </w: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 xml:space="preserve">18 policy advisors, consumer researchers </w:t>
            </w:r>
          </w:p>
          <w:p w:rsidR="00A26C88" w:rsidRPr="001D494E" w:rsidRDefault="00A26C88" w:rsidP="0063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94E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1D494E">
              <w:rPr>
                <w:rFonts w:ascii="Times New Roman" w:hAnsi="Times New Roman" w:cs="Times New Roman"/>
                <w:sz w:val="20"/>
                <w:szCs w:val="20"/>
              </w:rPr>
              <w:t xml:space="preserve"> clinicians. </w:t>
            </w:r>
          </w:p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993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Clients with co-occurring AOD and mental health (dual diagnosis) issues. </w:t>
            </w:r>
          </w:p>
        </w:tc>
        <w:tc>
          <w:tcPr>
            <w:tcW w:w="733" w:type="pct"/>
          </w:tcPr>
          <w:p w:rsidR="00A26C88" w:rsidRPr="001D494E" w:rsidRDefault="0039790C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A26C88"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etween AOD and mental health services</w:t>
            </w:r>
            <w:r w:rsidR="00B43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01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Development of new community-based service system in Victoria. </w:t>
            </w:r>
          </w:p>
        </w:tc>
      </w:tr>
      <w:tr w:rsidR="00A26C88" w:rsidRPr="00CF5681" w:rsidTr="00633C8A">
        <w:tc>
          <w:tcPr>
            <w:tcW w:w="730" w:type="pct"/>
          </w:tcPr>
          <w:p w:rsidR="00A26C88" w:rsidRPr="001D494E" w:rsidRDefault="00A26C88" w:rsidP="00FE6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Gurewich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[</w:t>
            </w:r>
            <w:r w:rsidR="00FE6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772" w:type="pct"/>
          </w:tcPr>
          <w:p w:rsidR="00A26C88" w:rsidRPr="001D494E" w:rsidRDefault="00A26C88" w:rsidP="0063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 xml:space="preserve">To examine operational practices of community health centres (CHCs) to effectively coordinate substance use disorders. </w:t>
            </w:r>
          </w:p>
        </w:tc>
        <w:tc>
          <w:tcPr>
            <w:tcW w:w="662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Case study of 25 staff from 5 CHCs. </w:t>
            </w:r>
          </w:p>
          <w:p w:rsidR="00A26C88" w:rsidRPr="001D494E" w:rsidRDefault="00A26C88" w:rsidP="0063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993" w:type="pct"/>
          </w:tcPr>
          <w:p w:rsidR="00A26C88" w:rsidRPr="001D494E" w:rsidRDefault="00A26C88" w:rsidP="0063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Adults with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AOD problems</w:t>
            </w: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33" w:type="pct"/>
          </w:tcPr>
          <w:p w:rsidR="00A26C88" w:rsidRPr="001D494E" w:rsidRDefault="0039790C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A26C88"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etween CHCs and AOD service</w:t>
            </w:r>
            <w:r w:rsidR="00B43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01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Co-location of services, linkage of workers. </w:t>
            </w:r>
          </w:p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6C88" w:rsidRPr="00CF5681" w:rsidTr="00633C8A">
        <w:tc>
          <w:tcPr>
            <w:tcW w:w="730" w:type="pct"/>
          </w:tcPr>
          <w:p w:rsidR="00A26C88" w:rsidRPr="001D494E" w:rsidRDefault="00A26C88" w:rsidP="00FE6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 Carter et 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FE6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772" w:type="pct"/>
          </w:tcPr>
          <w:p w:rsidR="00A26C88" w:rsidRPr="001D494E" w:rsidRDefault="00A26C88" w:rsidP="0063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>To investigate how managed care</w:t>
            </w:r>
          </w:p>
          <w:p w:rsidR="00A26C88" w:rsidRPr="001D494E" w:rsidRDefault="00A26C88" w:rsidP="0063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 xml:space="preserve">arrangements affect </w:t>
            </w:r>
            <w:r w:rsidRPr="001D4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inter-agency relationships of</w:t>
            </w:r>
          </w:p>
          <w:p w:rsidR="00A26C88" w:rsidRPr="001D494E" w:rsidRDefault="00A26C88" w:rsidP="0063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94E">
              <w:rPr>
                <w:rFonts w:ascii="Times New Roman" w:hAnsi="Times New Roman" w:cs="Times New Roman"/>
                <w:sz w:val="20"/>
                <w:szCs w:val="20"/>
              </w:rPr>
              <w:t>outpatient</w:t>
            </w:r>
            <w:proofErr w:type="gramEnd"/>
            <w:r w:rsidRPr="001D494E">
              <w:rPr>
                <w:rFonts w:ascii="Times New Roman" w:hAnsi="Times New Roman" w:cs="Times New Roman"/>
                <w:sz w:val="20"/>
                <w:szCs w:val="20"/>
              </w:rPr>
              <w:t xml:space="preserve"> substance abuse treatment (OSATs) with primary care and mental health agencies.</w:t>
            </w:r>
          </w:p>
        </w:tc>
        <w:tc>
          <w:tcPr>
            <w:tcW w:w="662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Cross-sectional survey of 62</w:t>
            </w:r>
          </w:p>
          <w:p w:rsidR="00A26C88" w:rsidRPr="001D494E" w:rsidRDefault="00A26C88" w:rsidP="0063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 xml:space="preserve">OSATs. </w:t>
            </w:r>
          </w:p>
        </w:tc>
        <w:tc>
          <w:tcPr>
            <w:tcW w:w="509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993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Adults with AOD problems.</w:t>
            </w:r>
          </w:p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3" w:type="pct"/>
          </w:tcPr>
          <w:p w:rsidR="00A26C88" w:rsidRPr="001D494E" w:rsidRDefault="0039790C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A26C88"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etween AOD, primary care and mental health services.</w:t>
            </w:r>
          </w:p>
        </w:tc>
        <w:tc>
          <w:tcPr>
            <w:tcW w:w="601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Managed care arrangements.</w:t>
            </w:r>
          </w:p>
        </w:tc>
      </w:tr>
      <w:tr w:rsidR="00A26C88" w:rsidRPr="00CF5681" w:rsidTr="00633C8A">
        <w:tc>
          <w:tcPr>
            <w:tcW w:w="730" w:type="pct"/>
          </w:tcPr>
          <w:p w:rsidR="00A26C88" w:rsidRPr="001D494E" w:rsidRDefault="00A26C88" w:rsidP="00FE6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9. Lombard et 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[</w:t>
            </w:r>
            <w:r w:rsidR="00FE6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772" w:type="pct"/>
          </w:tcPr>
          <w:p w:rsidR="00A26C88" w:rsidRPr="001D494E" w:rsidRDefault="00A26C88" w:rsidP="0063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>To examine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 integration of Human Immunodeficiency V</w:t>
            </w:r>
            <w:r w:rsidRPr="00014D9E">
              <w:rPr>
                <w:rFonts w:ascii="Times New Roman" w:hAnsi="Times New Roman" w:cs="Times New Roman"/>
                <w:sz w:val="20"/>
                <w:szCs w:val="20"/>
              </w:rPr>
              <w:t xml:space="preserve">irus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(HIV) and AOD</w:t>
            </w: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 xml:space="preserve"> care.</w:t>
            </w:r>
          </w:p>
          <w:p w:rsidR="00A26C88" w:rsidRPr="001D494E" w:rsidRDefault="00A26C88" w:rsidP="0063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Qualitative study </w:t>
            </w:r>
          </w:p>
        </w:tc>
        <w:tc>
          <w:tcPr>
            <w:tcW w:w="509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993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Adults with HIV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AOD problems and </w:t>
            </w: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mental illness.</w:t>
            </w:r>
          </w:p>
        </w:tc>
        <w:tc>
          <w:tcPr>
            <w:tcW w:w="733" w:type="pct"/>
          </w:tcPr>
          <w:p w:rsidR="00A26C88" w:rsidRPr="001D494E" w:rsidRDefault="0039790C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A26C88"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etween AOD and HIV care</w:t>
            </w:r>
            <w:r w:rsidR="00586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01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Case-management</w:t>
            </w:r>
          </w:p>
        </w:tc>
      </w:tr>
      <w:tr w:rsidR="00A26C88" w:rsidRPr="00CF5681" w:rsidTr="00633C8A">
        <w:tc>
          <w:tcPr>
            <w:tcW w:w="730" w:type="pct"/>
          </w:tcPr>
          <w:p w:rsidR="00A26C88" w:rsidRPr="001D494E" w:rsidRDefault="00A26C88" w:rsidP="00FE6D8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10. Sylla et al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., [</w:t>
            </w:r>
            <w:r w:rsidR="00FE6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772" w:type="pct"/>
          </w:tcPr>
          <w:p w:rsidR="00A26C88" w:rsidRPr="001D494E" w:rsidRDefault="00A26C88" w:rsidP="0063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>To examine integration of three clinical services:</w:t>
            </w:r>
          </w:p>
          <w:p w:rsidR="00A26C88" w:rsidRPr="001D494E" w:rsidRDefault="00A26C88" w:rsidP="0063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94E">
              <w:rPr>
                <w:rFonts w:ascii="Times New Roman" w:eastAsia="MTSY" w:hAnsi="Times New Roman" w:cs="Times New Roman"/>
                <w:sz w:val="20"/>
                <w:szCs w:val="20"/>
              </w:rPr>
              <w:t xml:space="preserve">- </w:t>
            </w: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>Screening, detection and treatment of patients with tuberculosis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(TB)</w:t>
            </w: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6C88" w:rsidRPr="001D494E" w:rsidRDefault="00A26C88" w:rsidP="0063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94E">
              <w:rPr>
                <w:rFonts w:ascii="Times New Roman" w:eastAsia="MTSY" w:hAnsi="Times New Roman" w:cs="Times New Roman"/>
                <w:sz w:val="20"/>
                <w:szCs w:val="20"/>
              </w:rPr>
              <w:t xml:space="preserve">- </w:t>
            </w: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>Voluntary Counselling, Testing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medical management for HIV</w:t>
            </w: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 xml:space="preserve"> clients.</w:t>
            </w:r>
          </w:p>
          <w:p w:rsidR="00A26C88" w:rsidRPr="001D494E" w:rsidRDefault="00A26C88" w:rsidP="0063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94E">
              <w:rPr>
                <w:rFonts w:ascii="Times New Roman" w:eastAsia="MTSY" w:hAnsi="Times New Roman" w:cs="Times New Roman"/>
                <w:sz w:val="20"/>
                <w:szCs w:val="20"/>
              </w:rPr>
              <w:t xml:space="preserve">- </w:t>
            </w: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>Screening and treatment of substance use and dependence.</w:t>
            </w:r>
          </w:p>
        </w:tc>
        <w:tc>
          <w:tcPr>
            <w:tcW w:w="662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Literature review</w:t>
            </w:r>
            <w:r w:rsidR="00B43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09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993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Adults with HIV/TB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AOD problems</w:t>
            </w:r>
            <w:r w:rsidR="00B43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33" w:type="pct"/>
          </w:tcPr>
          <w:p w:rsidR="00A26C88" w:rsidRPr="001D494E" w:rsidRDefault="0039790C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A26C88"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etween AOD, </w:t>
            </w:r>
            <w:r w:rsidR="00A26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</w:t>
            </w:r>
            <w:r w:rsidR="00A26C88"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HIV care</w:t>
            </w:r>
            <w:r w:rsidR="00586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01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Case-management, co-location, cross-training</w:t>
            </w:r>
          </w:p>
        </w:tc>
      </w:tr>
      <w:tr w:rsidR="00A26C88" w:rsidRPr="00CF5681" w:rsidTr="00633C8A">
        <w:tc>
          <w:tcPr>
            <w:tcW w:w="730" w:type="pct"/>
          </w:tcPr>
          <w:p w:rsidR="00A26C88" w:rsidRPr="001D494E" w:rsidRDefault="00A26C88" w:rsidP="00FE6D8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11. Lindholm et al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., [</w:t>
            </w:r>
            <w:r w:rsidR="00FE6D8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]</w:t>
            </w:r>
          </w:p>
        </w:tc>
        <w:tc>
          <w:tcPr>
            <w:tcW w:w="772" w:type="pct"/>
          </w:tcPr>
          <w:p w:rsidR="00A26C88" w:rsidRPr="001D494E" w:rsidRDefault="00A26C88" w:rsidP="0063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 xml:space="preserve">To describe possibilities of community coalition to reduce AOD problems in 10 urban communities. </w:t>
            </w:r>
          </w:p>
        </w:tc>
        <w:tc>
          <w:tcPr>
            <w:tcW w:w="662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Qualitative study (e.g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gramEnd"/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case histories)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 xml:space="preserve">8 programs. </w:t>
            </w:r>
          </w:p>
        </w:tc>
        <w:tc>
          <w:tcPr>
            <w:tcW w:w="509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993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Adults with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AOD problems</w:t>
            </w:r>
            <w:r w:rsidR="00B43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3" w:type="pct"/>
          </w:tcPr>
          <w:p w:rsidR="00A26C88" w:rsidRPr="001D494E" w:rsidRDefault="0039790C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A26C88"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etween AOD and community agencies and groups</w:t>
            </w:r>
            <w:r w:rsidR="00586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A26C88"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601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Community coalitions</w:t>
            </w:r>
          </w:p>
        </w:tc>
      </w:tr>
      <w:tr w:rsidR="00A26C88" w:rsidRPr="00CF5681" w:rsidTr="00633C8A">
        <w:tc>
          <w:tcPr>
            <w:tcW w:w="730" w:type="pct"/>
          </w:tcPr>
          <w:p w:rsidR="00A26C88" w:rsidRPr="001D494E" w:rsidRDefault="00A26C88" w:rsidP="00FE6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[</w:t>
            </w:r>
            <w:r w:rsidR="00FE6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772" w:type="pct"/>
          </w:tcPr>
          <w:p w:rsidR="00A26C88" w:rsidRPr="001D494E" w:rsidRDefault="00A26C88" w:rsidP="0063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 xml:space="preserve">To examine AOD service integration in primary care. </w:t>
            </w:r>
          </w:p>
          <w:p w:rsidR="00A26C88" w:rsidRPr="001D494E" w:rsidRDefault="00A26C88" w:rsidP="0063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Mixed methods study: survey of primary care service staff and qualitative interviews with </w:t>
            </w:r>
            <w:r w:rsidRPr="001D4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managers, clinicians, and clients.</w:t>
            </w:r>
          </w:p>
        </w:tc>
        <w:tc>
          <w:tcPr>
            <w:tcW w:w="509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USA</w:t>
            </w:r>
          </w:p>
        </w:tc>
        <w:tc>
          <w:tcPr>
            <w:tcW w:w="993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Primary health care </w:t>
            </w:r>
            <w:proofErr w:type="spellStart"/>
            <w:r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centres</w:t>
            </w:r>
            <w:proofErr w:type="spellEnd"/>
            <w:r w:rsidR="00B43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33" w:type="pct"/>
          </w:tcPr>
          <w:p w:rsidR="00A26C88" w:rsidRPr="001D494E" w:rsidRDefault="0039790C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A26C88" w:rsidRPr="001D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etween AOD and primary care services</w:t>
            </w:r>
            <w:r w:rsidR="00586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601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94E">
              <w:rPr>
                <w:rFonts w:ascii="Times New Roman" w:hAnsi="Times New Roman" w:cs="Times New Roman"/>
                <w:sz w:val="20"/>
                <w:szCs w:val="20"/>
              </w:rPr>
              <w:t>Provider funding, training, expanding AOD treatment services, co-</w:t>
            </w:r>
            <w:r w:rsidRPr="001D4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location of AOD services in primary care.</w:t>
            </w:r>
          </w:p>
        </w:tc>
      </w:tr>
      <w:tr w:rsidR="00A26C88" w:rsidRPr="00CF5681" w:rsidTr="00633C8A">
        <w:tc>
          <w:tcPr>
            <w:tcW w:w="730" w:type="pct"/>
          </w:tcPr>
          <w:p w:rsidR="00A26C88" w:rsidRPr="001D494E" w:rsidRDefault="00A26C88" w:rsidP="00FE6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13. Lubman et al., [</w:t>
            </w:r>
            <w:r w:rsidR="00FE6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772" w:type="pct"/>
          </w:tcPr>
          <w:p w:rsidR="00A26C88" w:rsidRPr="001D494E" w:rsidRDefault="00A26C88" w:rsidP="0063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ABE">
              <w:rPr>
                <w:rFonts w:ascii="Times New Roman" w:hAnsi="Times New Roman" w:cs="Times New Roman"/>
                <w:sz w:val="20"/>
                <w:szCs w:val="20"/>
              </w:rPr>
              <w:t xml:space="preserve">To describe the implementation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adoption mental health screening </w:t>
            </w:r>
            <w:r w:rsidRPr="00583ABE">
              <w:rPr>
                <w:rFonts w:ascii="Times New Roman" w:hAnsi="Times New Roman" w:cs="Times New Roman"/>
                <w:sz w:val="20"/>
                <w:szCs w:val="20"/>
              </w:rPr>
              <w:t>within a youth AOD service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Australia</w:t>
            </w:r>
            <w:r w:rsidRPr="00583A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Quantitative examination of routinely collected service data</w:t>
            </w:r>
            <w:r w:rsidR="00B43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09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993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Young people with AOD and mental health problems</w:t>
            </w:r>
            <w:r w:rsidR="00B43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33" w:type="pct"/>
          </w:tcPr>
          <w:p w:rsidR="00A26C88" w:rsidRPr="001D494E" w:rsidRDefault="0039790C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A26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etween AOD and mental health services</w:t>
            </w:r>
            <w:r w:rsidR="00B43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01" w:type="pct"/>
          </w:tcPr>
          <w:p w:rsidR="00A26C88" w:rsidRPr="001D494E" w:rsidRDefault="00A26C88" w:rsidP="00633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Screening</w:t>
            </w:r>
          </w:p>
        </w:tc>
      </w:tr>
      <w:tr w:rsidR="00A26C88" w:rsidRPr="00CF5681" w:rsidTr="00633C8A">
        <w:tc>
          <w:tcPr>
            <w:tcW w:w="730" w:type="pct"/>
          </w:tcPr>
          <w:p w:rsidR="00A26C88" w:rsidRDefault="00A26C88" w:rsidP="00FE6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[</w:t>
            </w:r>
            <w:r w:rsidR="00FE6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772" w:type="pct"/>
          </w:tcPr>
          <w:p w:rsidR="00A26C88" w:rsidRPr="00583ABE" w:rsidRDefault="00A26C88" w:rsidP="0063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D6F40">
              <w:rPr>
                <w:rFonts w:ascii="Times New Roman" w:hAnsi="Times New Roman" w:cs="Times New Roman"/>
                <w:sz w:val="20"/>
                <w:szCs w:val="20"/>
              </w:rPr>
              <w:t>o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xamine the extent to which AOD services address intimate partner violence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batterer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intervention programs </w:t>
            </w:r>
            <w:r w:rsidRPr="00ED6F40">
              <w:rPr>
                <w:rFonts w:ascii="Times New Roman" w:hAnsi="Times New Roman" w:cs="Times New Roman"/>
                <w:sz w:val="20"/>
                <w:szCs w:val="20"/>
              </w:rPr>
              <w:t xml:space="preserve">address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AOD problems.</w:t>
            </w:r>
          </w:p>
        </w:tc>
        <w:tc>
          <w:tcPr>
            <w:tcW w:w="662" w:type="pct"/>
          </w:tcPr>
          <w:p w:rsidR="00A26C88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Quantitative survey of directors of AOD services (n=241) &amp; batterer intervention programs (n=235)</w:t>
            </w:r>
            <w:r w:rsidR="00B43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9" w:type="pct"/>
          </w:tcPr>
          <w:p w:rsidR="00A26C88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993" w:type="pct"/>
          </w:tcPr>
          <w:p w:rsidR="00A26C88" w:rsidRDefault="00A26C88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People with AOD problems who have perpetrated intimate partner violence</w:t>
            </w:r>
            <w:r w:rsidR="00B43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33" w:type="pct"/>
          </w:tcPr>
          <w:p w:rsidR="00A26C88" w:rsidRDefault="0039790C" w:rsidP="00633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A26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etween AOD and intimate partner violence services</w:t>
            </w:r>
            <w:r w:rsidR="00B43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01" w:type="pct"/>
          </w:tcPr>
          <w:p w:rsidR="00A26C88" w:rsidRDefault="00A26C88" w:rsidP="00633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Assessment, referral, care-planning, cross-training, service centralization, &amp; programs focussing on co-occurring issues. </w:t>
            </w:r>
          </w:p>
        </w:tc>
      </w:tr>
    </w:tbl>
    <w:p w:rsidR="00A26C88" w:rsidRDefault="00A26C88" w:rsidP="00A26C88">
      <w:pPr>
        <w:rPr>
          <w:rFonts w:ascii="Times New Roman" w:hAnsi="Times New Roman" w:cs="Times New Roman"/>
          <w:i/>
          <w:sz w:val="24"/>
          <w:szCs w:val="24"/>
        </w:rPr>
        <w:sectPr w:rsidR="00A26C88" w:rsidSect="00F449D4">
          <w:foot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55B03" w:rsidRDefault="00D27879" w:rsidP="00A26C88"/>
    <w:sectPr w:rsidR="00955B03" w:rsidSect="00A26C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79" w:rsidRDefault="00D27879" w:rsidP="00A26C88">
      <w:pPr>
        <w:spacing w:after="0" w:line="240" w:lineRule="auto"/>
      </w:pPr>
      <w:r>
        <w:separator/>
      </w:r>
    </w:p>
  </w:endnote>
  <w:endnote w:type="continuationSeparator" w:id="0">
    <w:p w:rsidR="00D27879" w:rsidRDefault="00D27879" w:rsidP="00A2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15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6C88" w:rsidRDefault="00A26C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B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6C88" w:rsidRDefault="00A26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79" w:rsidRDefault="00D27879" w:rsidP="00A26C88">
      <w:pPr>
        <w:spacing w:after="0" w:line="240" w:lineRule="auto"/>
      </w:pPr>
      <w:r>
        <w:separator/>
      </w:r>
    </w:p>
  </w:footnote>
  <w:footnote w:type="continuationSeparator" w:id="0">
    <w:p w:rsidR="00D27879" w:rsidRDefault="00D27879" w:rsidP="00A26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88"/>
    <w:rsid w:val="000D205B"/>
    <w:rsid w:val="00207C56"/>
    <w:rsid w:val="0039790C"/>
    <w:rsid w:val="00586BCC"/>
    <w:rsid w:val="0084066B"/>
    <w:rsid w:val="0095327D"/>
    <w:rsid w:val="00A26C88"/>
    <w:rsid w:val="00B43BA1"/>
    <w:rsid w:val="00D27879"/>
    <w:rsid w:val="00F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88"/>
    <w:rPr>
      <w:rFonts w:eastAsiaTheme="minorEastAsia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C88"/>
    <w:pPr>
      <w:spacing w:after="0" w:line="240" w:lineRule="auto"/>
    </w:pPr>
    <w:rPr>
      <w:rFonts w:eastAsiaTheme="minorEastAsia"/>
      <w:lang w:val="en-GB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88"/>
    <w:rPr>
      <w:rFonts w:eastAsiaTheme="minorEastAsia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A2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88"/>
    <w:rPr>
      <w:rFonts w:eastAsiaTheme="minorEastAsia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80"/>
    <w:rPr>
      <w:rFonts w:ascii="Tahoma" w:eastAsiaTheme="minorEastAsia" w:hAnsi="Tahoma" w:cs="Tahoma"/>
      <w:sz w:val="16"/>
      <w:szCs w:val="16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88"/>
    <w:rPr>
      <w:rFonts w:eastAsiaTheme="minorEastAsia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C88"/>
    <w:pPr>
      <w:spacing w:after="0" w:line="240" w:lineRule="auto"/>
    </w:pPr>
    <w:rPr>
      <w:rFonts w:eastAsiaTheme="minorEastAsia"/>
      <w:lang w:val="en-GB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88"/>
    <w:rPr>
      <w:rFonts w:eastAsiaTheme="minorEastAsia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A2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88"/>
    <w:rPr>
      <w:rFonts w:eastAsiaTheme="minorEastAsia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80"/>
    <w:rPr>
      <w:rFonts w:ascii="Tahoma" w:eastAsiaTheme="minorEastAsia" w:hAnsi="Tahoma" w:cs="Tahoma"/>
      <w:sz w:val="16"/>
      <w:szCs w:val="1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Savic</dc:creator>
  <cp:lastModifiedBy>Michael Savic</cp:lastModifiedBy>
  <cp:revision>2</cp:revision>
  <dcterms:created xsi:type="dcterms:W3CDTF">2017-03-20T06:01:00Z</dcterms:created>
  <dcterms:modified xsi:type="dcterms:W3CDTF">2017-03-20T06:01:00Z</dcterms:modified>
</cp:coreProperties>
</file>