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51" w:rsidRDefault="000D6F51" w:rsidP="000D6F51">
      <w:pPr>
        <w:jc w:val="center"/>
      </w:pPr>
    </w:p>
    <w:p w:rsidR="0044091A" w:rsidRDefault="000D6F51" w:rsidP="000D6F51">
      <w:pPr>
        <w:jc w:val="center"/>
      </w:pPr>
      <w:r>
        <w:rPr>
          <w:noProof/>
          <w:lang w:eastAsia="fr-FR"/>
        </w:rPr>
        <w:drawing>
          <wp:inline distT="0" distB="0" distL="0" distR="0" wp14:anchorId="2E54EA09">
            <wp:extent cx="5590540" cy="41332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540" cy="4133215"/>
                    </a:xfrm>
                    <a:prstGeom prst="rect">
                      <a:avLst/>
                    </a:prstGeom>
                    <a:noFill/>
                  </pic:spPr>
                </pic:pic>
              </a:graphicData>
            </a:graphic>
          </wp:inline>
        </w:drawing>
      </w:r>
    </w:p>
    <w:p w:rsidR="000D6F51" w:rsidRDefault="000D6F51" w:rsidP="000D6F51">
      <w:pPr>
        <w:jc w:val="center"/>
      </w:pPr>
    </w:p>
    <w:p w:rsidR="000D6F51" w:rsidRPr="008016C3" w:rsidRDefault="000D6F51" w:rsidP="00A0122A">
      <w:pPr>
        <w:jc w:val="both"/>
        <w:rPr>
          <w:rFonts w:asciiTheme="majorBidi" w:hAnsiTheme="majorBidi" w:cstheme="majorBidi"/>
          <w:color w:val="FF0000"/>
          <w:lang w:val="en-US"/>
        </w:rPr>
      </w:pPr>
      <w:r>
        <w:rPr>
          <w:rFonts w:asciiTheme="majorBidi" w:hAnsiTheme="majorBidi" w:cstheme="majorBidi"/>
          <w:b/>
          <w:bCs/>
          <w:lang w:val="en-US"/>
        </w:rPr>
        <w:t xml:space="preserve">Figure S1. </w:t>
      </w:r>
      <w:r>
        <w:rPr>
          <w:rFonts w:asciiTheme="majorBidi" w:hAnsiTheme="majorBidi" w:cstheme="majorBidi"/>
          <w:lang w:val="en-US"/>
        </w:rPr>
        <w:t>Correlation between the VS results for Cn. (</w:t>
      </w:r>
      <w:r w:rsidRPr="00AE1C24">
        <w:rPr>
          <w:rFonts w:asciiTheme="majorBidi" w:hAnsiTheme="majorBidi" w:cstheme="majorBidi"/>
          <w:b/>
          <w:bCs/>
          <w:lang w:val="en-US"/>
        </w:rPr>
        <w:t>Upper panels</w:t>
      </w:r>
      <w:r>
        <w:rPr>
          <w:rFonts w:asciiTheme="majorBidi" w:hAnsiTheme="majorBidi" w:cstheme="majorBidi"/>
          <w:lang w:val="en-US"/>
        </w:rPr>
        <w:t xml:space="preserve">) Correlation between the flexible and rigid dockings performed with </w:t>
      </w:r>
      <w:proofErr w:type="spellStart"/>
      <w:r>
        <w:rPr>
          <w:rFonts w:asciiTheme="majorBidi" w:hAnsiTheme="majorBidi" w:cstheme="majorBidi"/>
          <w:lang w:val="en-US"/>
        </w:rPr>
        <w:t>Surflex</w:t>
      </w:r>
      <w:proofErr w:type="spellEnd"/>
      <w:r>
        <w:rPr>
          <w:rFonts w:asciiTheme="majorBidi" w:hAnsiTheme="majorBidi" w:cstheme="majorBidi"/>
          <w:lang w:val="en-US"/>
        </w:rPr>
        <w:t xml:space="preserve"> (</w:t>
      </w:r>
      <w:r w:rsidRPr="00AE1C24">
        <w:rPr>
          <w:rFonts w:asciiTheme="majorBidi" w:hAnsiTheme="majorBidi" w:cstheme="majorBidi"/>
          <w:b/>
          <w:bCs/>
          <w:lang w:val="en-US"/>
        </w:rPr>
        <w:t>A</w:t>
      </w:r>
      <w:r>
        <w:rPr>
          <w:rFonts w:asciiTheme="majorBidi" w:hAnsiTheme="majorBidi" w:cstheme="majorBidi"/>
          <w:lang w:val="en-US"/>
        </w:rPr>
        <w:t xml:space="preserve">), Gold using </w:t>
      </w:r>
      <w:proofErr w:type="spellStart"/>
      <w:r>
        <w:rPr>
          <w:rFonts w:asciiTheme="majorBidi" w:hAnsiTheme="majorBidi" w:cstheme="majorBidi"/>
          <w:lang w:val="en-US"/>
        </w:rPr>
        <w:t>Goldscore</w:t>
      </w:r>
      <w:proofErr w:type="spellEnd"/>
      <w:r>
        <w:rPr>
          <w:rFonts w:asciiTheme="majorBidi" w:hAnsiTheme="majorBidi" w:cstheme="majorBidi"/>
          <w:lang w:val="en-US"/>
        </w:rPr>
        <w:t xml:space="preserve"> (</w:t>
      </w:r>
      <w:r w:rsidRPr="00AE1C24">
        <w:rPr>
          <w:rFonts w:asciiTheme="majorBidi" w:hAnsiTheme="majorBidi" w:cstheme="majorBidi"/>
          <w:b/>
          <w:bCs/>
          <w:lang w:val="en-US"/>
        </w:rPr>
        <w:t>B</w:t>
      </w:r>
      <w:r>
        <w:rPr>
          <w:rFonts w:asciiTheme="majorBidi" w:hAnsiTheme="majorBidi" w:cstheme="majorBidi"/>
          <w:lang w:val="en-US"/>
        </w:rPr>
        <w:t xml:space="preserve">) and Gold using </w:t>
      </w:r>
      <w:proofErr w:type="spellStart"/>
      <w:r>
        <w:rPr>
          <w:rFonts w:asciiTheme="majorBidi" w:hAnsiTheme="majorBidi" w:cstheme="majorBidi"/>
          <w:lang w:val="en-US"/>
        </w:rPr>
        <w:t>ChemPLP</w:t>
      </w:r>
      <w:proofErr w:type="spellEnd"/>
      <w:r>
        <w:rPr>
          <w:rFonts w:asciiTheme="majorBidi" w:hAnsiTheme="majorBidi" w:cstheme="majorBidi"/>
          <w:lang w:val="en-US"/>
        </w:rPr>
        <w:t xml:space="preserve"> score (</w:t>
      </w:r>
      <w:r w:rsidRPr="00AE1C24">
        <w:rPr>
          <w:rFonts w:asciiTheme="majorBidi" w:hAnsiTheme="majorBidi" w:cstheme="majorBidi"/>
          <w:b/>
          <w:bCs/>
          <w:lang w:val="en-US"/>
        </w:rPr>
        <w:t>C</w:t>
      </w:r>
      <w:r>
        <w:rPr>
          <w:rFonts w:asciiTheme="majorBidi" w:hAnsiTheme="majorBidi" w:cstheme="majorBidi"/>
          <w:lang w:val="en-US"/>
        </w:rPr>
        <w:t>).</w:t>
      </w:r>
      <w:r w:rsidR="008016C3">
        <w:rPr>
          <w:rFonts w:asciiTheme="majorBidi" w:hAnsiTheme="majorBidi" w:cstheme="majorBidi"/>
          <w:lang w:val="en-US"/>
        </w:rPr>
        <w:t xml:space="preserve"> </w:t>
      </w:r>
      <w:bookmarkStart w:id="0" w:name="_GoBack"/>
      <w:r w:rsidR="008016C3">
        <w:rPr>
          <w:rFonts w:asciiTheme="majorBidi" w:hAnsiTheme="majorBidi" w:cstheme="majorBidi"/>
          <w:color w:val="FF0000"/>
          <w:lang w:val="en-US"/>
        </w:rPr>
        <w:t>This important</w:t>
      </w:r>
      <w:r w:rsidR="008016C3">
        <w:rPr>
          <w:rFonts w:asciiTheme="majorBidi" w:hAnsiTheme="majorBidi" w:cstheme="majorBidi"/>
          <w:color w:val="FF0000"/>
          <w:lang w:val="en-US"/>
        </w:rPr>
        <w:t xml:space="preserve"> correlation </w:t>
      </w:r>
      <w:r w:rsidR="008016C3">
        <w:rPr>
          <w:rFonts w:asciiTheme="majorBidi" w:hAnsiTheme="majorBidi" w:cstheme="majorBidi"/>
          <w:color w:val="FF0000"/>
          <w:lang w:val="en-US"/>
        </w:rPr>
        <w:t>is not surpri</w:t>
      </w:r>
      <w:r w:rsidR="002123E3">
        <w:rPr>
          <w:rFonts w:asciiTheme="majorBidi" w:hAnsiTheme="majorBidi" w:cstheme="majorBidi"/>
          <w:color w:val="FF0000"/>
          <w:lang w:val="en-US"/>
        </w:rPr>
        <w:t>sing</w:t>
      </w:r>
      <w:r w:rsidR="008016C3">
        <w:rPr>
          <w:rFonts w:asciiTheme="majorBidi" w:hAnsiTheme="majorBidi" w:cstheme="majorBidi"/>
          <w:color w:val="FF0000"/>
          <w:lang w:val="en-US"/>
        </w:rPr>
        <w:t xml:space="preserve"> </w:t>
      </w:r>
      <w:r w:rsidR="002123E3">
        <w:rPr>
          <w:rFonts w:asciiTheme="majorBidi" w:hAnsiTheme="majorBidi" w:cstheme="majorBidi"/>
          <w:color w:val="FF0000"/>
          <w:lang w:val="en-US"/>
        </w:rPr>
        <w:t xml:space="preserve">for </w:t>
      </w:r>
      <w:proofErr w:type="spellStart"/>
      <w:r w:rsidR="002123E3">
        <w:rPr>
          <w:rFonts w:asciiTheme="majorBidi" w:hAnsiTheme="majorBidi" w:cstheme="majorBidi"/>
          <w:color w:val="FF0000"/>
          <w:lang w:val="en-US"/>
        </w:rPr>
        <w:t>Surflex</w:t>
      </w:r>
      <w:proofErr w:type="spellEnd"/>
      <w:r w:rsidR="002123E3">
        <w:rPr>
          <w:rFonts w:asciiTheme="majorBidi" w:hAnsiTheme="majorBidi" w:cstheme="majorBidi"/>
          <w:color w:val="FF0000"/>
          <w:lang w:val="en-US"/>
        </w:rPr>
        <w:t xml:space="preserve">, </w:t>
      </w:r>
      <w:r w:rsidR="008016C3">
        <w:rPr>
          <w:rFonts w:asciiTheme="majorBidi" w:hAnsiTheme="majorBidi" w:cstheme="majorBidi"/>
          <w:color w:val="FF0000"/>
          <w:lang w:val="en-US"/>
        </w:rPr>
        <w:t xml:space="preserve">considering that with </w:t>
      </w:r>
      <w:r w:rsidR="002123E3">
        <w:rPr>
          <w:rFonts w:asciiTheme="majorBidi" w:hAnsiTheme="majorBidi" w:cstheme="majorBidi"/>
          <w:color w:val="FF0000"/>
          <w:lang w:val="en-US"/>
        </w:rPr>
        <w:t>this program</w:t>
      </w:r>
      <w:r w:rsidR="008016C3">
        <w:rPr>
          <w:rFonts w:asciiTheme="majorBidi" w:hAnsiTheme="majorBidi" w:cstheme="majorBidi"/>
          <w:color w:val="FF0000"/>
          <w:lang w:val="en-US"/>
        </w:rPr>
        <w:t xml:space="preserve">, the flexible docking consists of slight </w:t>
      </w:r>
      <w:r w:rsidR="008016C3">
        <w:rPr>
          <w:rFonts w:asciiTheme="majorBidi" w:hAnsiTheme="majorBidi" w:cstheme="majorBidi"/>
          <w:color w:val="FF0000"/>
          <w:lang w:val="en-US"/>
        </w:rPr>
        <w:t>readjust</w:t>
      </w:r>
      <w:r w:rsidR="008016C3">
        <w:rPr>
          <w:rFonts w:asciiTheme="majorBidi" w:hAnsiTheme="majorBidi" w:cstheme="majorBidi"/>
          <w:color w:val="FF0000"/>
          <w:lang w:val="en-US"/>
        </w:rPr>
        <w:t>ments of</w:t>
      </w:r>
      <w:r w:rsidR="008016C3">
        <w:rPr>
          <w:rFonts w:asciiTheme="majorBidi" w:hAnsiTheme="majorBidi" w:cstheme="majorBidi"/>
          <w:color w:val="FF0000"/>
          <w:lang w:val="en-US"/>
        </w:rPr>
        <w:t xml:space="preserve"> </w:t>
      </w:r>
      <w:r w:rsidR="008016C3">
        <w:rPr>
          <w:rFonts w:asciiTheme="majorBidi" w:hAnsiTheme="majorBidi" w:cstheme="majorBidi"/>
          <w:color w:val="FF0000"/>
          <w:lang w:val="en-US"/>
        </w:rPr>
        <w:t xml:space="preserve">the </w:t>
      </w:r>
      <w:r w:rsidR="002123E3">
        <w:rPr>
          <w:rFonts w:asciiTheme="majorBidi" w:hAnsiTheme="majorBidi" w:cstheme="majorBidi"/>
          <w:color w:val="FF0000"/>
          <w:lang w:val="en-US"/>
        </w:rPr>
        <w:t xml:space="preserve">protein </w:t>
      </w:r>
      <w:r w:rsidR="008016C3">
        <w:rPr>
          <w:rFonts w:asciiTheme="majorBidi" w:hAnsiTheme="majorBidi" w:cstheme="majorBidi"/>
          <w:color w:val="FF0000"/>
          <w:lang w:val="en-US"/>
        </w:rPr>
        <w:t>side</w:t>
      </w:r>
      <w:r w:rsidR="002123E3">
        <w:rPr>
          <w:rFonts w:asciiTheme="majorBidi" w:hAnsiTheme="majorBidi" w:cstheme="majorBidi"/>
          <w:color w:val="FF0000"/>
          <w:lang w:val="en-US"/>
        </w:rPr>
        <w:t xml:space="preserve"> </w:t>
      </w:r>
      <w:r w:rsidR="008016C3">
        <w:rPr>
          <w:rFonts w:asciiTheme="majorBidi" w:hAnsiTheme="majorBidi" w:cstheme="majorBidi"/>
          <w:color w:val="FF0000"/>
          <w:lang w:val="en-US"/>
        </w:rPr>
        <w:t>chains</w:t>
      </w:r>
      <w:r w:rsidR="0075356C">
        <w:rPr>
          <w:rFonts w:asciiTheme="majorBidi" w:hAnsiTheme="majorBidi" w:cstheme="majorBidi"/>
          <w:color w:val="FF0000"/>
          <w:lang w:val="en-US"/>
        </w:rPr>
        <w:t xml:space="preserve">, whereas </w:t>
      </w:r>
      <w:r w:rsidR="002123E3">
        <w:rPr>
          <w:rFonts w:asciiTheme="majorBidi" w:hAnsiTheme="majorBidi" w:cstheme="majorBidi"/>
          <w:color w:val="FF0000"/>
          <w:lang w:val="en-US"/>
        </w:rPr>
        <w:t xml:space="preserve">it is more surprising for Gold, </w:t>
      </w:r>
      <w:r w:rsidR="00A0122A" w:rsidRPr="00A0122A">
        <w:rPr>
          <w:rFonts w:asciiTheme="majorBidi" w:hAnsiTheme="majorBidi" w:cstheme="majorBidi"/>
          <w:color w:val="FF0000"/>
          <w:lang w:val="en-US"/>
        </w:rPr>
        <w:t>where the side chains are allowed to rotate during the</w:t>
      </w:r>
      <w:r w:rsidR="00A0122A">
        <w:rPr>
          <w:rFonts w:asciiTheme="majorBidi" w:hAnsiTheme="majorBidi" w:cstheme="majorBidi"/>
          <w:color w:val="FF0000"/>
          <w:lang w:val="en-US"/>
        </w:rPr>
        <w:t xml:space="preserve"> docking.</w:t>
      </w:r>
      <w:bookmarkEnd w:id="0"/>
      <w:r w:rsidR="0075356C">
        <w:rPr>
          <w:rFonts w:asciiTheme="majorBidi" w:hAnsiTheme="majorBidi" w:cstheme="majorBidi"/>
          <w:color w:val="FF0000"/>
          <w:lang w:val="en-US"/>
        </w:rPr>
        <w:t xml:space="preserve"> </w:t>
      </w:r>
      <w:r w:rsidR="008016C3">
        <w:rPr>
          <w:rFonts w:asciiTheme="majorBidi" w:hAnsiTheme="majorBidi" w:cstheme="majorBidi"/>
          <w:color w:val="FF0000"/>
          <w:lang w:val="en-US"/>
        </w:rPr>
        <w:t xml:space="preserve"> </w:t>
      </w:r>
      <w:r>
        <w:rPr>
          <w:rFonts w:asciiTheme="majorBidi" w:hAnsiTheme="majorBidi" w:cstheme="majorBidi"/>
          <w:lang w:val="en-US"/>
        </w:rPr>
        <w:t xml:space="preserve"> (</w:t>
      </w:r>
      <w:r w:rsidRPr="00AE1C24">
        <w:rPr>
          <w:rFonts w:asciiTheme="majorBidi" w:hAnsiTheme="majorBidi" w:cstheme="majorBidi"/>
          <w:b/>
          <w:bCs/>
          <w:lang w:val="en-US"/>
        </w:rPr>
        <w:t>Lower panels</w:t>
      </w:r>
      <w:r>
        <w:rPr>
          <w:rFonts w:asciiTheme="majorBidi" w:hAnsiTheme="majorBidi" w:cstheme="majorBidi"/>
          <w:lang w:val="en-US"/>
        </w:rPr>
        <w:t>) Correlation between the scoring functions of Gold, with the Gold flexible (</w:t>
      </w:r>
      <w:r w:rsidRPr="00AE1C24">
        <w:rPr>
          <w:rFonts w:asciiTheme="majorBidi" w:hAnsiTheme="majorBidi" w:cstheme="majorBidi"/>
          <w:b/>
          <w:bCs/>
          <w:lang w:val="en-US"/>
        </w:rPr>
        <w:t>D</w:t>
      </w:r>
      <w:r>
        <w:rPr>
          <w:rFonts w:asciiTheme="majorBidi" w:hAnsiTheme="majorBidi" w:cstheme="majorBidi"/>
          <w:lang w:val="en-US"/>
        </w:rPr>
        <w:t>) and rigid (</w:t>
      </w:r>
      <w:r w:rsidRPr="00AE1C24">
        <w:rPr>
          <w:rFonts w:asciiTheme="majorBidi" w:hAnsiTheme="majorBidi" w:cstheme="majorBidi"/>
          <w:b/>
          <w:bCs/>
          <w:lang w:val="en-US"/>
        </w:rPr>
        <w:t>E</w:t>
      </w:r>
      <w:r w:rsidRPr="00AE1C24">
        <w:rPr>
          <w:rFonts w:asciiTheme="majorBidi" w:hAnsiTheme="majorBidi" w:cstheme="majorBidi"/>
          <w:lang w:val="en-US"/>
        </w:rPr>
        <w:t>)</w:t>
      </w:r>
      <w:r w:rsidRPr="005D46C9">
        <w:rPr>
          <w:rFonts w:asciiTheme="majorBidi" w:hAnsiTheme="majorBidi" w:cstheme="majorBidi"/>
          <w:lang w:val="en-US"/>
        </w:rPr>
        <w:t xml:space="preserve"> </w:t>
      </w:r>
      <w:r>
        <w:rPr>
          <w:rFonts w:asciiTheme="majorBidi" w:hAnsiTheme="majorBidi" w:cstheme="majorBidi"/>
          <w:lang w:val="en-US"/>
        </w:rPr>
        <w:t xml:space="preserve">dockings and between G-score and </w:t>
      </w:r>
      <w:proofErr w:type="spellStart"/>
      <w:r>
        <w:rPr>
          <w:rFonts w:asciiTheme="majorBidi" w:hAnsiTheme="majorBidi" w:cstheme="majorBidi"/>
          <w:lang w:val="en-US"/>
        </w:rPr>
        <w:t>G-score+Epik</w:t>
      </w:r>
      <w:proofErr w:type="spellEnd"/>
      <w:r>
        <w:rPr>
          <w:rFonts w:asciiTheme="majorBidi" w:hAnsiTheme="majorBidi" w:cstheme="majorBidi"/>
          <w:lang w:val="en-US"/>
        </w:rPr>
        <w:t xml:space="preserve"> (</w:t>
      </w:r>
      <w:r w:rsidRPr="00AE1C24">
        <w:rPr>
          <w:rFonts w:asciiTheme="majorBidi" w:hAnsiTheme="majorBidi" w:cstheme="majorBidi"/>
          <w:b/>
          <w:bCs/>
          <w:lang w:val="en-US"/>
        </w:rPr>
        <w:t>F</w:t>
      </w:r>
      <w:r>
        <w:rPr>
          <w:rFonts w:asciiTheme="majorBidi" w:hAnsiTheme="majorBidi" w:cstheme="majorBidi"/>
          <w:lang w:val="en-US"/>
        </w:rPr>
        <w:t xml:space="preserve">) with the Glide rigid docking. In these plots, for each compound, the score obtained by one method is reported </w:t>
      </w:r>
      <w:r w:rsidRPr="00C04037">
        <w:rPr>
          <w:rFonts w:asciiTheme="majorBidi" w:hAnsiTheme="majorBidi" w:cstheme="majorBidi"/>
          <w:i/>
          <w:iCs/>
          <w:lang w:val="en-US"/>
        </w:rPr>
        <w:t>vs.</w:t>
      </w:r>
      <w:r>
        <w:rPr>
          <w:rFonts w:asciiTheme="majorBidi" w:hAnsiTheme="majorBidi" w:cstheme="majorBidi"/>
          <w:lang w:val="en-US"/>
        </w:rPr>
        <w:t xml:space="preserve"> the score obtained with the other method. For Glide and </w:t>
      </w:r>
      <w:proofErr w:type="spellStart"/>
      <w:r>
        <w:rPr>
          <w:rFonts w:asciiTheme="majorBidi" w:hAnsiTheme="majorBidi" w:cstheme="majorBidi"/>
          <w:lang w:val="en-US"/>
        </w:rPr>
        <w:t>Surflex</w:t>
      </w:r>
      <w:proofErr w:type="spellEnd"/>
      <w:r>
        <w:rPr>
          <w:rFonts w:asciiTheme="majorBidi" w:hAnsiTheme="majorBidi" w:cstheme="majorBidi"/>
          <w:lang w:val="en-US"/>
        </w:rPr>
        <w:t xml:space="preserve">, the scores are given as </w:t>
      </w:r>
      <w:r w:rsidRPr="00C04037">
        <w:rPr>
          <w:rFonts w:ascii="Symbol" w:hAnsi="Symbol" w:cstheme="majorBidi"/>
          <w:lang w:val="en-US"/>
        </w:rPr>
        <w:t></w:t>
      </w:r>
      <w:r w:rsidRPr="00C04037">
        <w:rPr>
          <w:rFonts w:asciiTheme="majorBidi" w:hAnsiTheme="majorBidi" w:cstheme="majorBidi"/>
          <w:i/>
          <w:iCs/>
          <w:lang w:val="en-US"/>
        </w:rPr>
        <w:t>G</w:t>
      </w:r>
      <w:r>
        <w:rPr>
          <w:rFonts w:asciiTheme="majorBidi" w:hAnsiTheme="majorBidi" w:cstheme="majorBidi"/>
          <w:lang w:val="en-US"/>
        </w:rPr>
        <w:t xml:space="preserve"> in kcal/</w:t>
      </w:r>
      <w:proofErr w:type="spellStart"/>
      <w:r>
        <w:rPr>
          <w:rFonts w:asciiTheme="majorBidi" w:hAnsiTheme="majorBidi" w:cstheme="majorBidi"/>
          <w:lang w:val="en-US"/>
        </w:rPr>
        <w:t>mol</w:t>
      </w:r>
      <w:proofErr w:type="spellEnd"/>
      <w:r>
        <w:rPr>
          <w:rFonts w:asciiTheme="majorBidi" w:hAnsiTheme="majorBidi" w:cstheme="majorBidi"/>
          <w:lang w:val="en-US"/>
        </w:rPr>
        <w:t xml:space="preserve">, the lowest being the best, whereas for </w:t>
      </w:r>
      <w:r w:rsidRPr="00F34980">
        <w:rPr>
          <w:rFonts w:asciiTheme="majorBidi" w:hAnsiTheme="majorBidi" w:cstheme="majorBidi"/>
          <w:lang w:val="en-US"/>
        </w:rPr>
        <w:t xml:space="preserve">Gold, </w:t>
      </w:r>
      <w:proofErr w:type="spellStart"/>
      <w:r w:rsidRPr="00F34980">
        <w:rPr>
          <w:rFonts w:asciiTheme="majorBidi" w:hAnsiTheme="majorBidi" w:cstheme="majorBidi"/>
          <w:lang w:val="en-US"/>
        </w:rPr>
        <w:t>ChemPLP</w:t>
      </w:r>
      <w:proofErr w:type="spellEnd"/>
      <w:r w:rsidRPr="00F34980">
        <w:rPr>
          <w:rFonts w:asciiTheme="majorBidi" w:hAnsiTheme="majorBidi" w:cstheme="majorBidi"/>
          <w:lang w:val="en-US"/>
        </w:rPr>
        <w:t xml:space="preserve"> score a</w:t>
      </w:r>
      <w:r>
        <w:rPr>
          <w:rFonts w:asciiTheme="majorBidi" w:hAnsiTheme="majorBidi" w:cstheme="majorBidi"/>
          <w:lang w:val="en-US"/>
        </w:rPr>
        <w:t xml:space="preserve">nd </w:t>
      </w:r>
      <w:proofErr w:type="spellStart"/>
      <w:r>
        <w:rPr>
          <w:rFonts w:asciiTheme="majorBidi" w:hAnsiTheme="majorBidi" w:cstheme="majorBidi"/>
          <w:lang w:val="en-US"/>
        </w:rPr>
        <w:t>Goldscore</w:t>
      </w:r>
      <w:proofErr w:type="spellEnd"/>
      <w:r>
        <w:rPr>
          <w:rFonts w:asciiTheme="majorBidi" w:hAnsiTheme="majorBidi" w:cstheme="majorBidi"/>
          <w:lang w:val="en-US"/>
        </w:rPr>
        <w:t xml:space="preserve"> are dimensionless</w:t>
      </w:r>
      <w:r w:rsidRPr="002D7A84">
        <w:rPr>
          <w:rFonts w:asciiTheme="majorBidi" w:hAnsiTheme="majorBidi" w:cstheme="majorBidi"/>
          <w:lang w:val="en-US"/>
        </w:rPr>
        <w:t xml:space="preserve"> </w:t>
      </w:r>
      <w:proofErr w:type="spellStart"/>
      <w:r>
        <w:rPr>
          <w:rFonts w:asciiTheme="majorBidi" w:hAnsiTheme="majorBidi" w:cstheme="majorBidi"/>
          <w:lang w:val="en-US"/>
        </w:rPr>
        <w:t>fitnesses</w:t>
      </w:r>
      <w:proofErr w:type="spellEnd"/>
      <w:r>
        <w:rPr>
          <w:rFonts w:asciiTheme="majorBidi" w:hAnsiTheme="majorBidi" w:cstheme="majorBidi"/>
          <w:lang w:val="en-US"/>
        </w:rPr>
        <w:t>, with negative values for the former and positive values for the latter. Therefore, for the latter, the highest value is the best.</w:t>
      </w:r>
      <w:r w:rsidRPr="000E38BE">
        <w:rPr>
          <w:rFonts w:asciiTheme="majorBidi" w:hAnsiTheme="majorBidi" w:cstheme="majorBidi"/>
          <w:lang w:val="en-US"/>
        </w:rPr>
        <w:t xml:space="preserve"> </w:t>
      </w:r>
      <w:r>
        <w:rPr>
          <w:rFonts w:asciiTheme="majorBidi" w:hAnsiTheme="majorBidi" w:cstheme="majorBidi"/>
          <w:lang w:val="en-US"/>
        </w:rPr>
        <w:t>The correlation coefficients between the methods are given in each plot.</w:t>
      </w:r>
      <w:r w:rsidR="008016C3">
        <w:rPr>
          <w:rFonts w:asciiTheme="majorBidi" w:hAnsiTheme="majorBidi" w:cstheme="majorBidi"/>
          <w:lang w:val="en-US"/>
        </w:rPr>
        <w:t xml:space="preserve"> </w:t>
      </w:r>
    </w:p>
    <w:p w:rsidR="000D6F51" w:rsidRDefault="000D6F51">
      <w:pPr>
        <w:rPr>
          <w:lang w:val="en-US"/>
        </w:rPr>
      </w:pPr>
      <w:r>
        <w:rPr>
          <w:lang w:val="en-US"/>
        </w:rPr>
        <w:br w:type="page"/>
      </w:r>
    </w:p>
    <w:p w:rsidR="000D6F51" w:rsidRDefault="000D6F51" w:rsidP="000D6F51">
      <w:pPr>
        <w:jc w:val="center"/>
        <w:rPr>
          <w:lang w:val="en-US"/>
        </w:rPr>
      </w:pPr>
      <w:r>
        <w:rPr>
          <w:noProof/>
          <w:lang w:eastAsia="fr-FR"/>
        </w:rPr>
        <w:lastRenderedPageBreak/>
        <w:drawing>
          <wp:inline distT="0" distB="0" distL="0" distR="0" wp14:anchorId="3E429415">
            <wp:extent cx="5358765" cy="315214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765" cy="3152140"/>
                    </a:xfrm>
                    <a:prstGeom prst="rect">
                      <a:avLst/>
                    </a:prstGeom>
                    <a:noFill/>
                  </pic:spPr>
                </pic:pic>
              </a:graphicData>
            </a:graphic>
          </wp:inline>
        </w:drawing>
      </w:r>
    </w:p>
    <w:p w:rsidR="000D6F51" w:rsidRDefault="000D6F51" w:rsidP="000D6F51">
      <w:pPr>
        <w:jc w:val="center"/>
        <w:rPr>
          <w:lang w:val="en-US"/>
        </w:rPr>
      </w:pPr>
    </w:p>
    <w:p w:rsidR="000D6F51" w:rsidRDefault="000D6F51" w:rsidP="000D6F51">
      <w:pPr>
        <w:jc w:val="both"/>
        <w:rPr>
          <w:rFonts w:asciiTheme="majorBidi" w:hAnsiTheme="majorBidi" w:cstheme="majorBidi"/>
          <w:lang w:val="en-US"/>
        </w:rPr>
      </w:pPr>
      <w:r>
        <w:rPr>
          <w:rFonts w:asciiTheme="majorBidi" w:hAnsiTheme="majorBidi" w:cstheme="majorBidi"/>
          <w:b/>
          <w:bCs/>
          <w:lang w:val="en-US"/>
        </w:rPr>
        <w:t xml:space="preserve">Figure S2. </w:t>
      </w:r>
      <w:r>
        <w:rPr>
          <w:rFonts w:asciiTheme="majorBidi" w:hAnsiTheme="majorBidi" w:cstheme="majorBidi"/>
          <w:lang w:val="en-US"/>
        </w:rPr>
        <w:t xml:space="preserve">Same Figure legend as Figure 1 in the main text, but for </w:t>
      </w:r>
      <w:proofErr w:type="spellStart"/>
      <w:r>
        <w:rPr>
          <w:rFonts w:asciiTheme="majorBidi" w:hAnsiTheme="majorBidi" w:cstheme="majorBidi"/>
          <w:lang w:val="en-US"/>
        </w:rPr>
        <w:t>Hbp</w:t>
      </w:r>
      <w:proofErr w:type="spellEnd"/>
      <w:r>
        <w:rPr>
          <w:rFonts w:asciiTheme="majorBidi" w:hAnsiTheme="majorBidi" w:cstheme="majorBidi"/>
          <w:lang w:val="en-US"/>
        </w:rPr>
        <w:t xml:space="preserve"> instead of Cn. </w:t>
      </w:r>
    </w:p>
    <w:p w:rsidR="000D6F51" w:rsidRDefault="000D6F51">
      <w:pPr>
        <w:rPr>
          <w:rFonts w:asciiTheme="majorBidi" w:hAnsiTheme="majorBidi" w:cstheme="majorBidi"/>
          <w:lang w:val="en-US"/>
        </w:rPr>
      </w:pPr>
      <w:r>
        <w:rPr>
          <w:rFonts w:asciiTheme="majorBidi" w:hAnsiTheme="majorBidi" w:cstheme="majorBidi"/>
          <w:lang w:val="en-US"/>
        </w:rPr>
        <w:br w:type="page"/>
      </w:r>
    </w:p>
    <w:p w:rsidR="000D6F51" w:rsidRDefault="000D6F51" w:rsidP="000D6F51">
      <w:pPr>
        <w:jc w:val="both"/>
        <w:rPr>
          <w:rFonts w:asciiTheme="majorBidi" w:hAnsiTheme="majorBidi" w:cstheme="majorBidi"/>
          <w:lang w:val="en-US"/>
        </w:rPr>
      </w:pPr>
      <w:r w:rsidRPr="000D6F51">
        <w:rPr>
          <w:rFonts w:asciiTheme="majorBidi" w:hAnsiTheme="majorBidi" w:cstheme="majorBidi"/>
          <w:b/>
          <w:bCs/>
          <w:lang w:val="en-US"/>
        </w:rPr>
        <w:lastRenderedPageBreak/>
        <w:t>Table S1</w:t>
      </w:r>
      <w:r w:rsidRPr="000D6F51">
        <w:rPr>
          <w:rFonts w:asciiTheme="majorBidi" w:hAnsiTheme="majorBidi" w:cstheme="majorBidi"/>
          <w:lang w:val="en-US"/>
        </w:rPr>
        <w:t xml:space="preserve">: Correlation coefficients, </w:t>
      </w:r>
      <w:r w:rsidRPr="000D6F51">
        <w:rPr>
          <w:rFonts w:asciiTheme="majorBidi" w:hAnsiTheme="majorBidi" w:cstheme="majorBidi"/>
          <w:i/>
          <w:iCs/>
          <w:lang w:val="en-US"/>
        </w:rPr>
        <w:t>r</w:t>
      </w:r>
      <w:r w:rsidRPr="000D6F51">
        <w:rPr>
          <w:rFonts w:asciiTheme="majorBidi" w:hAnsiTheme="majorBidi" w:cstheme="majorBidi"/>
          <w:lang w:val="en-US"/>
        </w:rPr>
        <w:t xml:space="preserve">, between the rescoring results of Cn based on the poses obtained from </w:t>
      </w:r>
      <w:proofErr w:type="spellStart"/>
      <w:r w:rsidRPr="000D6F51">
        <w:rPr>
          <w:rFonts w:asciiTheme="majorBidi" w:hAnsiTheme="majorBidi" w:cstheme="majorBidi"/>
          <w:lang w:val="en-US"/>
        </w:rPr>
        <w:t>Surflex</w:t>
      </w:r>
      <w:proofErr w:type="spellEnd"/>
      <w:r w:rsidRPr="000D6F51">
        <w:rPr>
          <w:rFonts w:asciiTheme="majorBidi" w:hAnsiTheme="majorBidi" w:cstheme="majorBidi"/>
          <w:lang w:val="en-US"/>
        </w:rPr>
        <w:t xml:space="preserve">, Glide, </w:t>
      </w:r>
      <w:proofErr w:type="spellStart"/>
      <w:r w:rsidRPr="000D6F51">
        <w:rPr>
          <w:rFonts w:asciiTheme="majorBidi" w:hAnsiTheme="majorBidi" w:cstheme="majorBidi"/>
          <w:lang w:val="en-US"/>
        </w:rPr>
        <w:t>FlexX</w:t>
      </w:r>
      <w:proofErr w:type="spellEnd"/>
      <w:r w:rsidRPr="000D6F51">
        <w:rPr>
          <w:rFonts w:asciiTheme="majorBidi" w:hAnsiTheme="majorBidi" w:cstheme="majorBidi"/>
          <w:lang w:val="en-US"/>
        </w:rPr>
        <w:t xml:space="preserve"> and Gold. For each set of poses, the scores were re-attributed by the four programs and then, the correlation between these scores was calculated for each pair of programs. For each set of poses, the highest correlation coefficient is written in bold type. Gold is expected to be </w:t>
      </w:r>
      <w:proofErr w:type="spellStart"/>
      <w:r w:rsidRPr="000D6F51">
        <w:rPr>
          <w:rFonts w:asciiTheme="majorBidi" w:hAnsiTheme="majorBidi" w:cstheme="majorBidi"/>
          <w:lang w:val="en-US"/>
        </w:rPr>
        <w:t>anticorrelated</w:t>
      </w:r>
      <w:proofErr w:type="spellEnd"/>
      <w:r w:rsidRPr="000D6F51">
        <w:rPr>
          <w:rFonts w:asciiTheme="majorBidi" w:hAnsiTheme="majorBidi" w:cstheme="majorBidi"/>
          <w:lang w:val="en-US"/>
        </w:rPr>
        <w:t xml:space="preserve"> (</w:t>
      </w:r>
      <w:r w:rsidRPr="000D6F51">
        <w:rPr>
          <w:rFonts w:asciiTheme="majorBidi" w:hAnsiTheme="majorBidi" w:cstheme="majorBidi"/>
          <w:i/>
          <w:iCs/>
          <w:lang w:val="en-US"/>
        </w:rPr>
        <w:t>r</w:t>
      </w:r>
      <w:r w:rsidRPr="000D6F51">
        <w:rPr>
          <w:rFonts w:asciiTheme="majorBidi" w:hAnsiTheme="majorBidi" w:cstheme="majorBidi"/>
          <w:lang w:val="en-US"/>
        </w:rPr>
        <w:t xml:space="preserve"> &lt; 0) with all the other programs because of the difference of signs in their scoring functions. However, this is not always the case. In addition, in some cases, </w:t>
      </w:r>
      <w:proofErr w:type="spellStart"/>
      <w:r w:rsidRPr="000D6F51">
        <w:rPr>
          <w:rFonts w:asciiTheme="majorBidi" w:hAnsiTheme="majorBidi" w:cstheme="majorBidi"/>
          <w:lang w:val="en-US"/>
        </w:rPr>
        <w:t>Surflex</w:t>
      </w:r>
      <w:proofErr w:type="spellEnd"/>
      <w:r w:rsidRPr="000D6F51">
        <w:rPr>
          <w:rFonts w:asciiTheme="majorBidi" w:hAnsiTheme="majorBidi" w:cstheme="majorBidi"/>
          <w:lang w:val="en-US"/>
        </w:rPr>
        <w:t xml:space="preserve"> and Glide are </w:t>
      </w:r>
      <w:proofErr w:type="spellStart"/>
      <w:r w:rsidRPr="000D6F51">
        <w:rPr>
          <w:rFonts w:asciiTheme="majorBidi" w:hAnsiTheme="majorBidi" w:cstheme="majorBidi"/>
          <w:lang w:val="en-US"/>
        </w:rPr>
        <w:t>anticorrelated</w:t>
      </w:r>
      <w:proofErr w:type="spellEnd"/>
      <w:r w:rsidRPr="000D6F51">
        <w:rPr>
          <w:rFonts w:asciiTheme="majorBidi" w:hAnsiTheme="majorBidi" w:cstheme="majorBidi"/>
          <w:lang w:val="en-US"/>
        </w:rPr>
        <w:t>, although they should not be. This shows that with the rescoring, the correlations between the results were degraded.</w:t>
      </w:r>
    </w:p>
    <w:p w:rsidR="000D6F51" w:rsidRDefault="000D6F51" w:rsidP="000D6F51">
      <w:pPr>
        <w:jc w:val="both"/>
        <w:rPr>
          <w:rFonts w:asciiTheme="majorBidi" w:hAnsiTheme="majorBidi" w:cstheme="majorBidi"/>
          <w:lang w:val="en-US"/>
        </w:rPr>
      </w:pPr>
      <w:r>
        <w:rPr>
          <w:rFonts w:asciiTheme="majorBidi" w:hAnsiTheme="majorBidi" w:cstheme="majorBidi"/>
          <w:noProof/>
          <w:lang w:eastAsia="fr-FR"/>
        </w:rPr>
        <w:drawing>
          <wp:inline distT="0" distB="0" distL="0" distR="0" wp14:anchorId="2F5EAB40">
            <wp:extent cx="5694045" cy="3548380"/>
            <wp:effectExtent l="0" t="0" r="190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4045" cy="3548380"/>
                    </a:xfrm>
                    <a:prstGeom prst="rect">
                      <a:avLst/>
                    </a:prstGeom>
                    <a:noFill/>
                  </pic:spPr>
                </pic:pic>
              </a:graphicData>
            </a:graphic>
          </wp:inline>
        </w:drawing>
      </w:r>
    </w:p>
    <w:p w:rsidR="000D6F51" w:rsidRDefault="000D6F51">
      <w:pPr>
        <w:rPr>
          <w:rFonts w:asciiTheme="majorBidi" w:hAnsiTheme="majorBidi" w:cstheme="majorBidi"/>
          <w:lang w:val="en-US"/>
        </w:rPr>
      </w:pPr>
      <w:r>
        <w:rPr>
          <w:rFonts w:asciiTheme="majorBidi" w:hAnsiTheme="majorBidi" w:cstheme="majorBidi"/>
          <w:lang w:val="en-US"/>
        </w:rPr>
        <w:br w:type="page"/>
      </w:r>
    </w:p>
    <w:p w:rsidR="000D6F51" w:rsidRDefault="00AB2986" w:rsidP="000D6F51">
      <w:pPr>
        <w:jc w:val="center"/>
        <w:rPr>
          <w:rFonts w:asciiTheme="majorBidi" w:hAnsiTheme="majorBidi" w:cstheme="majorBidi"/>
          <w:lang w:val="en-US"/>
        </w:rPr>
      </w:pPr>
      <w:r>
        <w:rPr>
          <w:rFonts w:asciiTheme="majorBidi" w:hAnsiTheme="majorBidi" w:cstheme="majorBidi"/>
          <w:noProof/>
          <w:lang w:eastAsia="fr-FR"/>
        </w:rPr>
        <w:lastRenderedPageBreak/>
        <w:drawing>
          <wp:inline distT="0" distB="0" distL="0" distR="0" wp14:anchorId="008BF835">
            <wp:extent cx="5810250" cy="510368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3887"/>
                    <a:stretch/>
                  </pic:blipFill>
                  <pic:spPr bwMode="auto">
                    <a:xfrm>
                      <a:off x="0" y="0"/>
                      <a:ext cx="5813360" cy="5106417"/>
                    </a:xfrm>
                    <a:prstGeom prst="rect">
                      <a:avLst/>
                    </a:prstGeom>
                    <a:noFill/>
                    <a:ln>
                      <a:noFill/>
                    </a:ln>
                    <a:extLst>
                      <a:ext uri="{53640926-AAD7-44D8-BBD7-CCE9431645EC}">
                        <a14:shadowObscured xmlns:a14="http://schemas.microsoft.com/office/drawing/2010/main"/>
                      </a:ext>
                    </a:extLst>
                  </pic:spPr>
                </pic:pic>
              </a:graphicData>
            </a:graphic>
          </wp:inline>
        </w:drawing>
      </w:r>
    </w:p>
    <w:p w:rsidR="00AB2986" w:rsidRDefault="00AB2986" w:rsidP="000D6F51">
      <w:pPr>
        <w:jc w:val="both"/>
        <w:rPr>
          <w:rFonts w:asciiTheme="majorBidi" w:hAnsiTheme="majorBidi" w:cstheme="majorBidi"/>
          <w:b/>
          <w:bCs/>
          <w:lang w:val="en-US"/>
        </w:rPr>
      </w:pPr>
    </w:p>
    <w:p w:rsidR="000D6F51" w:rsidRDefault="000D6F51" w:rsidP="000D6F51">
      <w:pPr>
        <w:jc w:val="both"/>
        <w:rPr>
          <w:rFonts w:asciiTheme="majorBidi" w:hAnsiTheme="majorBidi" w:cstheme="majorBidi"/>
          <w:lang w:val="en-US"/>
        </w:rPr>
      </w:pPr>
      <w:r>
        <w:rPr>
          <w:rFonts w:asciiTheme="majorBidi" w:hAnsiTheme="majorBidi" w:cstheme="majorBidi"/>
          <w:b/>
          <w:bCs/>
          <w:lang w:val="en-US"/>
        </w:rPr>
        <w:t xml:space="preserve">Figure S3. </w:t>
      </w:r>
      <w:r>
        <w:rPr>
          <w:rFonts w:asciiTheme="majorBidi" w:hAnsiTheme="majorBidi" w:cstheme="majorBidi"/>
          <w:lang w:val="en-US"/>
        </w:rPr>
        <w:t xml:space="preserve">Same Figure legend as Figure 2 in the main text, but for </w:t>
      </w:r>
      <w:proofErr w:type="spellStart"/>
      <w:r>
        <w:rPr>
          <w:rFonts w:asciiTheme="majorBidi" w:hAnsiTheme="majorBidi" w:cstheme="majorBidi"/>
          <w:lang w:val="en-US"/>
        </w:rPr>
        <w:t>Hbp</w:t>
      </w:r>
      <w:proofErr w:type="spellEnd"/>
      <w:r>
        <w:rPr>
          <w:rFonts w:asciiTheme="majorBidi" w:hAnsiTheme="majorBidi" w:cstheme="majorBidi"/>
          <w:lang w:val="en-US"/>
        </w:rPr>
        <w:t xml:space="preserve"> instead of Cn. </w:t>
      </w:r>
    </w:p>
    <w:p w:rsidR="00591E68" w:rsidRDefault="00591E68">
      <w:pPr>
        <w:rPr>
          <w:rFonts w:asciiTheme="majorBidi" w:hAnsiTheme="majorBidi" w:cstheme="majorBidi"/>
          <w:lang w:val="en-US"/>
        </w:rPr>
      </w:pPr>
      <w:r>
        <w:rPr>
          <w:rFonts w:asciiTheme="majorBidi" w:hAnsiTheme="majorBidi" w:cstheme="majorBidi"/>
          <w:lang w:val="en-US"/>
        </w:rPr>
        <w:br w:type="page"/>
      </w:r>
    </w:p>
    <w:p w:rsidR="00591E68" w:rsidRDefault="00591E68" w:rsidP="000D6F51">
      <w:pPr>
        <w:jc w:val="both"/>
        <w:rPr>
          <w:rFonts w:asciiTheme="majorBidi" w:hAnsiTheme="majorBidi" w:cstheme="majorBidi"/>
          <w:lang w:val="en-US"/>
        </w:rPr>
      </w:pPr>
      <w:r>
        <w:rPr>
          <w:rFonts w:asciiTheme="majorBidi" w:hAnsiTheme="majorBidi" w:cstheme="majorBidi"/>
          <w:noProof/>
          <w:lang w:eastAsia="fr-FR"/>
        </w:rPr>
        <w:lastRenderedPageBreak/>
        <w:drawing>
          <wp:inline distT="0" distB="0" distL="0" distR="0" wp14:anchorId="14CDA5EC">
            <wp:extent cx="5611291" cy="4495800"/>
            <wp:effectExtent l="0" t="0" r="889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381" cy="4499077"/>
                    </a:xfrm>
                    <a:prstGeom prst="rect">
                      <a:avLst/>
                    </a:prstGeom>
                    <a:noFill/>
                  </pic:spPr>
                </pic:pic>
              </a:graphicData>
            </a:graphic>
          </wp:inline>
        </w:drawing>
      </w:r>
    </w:p>
    <w:p w:rsidR="000D6F51" w:rsidRDefault="000D6F51" w:rsidP="000D6F51">
      <w:pPr>
        <w:jc w:val="both"/>
        <w:rPr>
          <w:rFonts w:asciiTheme="majorBidi" w:hAnsiTheme="majorBidi" w:cstheme="majorBidi"/>
          <w:lang w:val="en-US"/>
        </w:rPr>
      </w:pPr>
      <w:r>
        <w:rPr>
          <w:rFonts w:asciiTheme="majorBidi" w:hAnsiTheme="majorBidi" w:cstheme="majorBidi"/>
          <w:b/>
          <w:bCs/>
          <w:lang w:val="en-US"/>
        </w:rPr>
        <w:t xml:space="preserve">Figure S4. </w:t>
      </w:r>
      <w:r>
        <w:rPr>
          <w:rFonts w:asciiTheme="majorBidi" w:hAnsiTheme="majorBidi" w:cstheme="majorBidi"/>
          <w:lang w:val="en-US"/>
        </w:rPr>
        <w:t xml:space="preserve">The docking enrichment, </w:t>
      </w:r>
      <w:r w:rsidRPr="00AE1C24">
        <w:rPr>
          <w:rFonts w:asciiTheme="majorBidi" w:hAnsiTheme="majorBidi" w:cstheme="majorBidi"/>
          <w:i/>
          <w:iCs/>
          <w:lang w:val="en-US"/>
        </w:rPr>
        <w:t>E</w:t>
      </w:r>
      <w:r>
        <w:rPr>
          <w:rFonts w:asciiTheme="majorBidi" w:hAnsiTheme="majorBidi" w:cstheme="majorBidi"/>
          <w:lang w:val="en-US"/>
        </w:rPr>
        <w:t xml:space="preserve">, for cdk2 from Gold, Glide, </w:t>
      </w:r>
      <w:proofErr w:type="spellStart"/>
      <w:r>
        <w:rPr>
          <w:rFonts w:asciiTheme="majorBidi" w:hAnsiTheme="majorBidi" w:cstheme="majorBidi"/>
          <w:lang w:val="en-US"/>
        </w:rPr>
        <w:t>Surflex</w:t>
      </w:r>
      <w:proofErr w:type="spellEnd"/>
      <w:r>
        <w:rPr>
          <w:rFonts w:asciiTheme="majorBidi" w:hAnsiTheme="majorBidi" w:cstheme="majorBidi"/>
          <w:lang w:val="en-US"/>
        </w:rPr>
        <w:t xml:space="preserve"> and </w:t>
      </w:r>
      <w:proofErr w:type="spellStart"/>
      <w:r>
        <w:rPr>
          <w:rFonts w:asciiTheme="majorBidi" w:hAnsiTheme="majorBidi" w:cstheme="majorBidi"/>
          <w:lang w:val="en-US"/>
        </w:rPr>
        <w:t>FlexX</w:t>
      </w:r>
      <w:proofErr w:type="spellEnd"/>
      <w:r>
        <w:rPr>
          <w:rFonts w:asciiTheme="majorBidi" w:hAnsiTheme="majorBidi" w:cstheme="majorBidi"/>
          <w:lang w:val="en-US"/>
        </w:rPr>
        <w:t xml:space="preserve">. </w:t>
      </w:r>
      <w:r w:rsidRPr="00AE1C24">
        <w:rPr>
          <w:rFonts w:asciiTheme="majorBidi" w:hAnsiTheme="majorBidi" w:cstheme="majorBidi"/>
          <w:i/>
          <w:iCs/>
          <w:lang w:val="en-US"/>
        </w:rPr>
        <w:t>E</w:t>
      </w:r>
      <w:r>
        <w:rPr>
          <w:rFonts w:asciiTheme="majorBidi" w:hAnsiTheme="majorBidi" w:cstheme="majorBidi"/>
          <w:lang w:val="en-US"/>
        </w:rPr>
        <w:t xml:space="preserve"> is defined as the proportion of hits found in the entire chemical library (see eq. 3 in the main text). It is drawn vs. the proportion of molecules tested in the ranked database. The scale is semi-logarithmic. In grey is reported the expected curve if the distribution of the hits was completely random. As observed in the corresponding rank curves (Figure 4 of the main text), the results obtained from the four programs are not completely random but close to it.</w:t>
      </w:r>
    </w:p>
    <w:p w:rsidR="00591E68" w:rsidRDefault="00591E68">
      <w:pPr>
        <w:rPr>
          <w:rFonts w:asciiTheme="majorBidi" w:hAnsiTheme="majorBidi" w:cstheme="majorBidi"/>
          <w:lang w:val="en-US"/>
        </w:rPr>
      </w:pPr>
      <w:r>
        <w:rPr>
          <w:rFonts w:asciiTheme="majorBidi" w:hAnsiTheme="majorBidi" w:cstheme="majorBidi"/>
          <w:lang w:val="en-US"/>
        </w:rPr>
        <w:br w:type="page"/>
      </w:r>
    </w:p>
    <w:p w:rsidR="00591E68" w:rsidRDefault="00591E68" w:rsidP="00591E68">
      <w:pPr>
        <w:jc w:val="center"/>
        <w:rPr>
          <w:rFonts w:asciiTheme="majorBidi" w:hAnsiTheme="majorBidi" w:cstheme="majorBidi"/>
          <w:lang w:val="en-US"/>
        </w:rPr>
      </w:pPr>
      <w:r>
        <w:rPr>
          <w:rFonts w:asciiTheme="majorBidi" w:hAnsiTheme="majorBidi" w:cstheme="majorBidi"/>
          <w:noProof/>
          <w:lang w:eastAsia="fr-FR"/>
        </w:rPr>
        <w:lastRenderedPageBreak/>
        <w:drawing>
          <wp:inline distT="0" distB="0" distL="0" distR="0" wp14:anchorId="592319BE">
            <wp:extent cx="5645150" cy="4352925"/>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0" cy="4352925"/>
                    </a:xfrm>
                    <a:prstGeom prst="rect">
                      <a:avLst/>
                    </a:prstGeom>
                    <a:noFill/>
                  </pic:spPr>
                </pic:pic>
              </a:graphicData>
            </a:graphic>
          </wp:inline>
        </w:drawing>
      </w:r>
    </w:p>
    <w:p w:rsidR="000D6F51" w:rsidRPr="000E2D2E" w:rsidRDefault="000D6F51" w:rsidP="000D6F51">
      <w:pPr>
        <w:jc w:val="both"/>
        <w:rPr>
          <w:rFonts w:asciiTheme="majorBidi" w:hAnsiTheme="majorBidi" w:cstheme="majorBidi"/>
          <w:lang w:val="en-US"/>
        </w:rPr>
      </w:pPr>
      <w:r>
        <w:rPr>
          <w:rFonts w:asciiTheme="majorBidi" w:hAnsiTheme="majorBidi" w:cstheme="majorBidi"/>
          <w:b/>
          <w:bCs/>
          <w:lang w:val="en-US"/>
        </w:rPr>
        <w:t xml:space="preserve">Figure S5. </w:t>
      </w:r>
      <w:r>
        <w:rPr>
          <w:rFonts w:asciiTheme="majorBidi" w:hAnsiTheme="majorBidi" w:cstheme="majorBidi"/>
          <w:lang w:val="en-US"/>
        </w:rPr>
        <w:t>Summary of the results (</w:t>
      </w:r>
      <w:r w:rsidRPr="00B2036B">
        <w:rPr>
          <w:rFonts w:asciiTheme="majorBidi" w:hAnsiTheme="majorBidi" w:cstheme="majorBidi"/>
          <w:position w:val="-12"/>
          <w:lang w:val="en-US"/>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5pt" o:ole="">
            <v:imagedata r:id="rId11" o:title=""/>
          </v:shape>
          <o:OLEObject Type="Embed" ProgID="Equation.DSMT4" ShapeID="_x0000_i1025" DrawAspect="Content" ObjectID="_1508440690" r:id="rId12"/>
        </w:object>
      </w:r>
      <w:r>
        <w:rPr>
          <w:rFonts w:asciiTheme="majorBidi" w:hAnsiTheme="majorBidi" w:cstheme="majorBidi"/>
          <w:lang w:val="en-US"/>
        </w:rPr>
        <w:t xml:space="preserve">and </w:t>
      </w:r>
      <w:r w:rsidRPr="00493FE1">
        <w:rPr>
          <w:rFonts w:asciiTheme="majorBidi" w:hAnsiTheme="majorBidi" w:cstheme="majorBidi"/>
          <w:position w:val="-14"/>
          <w:lang w:val="en-US"/>
        </w:rPr>
        <w:object w:dxaOrig="480" w:dyaOrig="400">
          <v:shape id="_x0000_i1026" type="#_x0000_t75" style="width:20.5pt;height:17.5pt" o:ole="">
            <v:imagedata r:id="rId13" o:title=""/>
          </v:shape>
          <o:OLEObject Type="Embed" ProgID="Equation.DSMT4" ShapeID="_x0000_i1026" DrawAspect="Content" ObjectID="_1508440691" r:id="rId14"/>
        </w:object>
      </w:r>
      <w:r>
        <w:rPr>
          <w:rFonts w:asciiTheme="majorBidi" w:hAnsiTheme="majorBidi" w:cstheme="majorBidi"/>
          <w:lang w:val="en-US"/>
        </w:rPr>
        <w:t xml:space="preserve">) for </w:t>
      </w:r>
      <w:proofErr w:type="spellStart"/>
      <w:r w:rsidRPr="00C04037">
        <w:rPr>
          <w:rFonts w:asciiTheme="majorBidi" w:hAnsiTheme="majorBidi" w:cstheme="majorBidi"/>
          <w:i/>
          <w:iCs/>
          <w:lang w:val="en-US"/>
        </w:rPr>
        <w:t>n</w:t>
      </w:r>
      <w:r w:rsidRPr="00C04037">
        <w:rPr>
          <w:rFonts w:asciiTheme="majorBidi" w:hAnsiTheme="majorBidi" w:cstheme="majorBidi"/>
          <w:i/>
          <w:iCs/>
          <w:vertAlign w:val="subscript"/>
          <w:lang w:val="en-US"/>
        </w:rPr>
        <w:t>test</w:t>
      </w:r>
      <w:proofErr w:type="spellEnd"/>
      <w:r>
        <w:rPr>
          <w:rFonts w:asciiTheme="majorBidi" w:hAnsiTheme="majorBidi" w:cstheme="majorBidi"/>
          <w:lang w:val="en-US"/>
        </w:rPr>
        <w:t xml:space="preserve"> = 10 and </w:t>
      </w:r>
      <w:proofErr w:type="spellStart"/>
      <w:r w:rsidRPr="00C04037">
        <w:rPr>
          <w:rFonts w:asciiTheme="majorBidi" w:hAnsiTheme="majorBidi" w:cstheme="majorBidi"/>
          <w:i/>
          <w:iCs/>
          <w:lang w:val="en-US"/>
        </w:rPr>
        <w:t>n</w:t>
      </w:r>
      <w:r w:rsidRPr="00C04037">
        <w:rPr>
          <w:rFonts w:asciiTheme="majorBidi" w:hAnsiTheme="majorBidi" w:cstheme="majorBidi"/>
          <w:i/>
          <w:iCs/>
          <w:vertAlign w:val="subscript"/>
          <w:lang w:val="en-US"/>
        </w:rPr>
        <w:t>test</w:t>
      </w:r>
      <w:proofErr w:type="spellEnd"/>
      <w:r>
        <w:rPr>
          <w:rFonts w:asciiTheme="majorBidi" w:hAnsiTheme="majorBidi" w:cstheme="majorBidi"/>
          <w:lang w:val="en-US"/>
        </w:rPr>
        <w:t xml:space="preserve"> = 50 for the DUD-E proteins. The horizontal lines delimit the values for Gold (plain line) and for Glide (dashed line). The bar colors are as follows: the isolated programs in light grey, </w:t>
      </w:r>
      <w:proofErr w:type="spellStart"/>
      <w:r>
        <w:rPr>
          <w:rFonts w:asciiTheme="majorBidi" w:hAnsiTheme="majorBidi" w:cstheme="majorBidi"/>
          <w:lang w:val="en-US"/>
        </w:rPr>
        <w:t>vSDC</w:t>
      </w:r>
      <w:r>
        <w:rPr>
          <w:rFonts w:asciiTheme="majorBidi" w:hAnsiTheme="majorBidi" w:cstheme="majorBidi"/>
          <w:vertAlign w:val="subscript"/>
          <w:lang w:val="en-US"/>
        </w:rPr>
        <w:t>sf</w:t>
      </w:r>
      <w:proofErr w:type="spellEnd"/>
      <w:r>
        <w:rPr>
          <w:rFonts w:asciiTheme="majorBidi" w:hAnsiTheme="majorBidi" w:cstheme="majorBidi"/>
          <w:lang w:val="en-US"/>
        </w:rPr>
        <w:t xml:space="preserve">, in blue, </w:t>
      </w:r>
      <w:proofErr w:type="spellStart"/>
      <w:r>
        <w:rPr>
          <w:rFonts w:asciiTheme="majorBidi" w:hAnsiTheme="majorBidi" w:cstheme="majorBidi"/>
          <w:lang w:val="en-US"/>
        </w:rPr>
        <w:t>vSDC</w:t>
      </w:r>
      <w:r>
        <w:rPr>
          <w:rFonts w:asciiTheme="majorBidi" w:hAnsiTheme="majorBidi" w:cstheme="majorBidi"/>
          <w:vertAlign w:val="subscript"/>
          <w:lang w:val="en-US"/>
        </w:rPr>
        <w:t>gg</w:t>
      </w:r>
      <w:proofErr w:type="spellEnd"/>
      <w:r>
        <w:rPr>
          <w:rFonts w:asciiTheme="majorBidi" w:hAnsiTheme="majorBidi" w:cstheme="majorBidi"/>
          <w:lang w:val="en-US"/>
        </w:rPr>
        <w:t xml:space="preserve">, in red, </w:t>
      </w:r>
      <w:proofErr w:type="spellStart"/>
      <w:r>
        <w:rPr>
          <w:rFonts w:asciiTheme="majorBidi" w:hAnsiTheme="majorBidi" w:cstheme="majorBidi"/>
          <w:lang w:val="en-US"/>
        </w:rPr>
        <w:t>vSDC</w:t>
      </w:r>
      <w:r w:rsidRPr="00C04037">
        <w:rPr>
          <w:rFonts w:asciiTheme="majorBidi" w:hAnsiTheme="majorBidi" w:cstheme="majorBidi"/>
          <w:vertAlign w:val="subscript"/>
          <w:lang w:val="en-US"/>
        </w:rPr>
        <w:t>gg</w:t>
      </w:r>
      <w:r>
        <w:rPr>
          <w:rFonts w:asciiTheme="majorBidi" w:hAnsiTheme="majorBidi" w:cstheme="majorBidi"/>
          <w:vertAlign w:val="subscript"/>
          <w:lang w:val="en-US"/>
        </w:rPr>
        <w:t>sf</w:t>
      </w:r>
      <w:proofErr w:type="spellEnd"/>
      <w:r>
        <w:rPr>
          <w:rFonts w:asciiTheme="majorBidi" w:hAnsiTheme="majorBidi" w:cstheme="majorBidi"/>
          <w:lang w:val="en-US"/>
        </w:rPr>
        <w:t>, in green and USC in dark grey. As observed, in all cases,</w:t>
      </w:r>
      <w:r w:rsidR="00591E68">
        <w:rPr>
          <w:rFonts w:asciiTheme="majorBidi" w:hAnsiTheme="majorBidi" w:cstheme="majorBidi"/>
          <w:lang w:val="en-US"/>
        </w:rPr>
        <w:t xml:space="preserve"> {s; f}</w:t>
      </w:r>
      <w:r>
        <w:rPr>
          <w:rFonts w:asciiTheme="majorBidi" w:hAnsiTheme="majorBidi" w:cstheme="majorBidi"/>
          <w:lang w:val="en-US"/>
        </w:rPr>
        <w:t xml:space="preserve"> &lt; </w:t>
      </w:r>
      <w:proofErr w:type="spellStart"/>
      <w:r>
        <w:rPr>
          <w:rFonts w:asciiTheme="majorBidi" w:hAnsiTheme="majorBidi" w:cstheme="majorBidi"/>
          <w:lang w:val="en-US"/>
        </w:rPr>
        <w:t>vSDC</w:t>
      </w:r>
      <w:r>
        <w:rPr>
          <w:rFonts w:asciiTheme="majorBidi" w:hAnsiTheme="majorBidi" w:cstheme="majorBidi"/>
          <w:vertAlign w:val="subscript"/>
          <w:lang w:val="en-US"/>
        </w:rPr>
        <w:t>sf</w:t>
      </w:r>
      <w:proofErr w:type="spellEnd"/>
      <w:r w:rsidR="00591E68">
        <w:rPr>
          <w:rFonts w:asciiTheme="majorBidi" w:hAnsiTheme="majorBidi" w:cstheme="majorBidi"/>
          <w:lang w:val="en-US"/>
        </w:rPr>
        <w:t xml:space="preserve">  &lt; {g; g}</w:t>
      </w:r>
      <w:r>
        <w:rPr>
          <w:rFonts w:asciiTheme="majorBidi" w:hAnsiTheme="majorBidi" w:cstheme="majorBidi"/>
          <w:lang w:val="en-US"/>
        </w:rPr>
        <w:t xml:space="preserve">, whereas </w:t>
      </w:r>
      <w:proofErr w:type="spellStart"/>
      <w:r>
        <w:rPr>
          <w:rFonts w:asciiTheme="majorBidi" w:hAnsiTheme="majorBidi" w:cstheme="majorBidi"/>
          <w:lang w:val="en-US"/>
        </w:rPr>
        <w:t>vSDC</w:t>
      </w:r>
      <w:r>
        <w:rPr>
          <w:rFonts w:asciiTheme="majorBidi" w:hAnsiTheme="majorBidi" w:cstheme="majorBidi"/>
          <w:vertAlign w:val="subscript"/>
          <w:lang w:val="en-US"/>
        </w:rPr>
        <w:t>gg</w:t>
      </w:r>
      <w:proofErr w:type="spellEnd"/>
      <w:r w:rsidR="00591E68">
        <w:rPr>
          <w:rFonts w:asciiTheme="majorBidi" w:hAnsiTheme="majorBidi" w:cstheme="majorBidi"/>
          <w:lang w:val="en-US"/>
        </w:rPr>
        <w:t xml:space="preserve">  &gt; {g; g; s; f}</w:t>
      </w:r>
      <w:r>
        <w:rPr>
          <w:rFonts w:asciiTheme="majorBidi" w:hAnsiTheme="majorBidi" w:cstheme="majorBidi"/>
          <w:lang w:val="en-US"/>
        </w:rPr>
        <w:t xml:space="preserve"> except for </w:t>
      </w:r>
      <w:r w:rsidRPr="00B2036B">
        <w:rPr>
          <w:rFonts w:asciiTheme="majorBidi" w:hAnsiTheme="majorBidi" w:cstheme="majorBidi"/>
          <w:position w:val="-12"/>
          <w:lang w:val="en-US"/>
        </w:rPr>
        <w:object w:dxaOrig="420" w:dyaOrig="360">
          <v:shape id="_x0000_i1027" type="#_x0000_t75" style="width:18pt;height:15.5pt" o:ole="">
            <v:imagedata r:id="rId11" o:title=""/>
          </v:shape>
          <o:OLEObject Type="Embed" ProgID="Equation.DSMT4" ShapeID="_x0000_i1027" DrawAspect="Content" ObjectID="_1508440692" r:id="rId15"/>
        </w:object>
      </w:r>
      <w:r>
        <w:rPr>
          <w:rFonts w:asciiTheme="majorBidi" w:hAnsiTheme="majorBidi" w:cstheme="majorBidi"/>
          <w:lang w:val="en-US"/>
        </w:rPr>
        <w:t xml:space="preserve">when </w:t>
      </w:r>
      <w:proofErr w:type="spellStart"/>
      <w:r w:rsidRPr="00C04037">
        <w:rPr>
          <w:rFonts w:asciiTheme="majorBidi" w:hAnsiTheme="majorBidi" w:cstheme="majorBidi"/>
          <w:i/>
          <w:iCs/>
          <w:lang w:val="en-US"/>
        </w:rPr>
        <w:t>n</w:t>
      </w:r>
      <w:r w:rsidRPr="00C04037">
        <w:rPr>
          <w:rFonts w:asciiTheme="majorBidi" w:hAnsiTheme="majorBidi" w:cstheme="majorBidi"/>
          <w:i/>
          <w:iCs/>
          <w:vertAlign w:val="subscript"/>
          <w:lang w:val="en-US"/>
        </w:rPr>
        <w:t>test</w:t>
      </w:r>
      <w:proofErr w:type="spellEnd"/>
      <w:r>
        <w:rPr>
          <w:rFonts w:asciiTheme="majorBidi" w:hAnsiTheme="majorBidi" w:cstheme="majorBidi"/>
          <w:lang w:val="en-US"/>
        </w:rPr>
        <w:t xml:space="preserve"> = 50 (then </w:t>
      </w:r>
      <w:proofErr w:type="spellStart"/>
      <w:r>
        <w:rPr>
          <w:rFonts w:asciiTheme="majorBidi" w:hAnsiTheme="majorBidi" w:cstheme="majorBidi"/>
          <w:lang w:val="en-US"/>
        </w:rPr>
        <w:t>vSDC</w:t>
      </w:r>
      <w:r>
        <w:rPr>
          <w:rFonts w:asciiTheme="majorBidi" w:hAnsiTheme="majorBidi" w:cstheme="majorBidi"/>
          <w:vertAlign w:val="subscript"/>
          <w:lang w:val="en-US"/>
        </w:rPr>
        <w:t>gg</w:t>
      </w:r>
      <w:proofErr w:type="spellEnd"/>
      <w:r w:rsidR="00591E68">
        <w:rPr>
          <w:rFonts w:asciiTheme="majorBidi" w:hAnsiTheme="majorBidi" w:cstheme="majorBidi"/>
          <w:lang w:val="en-US"/>
        </w:rPr>
        <w:t xml:space="preserve">  &lt; {Gold}), and USC &gt; {g; g; s; f}</w:t>
      </w:r>
      <w:r>
        <w:rPr>
          <w:rFonts w:asciiTheme="majorBidi" w:hAnsiTheme="majorBidi" w:cstheme="majorBidi"/>
          <w:lang w:val="en-US"/>
        </w:rPr>
        <w:t xml:space="preserve">, except for </w:t>
      </w:r>
      <w:r w:rsidRPr="00493FE1">
        <w:rPr>
          <w:rFonts w:asciiTheme="majorBidi" w:hAnsiTheme="majorBidi" w:cstheme="majorBidi"/>
          <w:position w:val="-14"/>
          <w:lang w:val="en-US"/>
        </w:rPr>
        <w:object w:dxaOrig="480" w:dyaOrig="400">
          <v:shape id="_x0000_i1028" type="#_x0000_t75" style="width:20.5pt;height:17.5pt" o:ole="">
            <v:imagedata r:id="rId13" o:title=""/>
          </v:shape>
          <o:OLEObject Type="Embed" ProgID="Equation.DSMT4" ShapeID="_x0000_i1028" DrawAspect="Content" ObjectID="_1508440693" r:id="rId16"/>
        </w:object>
      </w:r>
      <w:r>
        <w:rPr>
          <w:rFonts w:asciiTheme="majorBidi" w:hAnsiTheme="majorBidi" w:cstheme="majorBidi"/>
          <w:lang w:val="en-US"/>
        </w:rPr>
        <w:t xml:space="preserve"> when </w:t>
      </w:r>
      <w:proofErr w:type="spellStart"/>
      <w:r w:rsidRPr="00C04037">
        <w:rPr>
          <w:rFonts w:asciiTheme="majorBidi" w:hAnsiTheme="majorBidi" w:cstheme="majorBidi"/>
          <w:i/>
          <w:iCs/>
          <w:lang w:val="en-US"/>
        </w:rPr>
        <w:t>n</w:t>
      </w:r>
      <w:r w:rsidRPr="00C04037">
        <w:rPr>
          <w:rFonts w:asciiTheme="majorBidi" w:hAnsiTheme="majorBidi" w:cstheme="majorBidi"/>
          <w:i/>
          <w:iCs/>
          <w:vertAlign w:val="subscript"/>
          <w:lang w:val="en-US"/>
        </w:rPr>
        <w:t>test</w:t>
      </w:r>
      <w:proofErr w:type="spellEnd"/>
      <w:r w:rsidR="00591E68">
        <w:rPr>
          <w:rFonts w:asciiTheme="majorBidi" w:hAnsiTheme="majorBidi" w:cstheme="majorBidi"/>
          <w:lang w:val="en-US"/>
        </w:rPr>
        <w:t xml:space="preserve"> = 10 (then USC &lt; {g; g}</w:t>
      </w:r>
      <w:r>
        <w:rPr>
          <w:rFonts w:asciiTheme="majorBidi" w:hAnsiTheme="majorBidi" w:cstheme="majorBidi"/>
          <w:lang w:val="en-US"/>
        </w:rPr>
        <w:t xml:space="preserve">. However, </w:t>
      </w:r>
      <w:proofErr w:type="spellStart"/>
      <w:r>
        <w:rPr>
          <w:rFonts w:asciiTheme="majorBidi" w:hAnsiTheme="majorBidi" w:cstheme="majorBidi"/>
          <w:lang w:val="en-US"/>
        </w:rPr>
        <w:t>vSDC</w:t>
      </w:r>
      <w:r w:rsidRPr="00C04037">
        <w:rPr>
          <w:rFonts w:asciiTheme="majorBidi" w:hAnsiTheme="majorBidi" w:cstheme="majorBidi"/>
          <w:vertAlign w:val="subscript"/>
          <w:lang w:val="en-US"/>
        </w:rPr>
        <w:t>gg</w:t>
      </w:r>
      <w:r>
        <w:rPr>
          <w:rFonts w:asciiTheme="majorBidi" w:hAnsiTheme="majorBidi" w:cstheme="majorBidi"/>
          <w:vertAlign w:val="subscript"/>
          <w:lang w:val="en-US"/>
        </w:rPr>
        <w:t>sf</w:t>
      </w:r>
      <w:proofErr w:type="spellEnd"/>
      <w:r w:rsidR="00591E68">
        <w:rPr>
          <w:rFonts w:asciiTheme="majorBidi" w:hAnsiTheme="majorBidi" w:cstheme="majorBidi"/>
          <w:lang w:val="en-US"/>
        </w:rPr>
        <w:t xml:space="preserve"> ≥ {g; g; s; f}</w:t>
      </w:r>
      <w:r>
        <w:rPr>
          <w:rFonts w:asciiTheme="majorBidi" w:hAnsiTheme="majorBidi" w:cstheme="majorBidi"/>
          <w:lang w:val="en-US"/>
        </w:rPr>
        <w:t xml:space="preserve"> in all cases.</w:t>
      </w:r>
    </w:p>
    <w:p w:rsidR="000D6F51" w:rsidRPr="000D6F51" w:rsidRDefault="000D6F51" w:rsidP="000D6F51">
      <w:pPr>
        <w:jc w:val="center"/>
        <w:rPr>
          <w:lang w:val="en-US"/>
        </w:rPr>
      </w:pPr>
    </w:p>
    <w:sectPr w:rsidR="000D6F51" w:rsidRPr="000D6F51" w:rsidSect="00026A6A">
      <w:pgSz w:w="11906" w:h="16838"/>
      <w:pgMar w:top="1417" w:right="1417" w:bottom="1417" w:left="141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51"/>
    <w:rsid w:val="0002226D"/>
    <w:rsid w:val="00026A6A"/>
    <w:rsid w:val="000D6F51"/>
    <w:rsid w:val="002123E3"/>
    <w:rsid w:val="0044091A"/>
    <w:rsid w:val="00591E68"/>
    <w:rsid w:val="0075356C"/>
    <w:rsid w:val="007E1981"/>
    <w:rsid w:val="008016C3"/>
    <w:rsid w:val="00A0122A"/>
    <w:rsid w:val="00AB2986"/>
    <w:rsid w:val="00F34980"/>
    <w:rsid w:val="00F85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6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6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2704">
      <w:bodyDiv w:val="1"/>
      <w:marLeft w:val="0"/>
      <w:marRight w:val="0"/>
      <w:marTop w:val="0"/>
      <w:marBottom w:val="0"/>
      <w:divBdr>
        <w:top w:val="none" w:sz="0" w:space="0" w:color="auto"/>
        <w:left w:val="none" w:sz="0" w:space="0" w:color="auto"/>
        <w:bottom w:val="none" w:sz="0" w:space="0" w:color="auto"/>
        <w:right w:val="none" w:sz="0" w:space="0" w:color="auto"/>
      </w:divBdr>
    </w:div>
    <w:div w:id="1560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oleObject" Target="embeddings/oleObject3.bin"/><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516</Words>
  <Characters>2843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Mouawad</dc:creator>
  <cp:lastModifiedBy>Liliane Mouawad</cp:lastModifiedBy>
  <cp:revision>4</cp:revision>
  <dcterms:created xsi:type="dcterms:W3CDTF">2015-07-23T14:34:00Z</dcterms:created>
  <dcterms:modified xsi:type="dcterms:W3CDTF">2015-11-07T20:56:00Z</dcterms:modified>
</cp:coreProperties>
</file>