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12" w:rsidRDefault="00A3079E" w:rsidP="00A977CF">
      <w:pPr>
        <w:pStyle w:val="Heading1"/>
        <w:jc w:val="both"/>
      </w:pPr>
      <w:r>
        <w:t>Supplementary text</w:t>
      </w:r>
    </w:p>
    <w:p w:rsidR="00872D12" w:rsidRDefault="00A3079E" w:rsidP="00A977CF">
      <w:pPr>
        <w:pStyle w:val="Heading2"/>
        <w:jc w:val="both"/>
      </w:pPr>
      <w:r>
        <w:t>Supplementary text 1.1: Filter Sensitivity</w:t>
      </w:r>
      <w:r w:rsidR="009967BD">
        <w:t xml:space="preserve"> Analysis</w:t>
      </w:r>
    </w:p>
    <w:p w:rsidR="00872D12" w:rsidRDefault="00872D12" w:rsidP="00A977CF">
      <w:pPr>
        <w:jc w:val="both"/>
      </w:pPr>
      <w:r>
        <w:t>The VPs for each isolate were filtered according to their specific MQ, HQDP, DP and allele support (SUP, the proportion of reads mapped to the position of interest that support the allele called for that position). In addition, the proportion of isolates which had sufficient quality at each VP (COV) and the number of positions that SNPs had to be apart (SNP proximity – PROX) were used as filters. A sensitivity analyses was conducted in order to establish an optimal filter combination.</w:t>
      </w:r>
    </w:p>
    <w:p w:rsidR="00872D12" w:rsidRDefault="00872D12" w:rsidP="00A977CF">
      <w:pPr>
        <w:jc w:val="both"/>
      </w:pPr>
    </w:p>
    <w:p w:rsidR="00872D12" w:rsidRDefault="00872D12" w:rsidP="00A977CF">
      <w:pPr>
        <w:jc w:val="both"/>
      </w:pPr>
      <w:r>
        <w:t xml:space="preserve">For each isolate the sampling year, location (region, district, and latitude and longitude data of sampling location), sampled species, and the REA (Restriction Endonuclease Analysis) type was available. This isolate information was used to inform the selection of thresholds (for the filters described above), based upon the assumption that these data should, to some degree, explain the variation observed in the inter-isolate genetic distance distribution. </w:t>
      </w:r>
    </w:p>
    <w:p w:rsidR="00872D12" w:rsidRDefault="00872D12" w:rsidP="00A977CF">
      <w:pPr>
        <w:jc w:val="both"/>
      </w:pPr>
    </w:p>
    <w:p w:rsidR="00872D12" w:rsidRDefault="00872D12" w:rsidP="00A977CF">
      <w:pPr>
        <w:jc w:val="both"/>
      </w:pPr>
      <w:r>
        <w:t xml:space="preserve">Inter-isolate comparisons were made using the discrete (district, region, species, and REA) and continuous (spatial and temporal distances) data that were then fitted to the corresponding inter-isolate genetic distance using  a random forest (RF) regression model </w:t>
      </w:r>
      <w:r>
        <w:fldChar w:fldCharType="begin" w:fldLock="1"/>
      </w:r>
      <w:r>
        <w:instrText>ADDIN CSL_CITATION { "citationItems" : [ { "id" : "ITEM-1", "itemData" : { "DOI" : "10.1177/154405910408300516", "ISBN" : "1609-3631", "ISSN" : "16093631", "PMID" : "21196786", "abstract" : "Recently there has been a lot of interest in \u201censemble learning\u201d \u2014 methods that generate many classifiers and aggregate their results. Two well-known methods are boosting (see, e.g., Shapire et al., 1998) and bagging Breiman (1996) of classification trees. In boosting, successive trees give extra weight to points incorrectly predicted by earlier predictors. In the end, a weighted vote is taken for prediction. In bagging, successive trees do not depend on earlier trees \u2014 each is independently constructed using a bootstrap sample of the data set. In the end, a simple majority vote is taken for prediction.", "author" : [ { "dropping-particle" : "", "family" : "Liaw", "given" : "A", "non-dropping-particle" : "", "parse-names" : false, "suffix" : "" }, { "dropping-particle" : "", "family" : "Wiener", "given" : "M", "non-dropping-particle" : "", "parse-names" : false, "suffix" : "" } ], "container-title" : "R news", "id" : "ITEM-1", "issue" : "December", "issued" : { "date-parts" : [ [ "2002" ] ] }, "page" : "18-22", "title" : "Classification and Regression by randomForest", "type" : "article-journal", "volume" : "2" }, "uris" : [ "http://www.mendeley.com/documents/?uuid=37980af0-83c8-4d6d-a5a8-92226d08057b" ] } ], "mendeley" : { "formattedCitation" : "[61]", "plainTextFormattedCitation" : "[61]", "previouslyFormattedCitation" : "[61]" }, "properties" : { "noteIndex" : 0 }, "schema" : "https://github.com/citation-style-language/schema/raw/master/csl-citation.json" }</w:instrText>
      </w:r>
      <w:r>
        <w:fldChar w:fldCharType="separate"/>
      </w:r>
      <w:r w:rsidRPr="00191945">
        <w:rPr>
          <w:noProof/>
        </w:rPr>
        <w:t>[61]</w:t>
      </w:r>
      <w:r>
        <w:fldChar w:fldCharType="end"/>
      </w:r>
      <w:r>
        <w:t>. The RF model was fitted in the statistical programming environment R</w:t>
      </w:r>
      <w:r w:rsidRPr="00F075A5">
        <w:rPr>
          <w:b/>
        </w:rPr>
        <w:t xml:space="preserve"> </w:t>
      </w:r>
      <w:r w:rsidRPr="00794914">
        <w:t>(</w:t>
      </w:r>
      <w:r>
        <w:t>3.0.1</w:t>
      </w:r>
      <w:r w:rsidRPr="00794914">
        <w:t>)</w:t>
      </w:r>
      <w:r>
        <w:t xml:space="preserve">. </w:t>
      </w:r>
    </w:p>
    <w:p w:rsidR="00872D12" w:rsidRDefault="00872D12" w:rsidP="00A977CF">
      <w:pPr>
        <w:pStyle w:val="ListParagraph"/>
        <w:ind w:left="360"/>
        <w:jc w:val="both"/>
      </w:pPr>
    </w:p>
    <w:p w:rsidR="00872D12" w:rsidRDefault="00872D12" w:rsidP="00A977CF">
      <w:pPr>
        <w:jc w:val="both"/>
      </w:pPr>
      <w:r>
        <w:t>A filter combination was selected by maximising the variation explained using the fitted RF model. The following filters were selected: MQ≥30, HQDP≥4, DP≥30, SUP≥0.95, COV≥0.7, PROX=10; VPs were filtered based on this filter combination to create a concatenated sequence FASTA file.</w:t>
      </w:r>
    </w:p>
    <w:p w:rsidR="00872D12" w:rsidRDefault="00A3079E" w:rsidP="00A977CF">
      <w:pPr>
        <w:pStyle w:val="Heading2"/>
        <w:jc w:val="both"/>
      </w:pPr>
      <w:r>
        <w:t xml:space="preserve">Supplementary text 1.2: </w:t>
      </w:r>
      <w:r w:rsidR="00872D12">
        <w:t>Investigating Highly Distinct Isolates</w:t>
      </w:r>
    </w:p>
    <w:p w:rsidR="00872D12" w:rsidRPr="00524A14" w:rsidRDefault="00726F8A" w:rsidP="00A977CF">
      <w:pPr>
        <w:jc w:val="both"/>
      </w:pPr>
      <w:r>
        <w:t>A selection of 14</w:t>
      </w:r>
      <w:r w:rsidR="00872D12">
        <w:t xml:space="preserve"> isolates that were highly genetically distinct from isolates sharing the same Restriction Endonuclease Analysis (REA) type were investigated using VNTR assays (according to </w:t>
      </w:r>
      <w:r w:rsidR="00872D12">
        <w:fldChar w:fldCharType="begin" w:fldLock="1"/>
      </w:r>
      <w:r w:rsidR="00872D12">
        <w:instrText>ADDIN CSL_CITATION { "citationItems" : [ { "id" : "ITEM-1", "itemData" : { "DOI" : "10.1016/j.vetmic.2011.01.012", "ISBN" : "1873-2542 (Electronic)\\n0378-1135 (Linking)", "ISSN" : "03781135", "PMID" : "21300485", "abstract" : "Restriction endonuclease analysis (REA), developed 25 years ago for genotyping Mycobacterium bovis strains, is an important tool for bovine tuberculosis control in New Zealand. While REA gives excellent discrimination, it is technically difficult to perform compared to PCR-based typing systems which are faster and simpler to operate. Genotyping of M. bovis by the use of variable number tandem repeat loci (VNTR) and spoligotyping, either alone or together, has now become the preferred approach for typing M. bovis. Here, we evaluated the widest range of VNTR loci yet investigated for M. bovis, including two VNTR loci not previously studied, one of which (4155) had particular utility for characterizing New Zealand isolates. VNTR typing provided substantial geographical resolution of 26 of the most commonly found REA types and this was improved by the addition of two PCR assays based on parts of the direct repeat (DR) locus. Overall, 68 REA types of M. bovis common in New Zealand were discriminated into 33 VNTR/DR groups by using a minimum of nine VNTR and two DR assays. These 11 VNTR/DR assays concorded for three isolates each of 45 of the REA types but showed some variation with at least one of the VNTR/DR assays for the remaining 23 REA types. Major differences were found in allelic variation of some VNTRs between isolates from New Zealand and other countries, emphasizing the importance of adapting M. bovis typing systems to suit individual countries. ?? 2011 Elsevier B.V.", "author" : [ { "dropping-particle" : "", "family" : "Price-Carter", "given" : "Marian", "non-dropping-particle" : "", "parse-names" : false, "suffix" : "" }, { "dropping-particle" : "", "family" : "Rooker", "given" : "Serena", "non-dropping-particle" : "", "parse-names" : false, "suffix" : "" }, { "dropping-particle" : "", "family" : "Collins", "given" : "Desmond M.", "non-dropping-particle" : "", "parse-names" : false, "suffix" : "" } ], "container-title" : "Veterinary Microbiology", "id" : "ITEM-1", "issue" : "1-2", "issued" : { "date-parts" : [ [ "2011" ] ] }, "page" : "107-114", "publisher" : "Elsevier B.V.", "title" : "Comparison of 45 variable number tandem repeat (VNTR) and two direct repeat (DR) assays to restriction endonuclease analysis for typing isolates of Mycobacterium bovis", "type" : "article-journal", "volume" : "150" }, "uris" : [ "http://www.mendeley.com/documents/?uuid=2b3e89a2-cf1c-4f43-9765-f311fbd68f06" ] } ], "mendeley" : { "formattedCitation" : "[15]", "manualFormatting" : "Price-Carter et al. 2011)", "plainTextFormattedCitation" : "[15]", "previouslyFormattedCitation" : "[15]" }, "properties" : { "noteIndex" : 0 }, "schema" : "https://github.com/citation-style-language/schema/raw/master/csl-citation.json" }</w:instrText>
      </w:r>
      <w:r w:rsidR="00872D12">
        <w:fldChar w:fldCharType="separate"/>
      </w:r>
      <w:r w:rsidR="00872D12" w:rsidRPr="00524A14">
        <w:rPr>
          <w:noProof/>
        </w:rPr>
        <w:t>Price-Carter et al. 2011)</w:t>
      </w:r>
      <w:r w:rsidR="00872D12">
        <w:fldChar w:fldCharType="end"/>
      </w:r>
      <w:r w:rsidR="00872D12">
        <w:t xml:space="preserve">. This investigation aimed to determine whether these isolates may have been mislabelled. Specific VNTR loci are known to be associated with different REA types, these VNTR loci were used in assays for the selected isolates. In addition, 14 controls were selected that had similar isolate numbers. </w:t>
      </w:r>
      <w:r w:rsidR="00A3079E" w:rsidRPr="005B250E">
        <w:t>Table 1</w:t>
      </w:r>
      <w:r w:rsidR="00872D12" w:rsidRPr="005B250E">
        <w:t xml:space="preserve"> </w:t>
      </w:r>
      <w:r w:rsidR="00872D12">
        <w:t>shows the results of the VNTR assays, the observed VNTR types are compared to those expected given the stated REA type of the isolate.</w:t>
      </w:r>
    </w:p>
    <w:p w:rsidR="00872D12" w:rsidRDefault="00A3079E" w:rsidP="00A977CF">
      <w:pPr>
        <w:pStyle w:val="Heading2"/>
        <w:jc w:val="both"/>
      </w:pPr>
      <w:r>
        <w:t xml:space="preserve">Supplementary text 1.3: </w:t>
      </w:r>
      <w:r w:rsidR="00872D12">
        <w:t>Temporal Signal</w:t>
      </w:r>
    </w:p>
    <w:p w:rsidR="00872D12" w:rsidRDefault="00872D12" w:rsidP="00A977CF">
      <w:pPr>
        <w:pStyle w:val="NoSpacing"/>
        <w:jc w:val="both"/>
      </w:pPr>
      <w:r>
        <w:t>The existence of a temporal signal in the data was examined. A linear regression was conducted on the sampling year against the root-to-tip distance for the temporally and spatially matched isolates from clade 1 and the reference (to aid with the tree rooting). A significant relationship was observed (p-value=0.018) with an R</w:t>
      </w:r>
      <w:r>
        <w:rPr>
          <w:vertAlign w:val="superscript"/>
        </w:rPr>
        <w:t>2</w:t>
      </w:r>
      <w:r>
        <w:t xml:space="preserve"> value of 0.075. The estimated substitution rate, 0.53 (2.5% Lower: 0.22, 97.5% Upper: 0.94) events per genome per year, was compared to an analysis using the same model structure but the associated sampling dates were randomly shuffled (suggested in </w:t>
      </w:r>
      <w:r>
        <w:fldChar w:fldCharType="begin" w:fldLock="1"/>
      </w:r>
      <w:r>
        <w:instrText>ADDIN CSL_CITATION { "citationItems" : [ { "id" : "ITEM-1", "itemData" : { "DOI" : "10.1093/molbev/msq088", "ISBN" : "1537-1719 (Electronic) 0737-4038 (Linking)", "ISSN" : "07374038", "PMID" : "20363828", "abstract" : "Double-stranded (ds) DNA viruses are often described as evolving through long-term codivergent associations with their hosts, a pattern that is expected to be associated with low rates of nucleotide substitution. However, the hypothesis of codivergence between dsDNA viruses and their hosts has rarely been rigorously tested, even though the vast majority of nucleotide substitution rate estimates for dsDNA viruses are based upon this assumption. It is therefore important to estimate the evolutionary rates of dsDNA viruses independent of the assumption of host-virus codivergence. Here, we explore the use of temporally structured sequence data within a Bayesian framework to estimate the evolutionary rates for seven human dsDNA viruses, including variola virus (VARV) (the causative agent of smallpox) and herpes simplex virus-1. Our analyses reveal that although the VARV genome is likely to evolve at a rate of approximately 1 x 10(-5) substitutions/site/year and hence approaching that of many RNA viruses, the evolutionary rates of many other dsDNA viruses remain problematic to estimate. Synthetic data sets were constructed to inform our interpretation of the substitution rates estimated for these dsDNA viruses and the analysis of these demonstrated that given a sequence data set of appropriate length and sampling depth, it is possible to use time-structured analyses to estimate the substitution rates of many dsDNA viruses independently from the assumption of host-virus codivergence. Finally, the discovery that some dsDNA viruses may evolve at rates approaching those of RNA viruses has important implications for our understanding of the long-term evolutionary history and emergence potential of this major group of viruses.", "author" : [ { "dropping-particle" : "", "family" : "Firth", "given" : "Cadhla", "non-dropping-particle" : "", "parse-names" : false, "suffix" : "" }, { "dropping-particle" : "", "family" : "Kitchen", "given" : "Andrew", "non-dropping-particle" : "", "parse-names" : false, "suffix" : "" }, { "dropping-particle" : "", "family" : "Shapiro", "given" : "Beth", "non-dropping-particle" : "", "parse-names" : false, "suffix" : "" }, { "dropping-particle" : "", "family" : "Suchard", "given" : "Marc A.", "non-dropping-particle" : "", "parse-names" : false, "suffix" : "" }, { "dropping-particle" : "", "family" : "Holmes", "given" : "Edward C.", "non-dropping-particle" : "", "parse-names" : false, "suffix" : "" }, { "dropping-particle" : "", "family" : "Rambaut", "given" : "Andrew", "non-dropping-particle" : "", "parse-names" : false, "suffix" : "" } ], "container-title" : "Molecular Biology and Evolution", "id" : "ITEM-1", "issue" : "9", "issued" : { "date-parts" : [ [ "2010" ] ] }, "page" : "2038-2051", "title" : "Using time-structured data to estimate evolutionary rates of double-stranded DNA viruses", "type" : "article-journal", "volume" : "27" }, "uris" : [ "http://www.mendeley.com/documents/?uuid=f0861431-cb84-48f2-a509-17a6ee2ccd32" ] } ], "mendeley" : { "formattedCitation" : "[37]", "manualFormatting" : "Firth et al. 2010", "plainTextFormattedCitation" : "[37]", "previouslyFormattedCitation" : "[37]" }, "properties" : { "noteIndex" : 0 }, "schema" : "https://github.com/citation-style-language/schema/raw/master/csl-citation.json" }</w:instrText>
      </w:r>
      <w:r>
        <w:fldChar w:fldCharType="separate"/>
      </w:r>
      <w:r w:rsidRPr="00151226">
        <w:rPr>
          <w:noProof/>
        </w:rPr>
        <w:t>Firth et al. 2010</w:t>
      </w:r>
      <w:r>
        <w:fldChar w:fldCharType="end"/>
      </w:r>
      <w:r>
        <w:t>). The sampling date shuffling was repeated 10 times and BEAST was used to estimate the substitution rate. A substitution rate of 2.85 * 10</w:t>
      </w:r>
      <w:r>
        <w:rPr>
          <w:vertAlign w:val="superscript"/>
        </w:rPr>
        <w:t>-5</w:t>
      </w:r>
      <w:r>
        <w:t xml:space="preserve"> (2.5% Lower: 2.81 * 10</w:t>
      </w:r>
      <w:r>
        <w:rPr>
          <w:vertAlign w:val="superscript"/>
        </w:rPr>
        <w:t>-6</w:t>
      </w:r>
      <w:r>
        <w:t>, 97.5% Upper: 1.24 * 10</w:t>
      </w:r>
      <w:r>
        <w:rPr>
          <w:vertAlign w:val="superscript"/>
        </w:rPr>
        <w:t>-4</w:t>
      </w:r>
      <w:r>
        <w:t xml:space="preserve">) events per genome per year was estimated using the shuffled data. These estimations are significantly lower than those estimated on the unshuffled data. The difference between the substitution rates based upon shuffled and true data, in addition to the significant relationship observed between the root-to-tip distances and sampling year, support the presence of a temporal signal to inform the estimation of a substitution rate for the sampled population. </w:t>
      </w:r>
    </w:p>
    <w:p w:rsidR="00872D12" w:rsidRDefault="00A3079E" w:rsidP="00A977CF">
      <w:pPr>
        <w:pStyle w:val="Heading2"/>
        <w:jc w:val="both"/>
      </w:pPr>
      <w:r>
        <w:lastRenderedPageBreak/>
        <w:t>Supplementary text 1.</w:t>
      </w:r>
      <w:r w:rsidR="003207A7">
        <w:t>4</w:t>
      </w:r>
      <w:r>
        <w:t xml:space="preserve">: </w:t>
      </w:r>
      <w:r w:rsidR="00872D12">
        <w:t>Hierarchical Model Selection</w:t>
      </w:r>
    </w:p>
    <w:p w:rsidR="00872D12" w:rsidRDefault="00872D12" w:rsidP="00A977CF">
      <w:pPr>
        <w:jc w:val="both"/>
      </w:pPr>
      <w:r>
        <w:t>Within BEAST there are a number of different models that can be used to represent the evolutionary processes of the sampled population. A series of analyses were completed, in BEAST, to explore the range of models available. A decision tree approach was employed; 1) a range of substitution models were examined whilst using the simplest clock and population models, 2) once the substitution model had been selected, the available clock models were evaluated using the selected substitution model and the simplest population model, and 3) lastly, the different population models were investigated in combination with the selected substitution and clock models.</w:t>
      </w:r>
    </w:p>
    <w:p w:rsidR="00872D12" w:rsidRDefault="00872D12" w:rsidP="00A977CF">
      <w:pPr>
        <w:jc w:val="both"/>
      </w:pPr>
    </w:p>
    <w:p w:rsidR="00872D12" w:rsidRDefault="00872D12" w:rsidP="00A977CF">
      <w:pPr>
        <w:jc w:val="both"/>
      </w:pPr>
      <w:r>
        <w:t xml:space="preserve">Each BEAST analysis in the decision tree was repeated three times. At each level (1, 2, and 3) in the tree the analyses were compared based upon log likelihood scores, model convergence, posterior support of parameters, path sampling and stepping stone analyses. </w:t>
      </w:r>
      <w:r w:rsidR="00A3079E" w:rsidRPr="005B250E">
        <w:t>Table 2</w:t>
      </w:r>
      <w:r w:rsidRPr="005B250E">
        <w:t xml:space="preserve"> </w:t>
      </w:r>
      <w:r>
        <w:t>shows the structure of the decision tree and the models that were selected.</w:t>
      </w:r>
    </w:p>
    <w:p w:rsidR="00872D12" w:rsidRDefault="00A3079E" w:rsidP="00A977CF">
      <w:pPr>
        <w:pStyle w:val="Heading2"/>
        <w:jc w:val="both"/>
      </w:pPr>
      <w:r>
        <w:t>Supplementary text 1.</w:t>
      </w:r>
      <w:r w:rsidR="003207A7">
        <w:t>5</w:t>
      </w:r>
      <w:r>
        <w:t xml:space="preserve">: </w:t>
      </w:r>
      <w:r w:rsidR="00872D12">
        <w:t>Influence of the Priors</w:t>
      </w:r>
    </w:p>
    <w:p w:rsidR="00872D12" w:rsidRDefault="00872D12" w:rsidP="00A977CF">
      <w:pPr>
        <w:jc w:val="both"/>
      </w:pPr>
      <w:r>
        <w:t xml:space="preserve">The models selected in a BEAST analyses have set parameters whose estimation requires the specification of prior distributions. Here prior knowledge about the sampled population was used to inform the BEAST analyses. </w:t>
      </w:r>
    </w:p>
    <w:p w:rsidR="00872D12" w:rsidRDefault="00872D12" w:rsidP="00A977CF">
      <w:pPr>
        <w:jc w:val="both"/>
      </w:pPr>
      <w:r>
        <w:t>The prior distributions for the final model were specified as follows:</w:t>
      </w:r>
    </w:p>
    <w:p w:rsidR="00872D12" w:rsidRDefault="00872D12" w:rsidP="00A977CF">
      <w:pPr>
        <w:jc w:val="both"/>
      </w:pPr>
      <w:r>
        <w:t>HKY substitution model</w:t>
      </w:r>
    </w:p>
    <w:p w:rsidR="00872D12" w:rsidRDefault="00872D12" w:rsidP="00A977CF">
      <w:pPr>
        <w:pStyle w:val="ListParagraph"/>
        <w:numPr>
          <w:ilvl w:val="0"/>
          <w:numId w:val="2"/>
        </w:numPr>
        <w:jc w:val="both"/>
      </w:pPr>
      <w:r>
        <w:t>Allele frequencies were estimated using the sequence data provided</w:t>
      </w:r>
    </w:p>
    <w:p w:rsidR="00872D12" w:rsidRDefault="00872D12" w:rsidP="00A977CF">
      <w:pPr>
        <w:pStyle w:val="ListParagraph"/>
        <w:numPr>
          <w:ilvl w:val="0"/>
          <w:numId w:val="2"/>
        </w:numPr>
        <w:jc w:val="both"/>
      </w:pPr>
      <w:r>
        <w:t>The transition-</w:t>
      </w:r>
      <w:proofErr w:type="spellStart"/>
      <w:r>
        <w:t>transversion</w:t>
      </w:r>
      <w:proofErr w:type="spellEnd"/>
      <w:r>
        <w:t xml:space="preserve"> parameter prior distribution was a Log Normal distribution with a log(mean) of 1 and log(SD) of 1.25</w:t>
      </w:r>
    </w:p>
    <w:p w:rsidR="00872D12" w:rsidRDefault="00872D12" w:rsidP="00A977CF">
      <w:pPr>
        <w:pStyle w:val="ListParagraph"/>
        <w:numPr>
          <w:ilvl w:val="0"/>
          <w:numId w:val="2"/>
        </w:numPr>
        <w:jc w:val="both"/>
      </w:pPr>
      <w:r>
        <w:t>Four categories, modelled with a gamma distribution, were included to allow the substitution rate to vary across sites. The shape parameter for the gamma distributions was estimated from an Exponential distribution with a mean of 0.5</w:t>
      </w:r>
    </w:p>
    <w:p w:rsidR="00872D12" w:rsidRDefault="00872D12" w:rsidP="00A977CF">
      <w:pPr>
        <w:jc w:val="both"/>
      </w:pPr>
      <w:r>
        <w:t>Clock Model</w:t>
      </w:r>
    </w:p>
    <w:p w:rsidR="00872D12" w:rsidRDefault="00872D12" w:rsidP="00A977CF">
      <w:pPr>
        <w:pStyle w:val="ListParagraph"/>
        <w:numPr>
          <w:ilvl w:val="0"/>
          <w:numId w:val="2"/>
        </w:numPr>
        <w:jc w:val="both"/>
      </w:pPr>
      <w:r>
        <w:t>A relaxed clock model drawing from an Exponential distribution with a mean of 0.005 (events per site per year) was used.</w:t>
      </w:r>
    </w:p>
    <w:p w:rsidR="00872D12" w:rsidRDefault="00872D12" w:rsidP="00A977CF">
      <w:pPr>
        <w:jc w:val="both"/>
      </w:pPr>
      <w:r>
        <w:t>Population Model</w:t>
      </w:r>
    </w:p>
    <w:p w:rsidR="00872D12" w:rsidRDefault="00872D12" w:rsidP="00A977CF">
      <w:pPr>
        <w:pStyle w:val="ListParagraph"/>
        <w:numPr>
          <w:ilvl w:val="0"/>
          <w:numId w:val="2"/>
        </w:numPr>
        <w:jc w:val="both"/>
      </w:pPr>
      <w:r>
        <w:t xml:space="preserve">The </w:t>
      </w:r>
      <w:proofErr w:type="spellStart"/>
      <w:r>
        <w:t>Skygrid</w:t>
      </w:r>
      <w:proofErr w:type="spellEnd"/>
      <w:r>
        <w:t xml:space="preserve"> model uses a smoothing parameter to avoid large jumps in the population size estimated based upon the structure of the phylogenetic tree. A Gamma distribution (shape and scale values equal to 0.001 and 1000, respectively), was used as the prior distribution for the smoothing parameter.</w:t>
      </w:r>
    </w:p>
    <w:p w:rsidR="00872D12" w:rsidRDefault="00872D12" w:rsidP="00A977CF">
      <w:pPr>
        <w:jc w:val="both"/>
      </w:pPr>
    </w:p>
    <w:p w:rsidR="00A3079E" w:rsidRDefault="00872D12" w:rsidP="00A977CF">
      <w:pPr>
        <w:jc w:val="both"/>
      </w:pPr>
      <w:r>
        <w:t xml:space="preserve">The prior distributions specified define the space used to estimate the parameters of interest. It is important to investigate the extent to which the estimates resulting from a BEAST analysis are influenced by the specification of the prior distributions. A BEAST analysis, using the prior specifications defined above, was completed using only the sampling year data (for the spatially and temporally matched isolates from clade 1). This prior sampling analysis estimated a substitution rate of 0.004 (97.5% Lower: 0, 2.5% Upper: 0.19) events per </w:t>
      </w:r>
      <w:r w:rsidRPr="00176780">
        <w:t>site</w:t>
      </w:r>
      <w:r>
        <w:t xml:space="preserve"> per year. This estimate is orders of magnitude higher than the substitution rate estimated when the genetic data were included. A right-skew on the true substitution rate estimates was not evident; despite the broad and inaccurate prior distribution specified, there was enough of a signal in the data to estimate the substitution rate.</w:t>
      </w:r>
    </w:p>
    <w:p w:rsidR="00A3079E" w:rsidRPr="00A3079E" w:rsidRDefault="00A3079E" w:rsidP="00A977CF">
      <w:pPr>
        <w:pStyle w:val="Heading1"/>
        <w:jc w:val="both"/>
      </w:pPr>
    </w:p>
    <w:tbl>
      <w:tblPr>
        <w:tblW w:w="5000" w:type="pct"/>
        <w:tblLook w:val="04A0" w:firstRow="1" w:lastRow="0" w:firstColumn="1" w:lastColumn="0" w:noHBand="0" w:noVBand="1"/>
      </w:tblPr>
      <w:tblGrid>
        <w:gridCol w:w="765"/>
        <w:gridCol w:w="725"/>
        <w:gridCol w:w="482"/>
        <w:gridCol w:w="482"/>
        <w:gridCol w:w="482"/>
        <w:gridCol w:w="483"/>
        <w:gridCol w:w="483"/>
        <w:gridCol w:w="483"/>
        <w:gridCol w:w="485"/>
        <w:gridCol w:w="500"/>
        <w:gridCol w:w="485"/>
        <w:gridCol w:w="607"/>
        <w:gridCol w:w="607"/>
        <w:gridCol w:w="485"/>
        <w:gridCol w:w="485"/>
        <w:gridCol w:w="747"/>
        <w:gridCol w:w="500"/>
      </w:tblGrid>
      <w:tr w:rsidR="00872D12" w:rsidRPr="003C6C7A" w:rsidTr="00872D12">
        <w:trPr>
          <w:trHeight w:val="20"/>
        </w:trPr>
        <w:tc>
          <w:tcPr>
            <w:tcW w:w="412" w:type="pct"/>
            <w:tcBorders>
              <w:top w:val="single" w:sz="12" w:space="0" w:color="auto"/>
              <w:left w:val="nil"/>
              <w:bottom w:val="single" w:sz="12" w:space="0" w:color="auto"/>
              <w:right w:val="nil"/>
            </w:tcBorders>
            <w:shd w:val="clear" w:color="auto" w:fill="auto"/>
            <w:noWrap/>
            <w:hideMark/>
          </w:tcPr>
          <w:p w:rsidR="00872D12" w:rsidRPr="003C6C7A" w:rsidRDefault="00872D12" w:rsidP="00A977CF">
            <w:pPr>
              <w:jc w:val="both"/>
              <w:rPr>
                <w:rFonts w:eastAsia="Times New Roman" w:cs="Times New Roman"/>
                <w:b/>
                <w:bCs/>
                <w:color w:val="000000"/>
                <w:sz w:val="14"/>
                <w:szCs w:val="14"/>
                <w:lang w:eastAsia="en-GB"/>
              </w:rPr>
            </w:pPr>
            <w:r>
              <w:rPr>
                <w:rFonts w:eastAsia="Times New Roman" w:cs="Times New Roman"/>
                <w:b/>
                <w:bCs/>
                <w:color w:val="000000"/>
                <w:sz w:val="14"/>
                <w:szCs w:val="14"/>
                <w:lang w:eastAsia="en-GB"/>
              </w:rPr>
              <w:t>Isolate ID</w:t>
            </w:r>
          </w:p>
        </w:tc>
        <w:tc>
          <w:tcPr>
            <w:tcW w:w="391" w:type="pct"/>
            <w:tcBorders>
              <w:top w:val="single" w:sz="12" w:space="0" w:color="auto"/>
              <w:left w:val="nil"/>
              <w:bottom w:val="single" w:sz="12" w:space="0" w:color="auto"/>
              <w:right w:val="nil"/>
            </w:tcBorders>
            <w:shd w:val="clear" w:color="auto" w:fill="auto"/>
            <w:noWrap/>
            <w:hideMark/>
          </w:tcPr>
          <w:p w:rsidR="00872D12" w:rsidRPr="003C6C7A" w:rsidRDefault="00872D12" w:rsidP="00A977CF">
            <w:pPr>
              <w:jc w:val="both"/>
              <w:rPr>
                <w:rFonts w:eastAsia="Times New Roman" w:cs="Times New Roman"/>
                <w:b/>
                <w:bCs/>
                <w:color w:val="000000"/>
                <w:sz w:val="14"/>
                <w:szCs w:val="14"/>
                <w:lang w:eastAsia="en-GB"/>
              </w:rPr>
            </w:pPr>
            <w:r w:rsidRPr="003C6C7A">
              <w:rPr>
                <w:rFonts w:eastAsia="Times New Roman" w:cs="Times New Roman"/>
                <w:b/>
                <w:bCs/>
                <w:color w:val="000000"/>
                <w:sz w:val="14"/>
                <w:szCs w:val="14"/>
                <w:lang w:eastAsia="en-GB"/>
              </w:rPr>
              <w:t>Type</w:t>
            </w:r>
          </w:p>
        </w:tc>
        <w:tc>
          <w:tcPr>
            <w:tcW w:w="260" w:type="pct"/>
            <w:tcBorders>
              <w:top w:val="single" w:sz="12" w:space="0" w:color="auto"/>
              <w:left w:val="nil"/>
              <w:bottom w:val="single" w:sz="12" w:space="0" w:color="auto"/>
              <w:right w:val="nil"/>
            </w:tcBorders>
            <w:shd w:val="clear" w:color="auto" w:fill="auto"/>
            <w:noWrap/>
            <w:hideMark/>
          </w:tcPr>
          <w:p w:rsidR="00872D12" w:rsidRPr="003C6C7A" w:rsidRDefault="00872D12" w:rsidP="00A977CF">
            <w:pPr>
              <w:jc w:val="both"/>
              <w:rPr>
                <w:rFonts w:eastAsia="Times New Roman" w:cs="Times New Roman"/>
                <w:b/>
                <w:bCs/>
                <w:color w:val="000000"/>
                <w:sz w:val="14"/>
                <w:szCs w:val="14"/>
                <w:lang w:eastAsia="en-GB"/>
              </w:rPr>
            </w:pPr>
            <w:r w:rsidRPr="003C6C7A">
              <w:rPr>
                <w:rFonts w:eastAsia="Times New Roman" w:cs="Times New Roman"/>
                <w:b/>
                <w:bCs/>
                <w:color w:val="000000"/>
                <w:sz w:val="14"/>
                <w:szCs w:val="14"/>
                <w:lang w:eastAsia="en-GB"/>
              </w:rPr>
              <w:t>REA</w:t>
            </w:r>
          </w:p>
        </w:tc>
        <w:tc>
          <w:tcPr>
            <w:tcW w:w="260" w:type="pct"/>
            <w:tcBorders>
              <w:top w:val="single" w:sz="12" w:space="0" w:color="auto"/>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b/>
                <w:bCs/>
                <w:color w:val="000000"/>
                <w:sz w:val="14"/>
                <w:szCs w:val="14"/>
                <w:lang w:eastAsia="en-GB"/>
              </w:rPr>
            </w:pPr>
            <w:proofErr w:type="spellStart"/>
            <w:r w:rsidRPr="003C6C7A">
              <w:rPr>
                <w:rFonts w:eastAsia="Times New Roman" w:cs="Times New Roman"/>
                <w:b/>
                <w:bCs/>
                <w:color w:val="000000"/>
                <w:sz w:val="14"/>
                <w:szCs w:val="14"/>
                <w:lang w:eastAsia="en-GB"/>
              </w:rPr>
              <w:t>Exp</w:t>
            </w:r>
            <w:proofErr w:type="spellEnd"/>
            <w:r w:rsidRPr="003C6C7A">
              <w:rPr>
                <w:rFonts w:eastAsia="Times New Roman" w:cs="Times New Roman"/>
                <w:b/>
                <w:bCs/>
                <w:color w:val="000000"/>
                <w:sz w:val="14"/>
                <w:szCs w:val="14"/>
                <w:lang w:eastAsia="en-GB"/>
              </w:rPr>
              <w:t xml:space="preserve"> </w:t>
            </w:r>
            <w:proofErr w:type="spellStart"/>
            <w:r w:rsidRPr="003C6C7A">
              <w:rPr>
                <w:rFonts w:eastAsia="Times New Roman" w:cs="Times New Roman"/>
                <w:b/>
                <w:bCs/>
                <w:color w:val="000000"/>
                <w:sz w:val="14"/>
                <w:szCs w:val="14"/>
                <w:lang w:eastAsia="en-GB"/>
              </w:rPr>
              <w:t>etrD</w:t>
            </w:r>
            <w:proofErr w:type="spellEnd"/>
            <w:r w:rsidRPr="003C6C7A">
              <w:rPr>
                <w:rFonts w:eastAsia="Times New Roman" w:cs="Times New Roman"/>
                <w:b/>
                <w:bCs/>
                <w:color w:val="000000"/>
                <w:sz w:val="14"/>
                <w:szCs w:val="14"/>
                <w:lang w:eastAsia="en-GB"/>
              </w:rPr>
              <w:t xml:space="preserve">  </w:t>
            </w:r>
          </w:p>
        </w:tc>
        <w:tc>
          <w:tcPr>
            <w:tcW w:w="260" w:type="pct"/>
            <w:tcBorders>
              <w:top w:val="single" w:sz="12" w:space="0" w:color="auto"/>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b/>
                <w:bCs/>
                <w:color w:val="000000"/>
                <w:sz w:val="14"/>
                <w:szCs w:val="14"/>
                <w:lang w:eastAsia="en-GB"/>
              </w:rPr>
            </w:pPr>
            <w:proofErr w:type="spellStart"/>
            <w:r w:rsidRPr="003C6C7A">
              <w:rPr>
                <w:rFonts w:eastAsia="Times New Roman" w:cs="Times New Roman"/>
                <w:b/>
                <w:bCs/>
                <w:color w:val="000000"/>
                <w:sz w:val="14"/>
                <w:szCs w:val="14"/>
                <w:lang w:eastAsia="en-GB"/>
              </w:rPr>
              <w:t>Obs</w:t>
            </w:r>
            <w:proofErr w:type="spellEnd"/>
            <w:r w:rsidRPr="003C6C7A">
              <w:rPr>
                <w:rFonts w:eastAsia="Times New Roman" w:cs="Times New Roman"/>
                <w:b/>
                <w:bCs/>
                <w:color w:val="000000"/>
                <w:sz w:val="14"/>
                <w:szCs w:val="14"/>
                <w:lang w:eastAsia="en-GB"/>
              </w:rPr>
              <w:t xml:space="preserve"> </w:t>
            </w:r>
            <w:proofErr w:type="spellStart"/>
            <w:r w:rsidRPr="003C6C7A">
              <w:rPr>
                <w:rFonts w:eastAsia="Times New Roman" w:cs="Times New Roman"/>
                <w:b/>
                <w:bCs/>
                <w:color w:val="000000"/>
                <w:sz w:val="14"/>
                <w:szCs w:val="14"/>
                <w:lang w:eastAsia="en-GB"/>
              </w:rPr>
              <w:t>etrD</w:t>
            </w:r>
            <w:proofErr w:type="spellEnd"/>
          </w:p>
        </w:tc>
        <w:tc>
          <w:tcPr>
            <w:tcW w:w="260" w:type="pct"/>
            <w:tcBorders>
              <w:top w:val="single" w:sz="12" w:space="0" w:color="auto"/>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b/>
                <w:bCs/>
                <w:color w:val="000000"/>
                <w:sz w:val="14"/>
                <w:szCs w:val="14"/>
                <w:lang w:eastAsia="en-GB"/>
              </w:rPr>
            </w:pPr>
            <w:proofErr w:type="spellStart"/>
            <w:r w:rsidRPr="003C6C7A">
              <w:rPr>
                <w:rFonts w:eastAsia="Times New Roman" w:cs="Times New Roman"/>
                <w:b/>
                <w:bCs/>
                <w:color w:val="000000"/>
                <w:sz w:val="14"/>
                <w:szCs w:val="14"/>
                <w:lang w:eastAsia="en-GB"/>
              </w:rPr>
              <w:t>Exp</w:t>
            </w:r>
            <w:proofErr w:type="spellEnd"/>
            <w:r w:rsidRPr="003C6C7A">
              <w:rPr>
                <w:rFonts w:eastAsia="Times New Roman" w:cs="Times New Roman"/>
                <w:b/>
                <w:bCs/>
                <w:color w:val="000000"/>
                <w:sz w:val="14"/>
                <w:szCs w:val="14"/>
                <w:lang w:eastAsia="en-GB"/>
              </w:rPr>
              <w:t xml:space="preserve"> DR1 </w:t>
            </w:r>
          </w:p>
        </w:tc>
        <w:tc>
          <w:tcPr>
            <w:tcW w:w="260" w:type="pct"/>
            <w:tcBorders>
              <w:top w:val="single" w:sz="12" w:space="0" w:color="auto"/>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b/>
                <w:bCs/>
                <w:color w:val="000000"/>
                <w:sz w:val="14"/>
                <w:szCs w:val="14"/>
                <w:lang w:eastAsia="en-GB"/>
              </w:rPr>
            </w:pPr>
            <w:proofErr w:type="spellStart"/>
            <w:r w:rsidRPr="003C6C7A">
              <w:rPr>
                <w:rFonts w:eastAsia="Times New Roman" w:cs="Times New Roman"/>
                <w:b/>
                <w:bCs/>
                <w:color w:val="000000"/>
                <w:sz w:val="14"/>
                <w:szCs w:val="14"/>
                <w:lang w:eastAsia="en-GB"/>
              </w:rPr>
              <w:t>Obs</w:t>
            </w:r>
            <w:proofErr w:type="spellEnd"/>
            <w:r w:rsidRPr="003C6C7A">
              <w:rPr>
                <w:rFonts w:eastAsia="Times New Roman" w:cs="Times New Roman"/>
                <w:b/>
                <w:bCs/>
                <w:color w:val="000000"/>
                <w:sz w:val="14"/>
                <w:szCs w:val="14"/>
                <w:lang w:eastAsia="en-GB"/>
              </w:rPr>
              <w:t xml:space="preserve"> DR1</w:t>
            </w:r>
          </w:p>
        </w:tc>
        <w:tc>
          <w:tcPr>
            <w:tcW w:w="260" w:type="pct"/>
            <w:tcBorders>
              <w:top w:val="single" w:sz="12" w:space="0" w:color="auto"/>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b/>
                <w:bCs/>
                <w:color w:val="000000"/>
                <w:sz w:val="14"/>
                <w:szCs w:val="14"/>
                <w:lang w:eastAsia="en-GB"/>
              </w:rPr>
            </w:pPr>
            <w:proofErr w:type="spellStart"/>
            <w:r w:rsidRPr="003C6C7A">
              <w:rPr>
                <w:rFonts w:eastAsia="Times New Roman" w:cs="Times New Roman"/>
                <w:b/>
                <w:bCs/>
                <w:color w:val="000000"/>
                <w:sz w:val="14"/>
                <w:szCs w:val="14"/>
                <w:lang w:eastAsia="en-GB"/>
              </w:rPr>
              <w:t>Exp</w:t>
            </w:r>
            <w:proofErr w:type="spellEnd"/>
            <w:r w:rsidRPr="003C6C7A">
              <w:rPr>
                <w:rFonts w:eastAsia="Times New Roman" w:cs="Times New Roman"/>
                <w:b/>
                <w:bCs/>
                <w:color w:val="000000"/>
                <w:sz w:val="14"/>
                <w:szCs w:val="14"/>
                <w:lang w:eastAsia="en-GB"/>
              </w:rPr>
              <w:t xml:space="preserve"> NZ2</w:t>
            </w:r>
          </w:p>
        </w:tc>
        <w:tc>
          <w:tcPr>
            <w:tcW w:w="261" w:type="pct"/>
            <w:tcBorders>
              <w:top w:val="single" w:sz="12" w:space="0" w:color="auto"/>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b/>
                <w:bCs/>
                <w:color w:val="000000"/>
                <w:sz w:val="14"/>
                <w:szCs w:val="14"/>
                <w:lang w:eastAsia="en-GB"/>
              </w:rPr>
            </w:pPr>
            <w:proofErr w:type="spellStart"/>
            <w:r w:rsidRPr="003C6C7A">
              <w:rPr>
                <w:rFonts w:eastAsia="Times New Roman" w:cs="Times New Roman"/>
                <w:b/>
                <w:bCs/>
                <w:color w:val="000000"/>
                <w:sz w:val="14"/>
                <w:szCs w:val="14"/>
                <w:lang w:eastAsia="en-GB"/>
              </w:rPr>
              <w:t>Obs</w:t>
            </w:r>
            <w:proofErr w:type="spellEnd"/>
            <w:r w:rsidRPr="003C6C7A">
              <w:rPr>
                <w:rFonts w:eastAsia="Times New Roman" w:cs="Times New Roman"/>
                <w:b/>
                <w:bCs/>
                <w:color w:val="000000"/>
                <w:sz w:val="14"/>
                <w:szCs w:val="14"/>
                <w:lang w:eastAsia="en-GB"/>
              </w:rPr>
              <w:t xml:space="preserve"> NZ2</w:t>
            </w:r>
          </w:p>
        </w:tc>
        <w:tc>
          <w:tcPr>
            <w:tcW w:w="269" w:type="pct"/>
            <w:tcBorders>
              <w:top w:val="single" w:sz="12" w:space="0" w:color="auto"/>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b/>
                <w:bCs/>
                <w:color w:val="000000"/>
                <w:sz w:val="14"/>
                <w:szCs w:val="14"/>
                <w:lang w:eastAsia="en-GB"/>
              </w:rPr>
            </w:pPr>
            <w:proofErr w:type="spellStart"/>
            <w:r w:rsidRPr="003C6C7A">
              <w:rPr>
                <w:rFonts w:eastAsia="Times New Roman" w:cs="Times New Roman"/>
                <w:b/>
                <w:bCs/>
                <w:color w:val="000000"/>
                <w:sz w:val="14"/>
                <w:szCs w:val="14"/>
                <w:lang w:eastAsia="en-GB"/>
              </w:rPr>
              <w:t>Exp</w:t>
            </w:r>
            <w:proofErr w:type="spellEnd"/>
            <w:r w:rsidRPr="003C6C7A">
              <w:rPr>
                <w:rFonts w:eastAsia="Times New Roman" w:cs="Times New Roman"/>
                <w:b/>
                <w:bCs/>
                <w:color w:val="000000"/>
                <w:sz w:val="14"/>
                <w:szCs w:val="14"/>
                <w:lang w:eastAsia="en-GB"/>
              </w:rPr>
              <w:t xml:space="preserve"> Q26</w:t>
            </w:r>
          </w:p>
        </w:tc>
        <w:tc>
          <w:tcPr>
            <w:tcW w:w="261" w:type="pct"/>
            <w:tcBorders>
              <w:top w:val="single" w:sz="12" w:space="0" w:color="auto"/>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b/>
                <w:bCs/>
                <w:color w:val="000000"/>
                <w:sz w:val="14"/>
                <w:szCs w:val="14"/>
                <w:lang w:eastAsia="en-GB"/>
              </w:rPr>
            </w:pPr>
            <w:proofErr w:type="spellStart"/>
            <w:r w:rsidRPr="003C6C7A">
              <w:rPr>
                <w:rFonts w:eastAsia="Times New Roman" w:cs="Times New Roman"/>
                <w:b/>
                <w:bCs/>
                <w:color w:val="000000"/>
                <w:sz w:val="14"/>
                <w:szCs w:val="14"/>
                <w:lang w:eastAsia="en-GB"/>
              </w:rPr>
              <w:t>Obs</w:t>
            </w:r>
            <w:proofErr w:type="spellEnd"/>
            <w:r w:rsidRPr="003C6C7A">
              <w:rPr>
                <w:rFonts w:eastAsia="Times New Roman" w:cs="Times New Roman"/>
                <w:b/>
                <w:bCs/>
                <w:color w:val="000000"/>
                <w:sz w:val="14"/>
                <w:szCs w:val="14"/>
                <w:lang w:eastAsia="en-GB"/>
              </w:rPr>
              <w:t xml:space="preserve"> Q26</w:t>
            </w:r>
          </w:p>
        </w:tc>
        <w:tc>
          <w:tcPr>
            <w:tcW w:w="327" w:type="pct"/>
            <w:tcBorders>
              <w:top w:val="single" w:sz="12" w:space="0" w:color="auto"/>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b/>
                <w:bCs/>
                <w:color w:val="000000"/>
                <w:sz w:val="14"/>
                <w:szCs w:val="14"/>
                <w:lang w:eastAsia="en-GB"/>
              </w:rPr>
            </w:pPr>
            <w:proofErr w:type="spellStart"/>
            <w:r w:rsidRPr="003C6C7A">
              <w:rPr>
                <w:rFonts w:eastAsia="Times New Roman" w:cs="Times New Roman"/>
                <w:b/>
                <w:bCs/>
                <w:color w:val="000000"/>
                <w:sz w:val="14"/>
                <w:szCs w:val="14"/>
                <w:lang w:eastAsia="en-GB"/>
              </w:rPr>
              <w:t>Exp</w:t>
            </w:r>
            <w:proofErr w:type="spellEnd"/>
            <w:r w:rsidRPr="003C6C7A">
              <w:rPr>
                <w:rFonts w:eastAsia="Times New Roman" w:cs="Times New Roman"/>
                <w:b/>
                <w:bCs/>
                <w:color w:val="000000"/>
                <w:sz w:val="14"/>
                <w:szCs w:val="14"/>
                <w:lang w:eastAsia="en-GB"/>
              </w:rPr>
              <w:t xml:space="preserve"> Q11a</w:t>
            </w:r>
          </w:p>
        </w:tc>
        <w:tc>
          <w:tcPr>
            <w:tcW w:w="327" w:type="pct"/>
            <w:tcBorders>
              <w:top w:val="single" w:sz="12" w:space="0" w:color="auto"/>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b/>
                <w:bCs/>
                <w:color w:val="000000"/>
                <w:sz w:val="14"/>
                <w:szCs w:val="14"/>
                <w:lang w:eastAsia="en-GB"/>
              </w:rPr>
            </w:pPr>
            <w:proofErr w:type="spellStart"/>
            <w:r w:rsidRPr="003C6C7A">
              <w:rPr>
                <w:rFonts w:eastAsia="Times New Roman" w:cs="Times New Roman"/>
                <w:b/>
                <w:bCs/>
                <w:color w:val="000000"/>
                <w:sz w:val="14"/>
                <w:szCs w:val="14"/>
                <w:lang w:eastAsia="en-GB"/>
              </w:rPr>
              <w:t>Obs</w:t>
            </w:r>
            <w:proofErr w:type="spellEnd"/>
            <w:r w:rsidRPr="003C6C7A">
              <w:rPr>
                <w:rFonts w:eastAsia="Times New Roman" w:cs="Times New Roman"/>
                <w:b/>
                <w:bCs/>
                <w:color w:val="000000"/>
                <w:sz w:val="14"/>
                <w:szCs w:val="14"/>
                <w:lang w:eastAsia="en-GB"/>
              </w:rPr>
              <w:t xml:space="preserve"> Q11a</w:t>
            </w:r>
          </w:p>
        </w:tc>
        <w:tc>
          <w:tcPr>
            <w:tcW w:w="261" w:type="pct"/>
            <w:tcBorders>
              <w:top w:val="single" w:sz="12" w:space="0" w:color="auto"/>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b/>
                <w:bCs/>
                <w:color w:val="000000"/>
                <w:sz w:val="14"/>
                <w:szCs w:val="14"/>
                <w:lang w:eastAsia="en-GB"/>
              </w:rPr>
            </w:pPr>
            <w:proofErr w:type="spellStart"/>
            <w:r w:rsidRPr="003C6C7A">
              <w:rPr>
                <w:rFonts w:eastAsia="Times New Roman" w:cs="Times New Roman"/>
                <w:b/>
                <w:bCs/>
                <w:color w:val="000000"/>
                <w:sz w:val="14"/>
                <w:szCs w:val="14"/>
                <w:lang w:eastAsia="en-GB"/>
              </w:rPr>
              <w:t>Exp</w:t>
            </w:r>
            <w:proofErr w:type="spellEnd"/>
            <w:r w:rsidRPr="003C6C7A">
              <w:rPr>
                <w:rFonts w:eastAsia="Times New Roman" w:cs="Times New Roman"/>
                <w:b/>
                <w:bCs/>
                <w:color w:val="000000"/>
                <w:sz w:val="14"/>
                <w:szCs w:val="14"/>
                <w:lang w:eastAsia="en-GB"/>
              </w:rPr>
              <w:t xml:space="preserve"> DR2</w:t>
            </w:r>
          </w:p>
        </w:tc>
        <w:tc>
          <w:tcPr>
            <w:tcW w:w="261" w:type="pct"/>
            <w:tcBorders>
              <w:top w:val="single" w:sz="12" w:space="0" w:color="auto"/>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b/>
                <w:bCs/>
                <w:color w:val="000000"/>
                <w:sz w:val="14"/>
                <w:szCs w:val="14"/>
                <w:lang w:eastAsia="en-GB"/>
              </w:rPr>
            </w:pPr>
            <w:proofErr w:type="spellStart"/>
            <w:r w:rsidRPr="003C6C7A">
              <w:rPr>
                <w:rFonts w:eastAsia="Times New Roman" w:cs="Times New Roman"/>
                <w:b/>
                <w:bCs/>
                <w:color w:val="000000"/>
                <w:sz w:val="14"/>
                <w:szCs w:val="14"/>
                <w:lang w:eastAsia="en-GB"/>
              </w:rPr>
              <w:t>Obs</w:t>
            </w:r>
            <w:proofErr w:type="spellEnd"/>
            <w:r w:rsidRPr="003C6C7A">
              <w:rPr>
                <w:rFonts w:eastAsia="Times New Roman" w:cs="Times New Roman"/>
                <w:b/>
                <w:bCs/>
                <w:color w:val="000000"/>
                <w:sz w:val="14"/>
                <w:szCs w:val="14"/>
                <w:lang w:eastAsia="en-GB"/>
              </w:rPr>
              <w:t xml:space="preserve"> DR2</w:t>
            </w:r>
          </w:p>
        </w:tc>
        <w:tc>
          <w:tcPr>
            <w:tcW w:w="402" w:type="pct"/>
            <w:tcBorders>
              <w:top w:val="single" w:sz="12" w:space="0" w:color="auto"/>
              <w:left w:val="nil"/>
              <w:bottom w:val="single" w:sz="12" w:space="0" w:color="auto"/>
              <w:right w:val="nil"/>
            </w:tcBorders>
            <w:shd w:val="clear" w:color="auto" w:fill="auto"/>
            <w:vAlign w:val="bottom"/>
            <w:hideMark/>
          </w:tcPr>
          <w:p w:rsidR="00872D12" w:rsidRDefault="00872D12" w:rsidP="00A977CF">
            <w:pPr>
              <w:jc w:val="both"/>
              <w:rPr>
                <w:rFonts w:eastAsia="Times New Roman" w:cs="Times New Roman"/>
                <w:b/>
                <w:bCs/>
                <w:color w:val="000000"/>
                <w:sz w:val="14"/>
                <w:szCs w:val="14"/>
                <w:lang w:eastAsia="en-GB"/>
              </w:rPr>
            </w:pPr>
            <w:proofErr w:type="spellStart"/>
            <w:r w:rsidRPr="003C6C7A">
              <w:rPr>
                <w:rFonts w:eastAsia="Times New Roman" w:cs="Times New Roman"/>
                <w:b/>
                <w:bCs/>
                <w:color w:val="000000"/>
                <w:sz w:val="14"/>
                <w:szCs w:val="14"/>
                <w:lang w:eastAsia="en-GB"/>
              </w:rPr>
              <w:t>Exp</w:t>
            </w:r>
            <w:proofErr w:type="spellEnd"/>
            <w:r w:rsidRPr="003C6C7A">
              <w:rPr>
                <w:rFonts w:eastAsia="Times New Roman" w:cs="Times New Roman"/>
                <w:b/>
                <w:bCs/>
                <w:color w:val="000000"/>
                <w:sz w:val="14"/>
                <w:szCs w:val="14"/>
                <w:lang w:eastAsia="en-GB"/>
              </w:rPr>
              <w:t xml:space="preserve"> </w:t>
            </w:r>
          </w:p>
          <w:p w:rsidR="00872D12" w:rsidRPr="003C6C7A" w:rsidRDefault="00872D12" w:rsidP="00A977CF">
            <w:pPr>
              <w:jc w:val="both"/>
              <w:rPr>
                <w:rFonts w:eastAsia="Times New Roman" w:cs="Times New Roman"/>
                <w:b/>
                <w:bCs/>
                <w:color w:val="000000"/>
                <w:sz w:val="14"/>
                <w:szCs w:val="14"/>
                <w:lang w:eastAsia="en-GB"/>
              </w:rPr>
            </w:pPr>
            <w:r w:rsidRPr="003C6C7A">
              <w:rPr>
                <w:rFonts w:eastAsia="Times New Roman" w:cs="Times New Roman"/>
                <w:b/>
                <w:bCs/>
                <w:color w:val="000000"/>
                <w:sz w:val="14"/>
                <w:szCs w:val="14"/>
                <w:lang w:eastAsia="en-GB"/>
              </w:rPr>
              <w:t>3232</w:t>
            </w:r>
          </w:p>
        </w:tc>
        <w:tc>
          <w:tcPr>
            <w:tcW w:w="269" w:type="pct"/>
            <w:tcBorders>
              <w:top w:val="single" w:sz="12" w:space="0" w:color="auto"/>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b/>
                <w:bCs/>
                <w:color w:val="000000"/>
                <w:sz w:val="14"/>
                <w:szCs w:val="14"/>
                <w:lang w:eastAsia="en-GB"/>
              </w:rPr>
            </w:pPr>
            <w:proofErr w:type="spellStart"/>
            <w:r w:rsidRPr="003C6C7A">
              <w:rPr>
                <w:rFonts w:eastAsia="Times New Roman" w:cs="Times New Roman"/>
                <w:b/>
                <w:bCs/>
                <w:color w:val="000000"/>
                <w:sz w:val="14"/>
                <w:szCs w:val="14"/>
                <w:lang w:eastAsia="en-GB"/>
              </w:rPr>
              <w:t>Obs</w:t>
            </w:r>
            <w:proofErr w:type="spellEnd"/>
            <w:r w:rsidRPr="003C6C7A">
              <w:rPr>
                <w:rFonts w:eastAsia="Times New Roman" w:cs="Times New Roman"/>
                <w:b/>
                <w:bCs/>
                <w:color w:val="000000"/>
                <w:sz w:val="14"/>
                <w:szCs w:val="14"/>
                <w:lang w:eastAsia="en-GB"/>
              </w:rPr>
              <w:t xml:space="preserve"> 3232</w:t>
            </w:r>
          </w:p>
        </w:tc>
      </w:tr>
      <w:tr w:rsidR="00872D12" w:rsidRPr="003C6C7A" w:rsidTr="00872D12">
        <w:trPr>
          <w:trHeight w:val="20"/>
        </w:trPr>
        <w:tc>
          <w:tcPr>
            <w:tcW w:w="41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2122/97</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Control</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21</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40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r>
      <w:tr w:rsidR="00872D12" w:rsidRPr="003C6C7A" w:rsidTr="00872D12">
        <w:trPr>
          <w:trHeight w:val="20"/>
        </w:trPr>
        <w:tc>
          <w:tcPr>
            <w:tcW w:w="412"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202</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Suspect</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1/6</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000000" w:fill="FFFFFF"/>
            <w:noWrap/>
            <w:vAlign w:val="bottom"/>
            <w:hideMark/>
          </w:tcPr>
          <w:p w:rsidR="00872D12" w:rsidRPr="003C6C7A" w:rsidRDefault="00872D12" w:rsidP="00A977CF">
            <w:pPr>
              <w:jc w:val="both"/>
              <w:rPr>
                <w:rFonts w:eastAsia="Times New Roman" w:cs="Times New Roman"/>
                <w:sz w:val="14"/>
                <w:szCs w:val="14"/>
                <w:lang w:eastAsia="en-GB"/>
              </w:rPr>
            </w:pPr>
            <w:r w:rsidRPr="003C6C7A">
              <w:rPr>
                <w:rFonts w:eastAsia="Times New Roman" w:cs="Times New Roman"/>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40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r>
      <w:tr w:rsidR="00872D12" w:rsidRPr="003C6C7A" w:rsidTr="00872D12">
        <w:trPr>
          <w:trHeight w:val="20"/>
        </w:trPr>
        <w:tc>
          <w:tcPr>
            <w:tcW w:w="412"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lastRenderedPageBreak/>
              <w:t>203</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Suspect</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62</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40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r>
      <w:tr w:rsidR="00872D12" w:rsidRPr="003C6C7A" w:rsidTr="00872D12">
        <w:trPr>
          <w:trHeight w:val="20"/>
        </w:trPr>
        <w:tc>
          <w:tcPr>
            <w:tcW w:w="412" w:type="pct"/>
            <w:tcBorders>
              <w:top w:val="nil"/>
              <w:left w:val="nil"/>
              <w:bottom w:val="nil"/>
              <w:right w:val="nil"/>
            </w:tcBorders>
            <w:shd w:val="clear" w:color="000000" w:fill="FFFFF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204</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Control</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62</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40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r>
      <w:tr w:rsidR="00872D12" w:rsidRPr="003C6C7A" w:rsidTr="00872D12">
        <w:trPr>
          <w:trHeight w:val="20"/>
        </w:trPr>
        <w:tc>
          <w:tcPr>
            <w:tcW w:w="412"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205</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Suspect</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62</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40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r>
      <w:tr w:rsidR="00872D12" w:rsidRPr="003C6C7A" w:rsidTr="00872D12">
        <w:trPr>
          <w:trHeight w:val="20"/>
        </w:trPr>
        <w:tc>
          <w:tcPr>
            <w:tcW w:w="412"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206</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Suspect</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1/6</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40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r>
      <w:tr w:rsidR="00872D12" w:rsidRPr="003C6C7A" w:rsidTr="00872D12">
        <w:trPr>
          <w:trHeight w:val="20"/>
        </w:trPr>
        <w:tc>
          <w:tcPr>
            <w:tcW w:w="412" w:type="pct"/>
            <w:tcBorders>
              <w:top w:val="nil"/>
              <w:left w:val="nil"/>
              <w:bottom w:val="nil"/>
              <w:right w:val="nil"/>
            </w:tcBorders>
            <w:shd w:val="clear" w:color="000000" w:fill="FFFFF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207</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Control</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62</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40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r>
      <w:tr w:rsidR="00872D12" w:rsidRPr="003C6C7A" w:rsidTr="00872D12">
        <w:trPr>
          <w:trHeight w:val="20"/>
        </w:trPr>
        <w:tc>
          <w:tcPr>
            <w:tcW w:w="412"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210</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Suspect</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21</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40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r>
      <w:tr w:rsidR="00872D12" w:rsidRPr="003C6C7A" w:rsidTr="00872D12">
        <w:trPr>
          <w:trHeight w:val="20"/>
        </w:trPr>
        <w:tc>
          <w:tcPr>
            <w:tcW w:w="412"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211</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Suspect</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300</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w:t>
            </w:r>
          </w:p>
        </w:tc>
        <w:tc>
          <w:tcPr>
            <w:tcW w:w="402"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6</w:t>
            </w:r>
          </w:p>
        </w:tc>
        <w:tc>
          <w:tcPr>
            <w:tcW w:w="269"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8</w:t>
            </w:r>
          </w:p>
        </w:tc>
      </w:tr>
      <w:tr w:rsidR="00872D12" w:rsidRPr="003C6C7A" w:rsidTr="00872D12">
        <w:trPr>
          <w:trHeight w:val="20"/>
        </w:trPr>
        <w:tc>
          <w:tcPr>
            <w:tcW w:w="412" w:type="pct"/>
            <w:tcBorders>
              <w:top w:val="nil"/>
              <w:left w:val="nil"/>
              <w:bottom w:val="nil"/>
              <w:right w:val="nil"/>
            </w:tcBorders>
            <w:shd w:val="clear" w:color="000000" w:fill="FFFFF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212</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Control</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62</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w:t>
            </w:r>
          </w:p>
        </w:tc>
        <w:tc>
          <w:tcPr>
            <w:tcW w:w="40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8, 9</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8</w:t>
            </w:r>
          </w:p>
        </w:tc>
      </w:tr>
      <w:tr w:rsidR="00872D12" w:rsidRPr="003C6C7A" w:rsidTr="00872D12">
        <w:trPr>
          <w:trHeight w:val="20"/>
        </w:trPr>
        <w:tc>
          <w:tcPr>
            <w:tcW w:w="412"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213</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Suspect</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19</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40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w:t>
            </w:r>
          </w:p>
        </w:tc>
      </w:tr>
      <w:tr w:rsidR="00872D12" w:rsidRPr="003C6C7A" w:rsidTr="00872D12">
        <w:trPr>
          <w:trHeight w:val="20"/>
        </w:trPr>
        <w:tc>
          <w:tcPr>
            <w:tcW w:w="412"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122</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Suspect</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21</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3/5</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w:t>
            </w:r>
          </w:p>
        </w:tc>
        <w:tc>
          <w:tcPr>
            <w:tcW w:w="40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5,7,8</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8</w:t>
            </w:r>
          </w:p>
        </w:tc>
      </w:tr>
      <w:tr w:rsidR="00872D12" w:rsidRPr="003C6C7A" w:rsidTr="00872D12">
        <w:trPr>
          <w:trHeight w:val="20"/>
        </w:trPr>
        <w:tc>
          <w:tcPr>
            <w:tcW w:w="412" w:type="pct"/>
            <w:tcBorders>
              <w:top w:val="nil"/>
              <w:left w:val="nil"/>
              <w:bottom w:val="nil"/>
              <w:right w:val="nil"/>
            </w:tcBorders>
            <w:shd w:val="clear" w:color="000000" w:fill="FFFFF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123</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Control</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62</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w:t>
            </w:r>
          </w:p>
        </w:tc>
        <w:tc>
          <w:tcPr>
            <w:tcW w:w="40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8, 9</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8</w:t>
            </w:r>
          </w:p>
        </w:tc>
      </w:tr>
      <w:tr w:rsidR="00872D12" w:rsidRPr="003C6C7A" w:rsidTr="00872D12">
        <w:trPr>
          <w:trHeight w:val="20"/>
        </w:trPr>
        <w:tc>
          <w:tcPr>
            <w:tcW w:w="412"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185</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Suspect</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93</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6</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327"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c>
          <w:tcPr>
            <w:tcW w:w="327"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261"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13</w:t>
            </w:r>
          </w:p>
        </w:tc>
        <w:tc>
          <w:tcPr>
            <w:tcW w:w="261"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w:t>
            </w:r>
          </w:p>
        </w:tc>
        <w:tc>
          <w:tcPr>
            <w:tcW w:w="402"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269"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8</w:t>
            </w:r>
          </w:p>
        </w:tc>
      </w:tr>
      <w:tr w:rsidR="00872D12" w:rsidRPr="003C6C7A" w:rsidTr="00872D12">
        <w:trPr>
          <w:trHeight w:val="20"/>
        </w:trPr>
        <w:tc>
          <w:tcPr>
            <w:tcW w:w="412" w:type="pct"/>
            <w:tcBorders>
              <w:top w:val="nil"/>
              <w:left w:val="nil"/>
              <w:bottom w:val="nil"/>
              <w:right w:val="nil"/>
            </w:tcBorders>
            <w:shd w:val="clear" w:color="000000" w:fill="FFFFF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186</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Control</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62</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w:t>
            </w:r>
          </w:p>
        </w:tc>
        <w:tc>
          <w:tcPr>
            <w:tcW w:w="40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8, 9</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8</w:t>
            </w:r>
          </w:p>
        </w:tc>
      </w:tr>
      <w:tr w:rsidR="00872D12" w:rsidRPr="003C6C7A" w:rsidTr="00A45CC9">
        <w:trPr>
          <w:trHeight w:val="20"/>
        </w:trPr>
        <w:tc>
          <w:tcPr>
            <w:tcW w:w="412" w:type="pct"/>
            <w:tcBorders>
              <w:top w:val="nil"/>
              <w:left w:val="nil"/>
              <w:bottom w:val="nil"/>
              <w:right w:val="nil"/>
            </w:tcBorders>
            <w:shd w:val="clear" w:color="auto" w:fill="BFBFBF" w:themeFill="background1" w:themeFillShade="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267</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Suspect</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16</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3/4</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6/9</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w:t>
            </w:r>
          </w:p>
        </w:tc>
        <w:tc>
          <w:tcPr>
            <w:tcW w:w="40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7,8,9</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8</w:t>
            </w:r>
          </w:p>
        </w:tc>
      </w:tr>
      <w:tr w:rsidR="00872D12" w:rsidRPr="003C6C7A" w:rsidTr="00872D12">
        <w:trPr>
          <w:trHeight w:val="197"/>
        </w:trPr>
        <w:tc>
          <w:tcPr>
            <w:tcW w:w="412" w:type="pct"/>
            <w:tcBorders>
              <w:top w:val="nil"/>
              <w:left w:val="nil"/>
              <w:bottom w:val="nil"/>
              <w:right w:val="nil"/>
            </w:tcBorders>
            <w:shd w:val="clear" w:color="000000" w:fill="FFFFF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268</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Control</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12</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1,3,4</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w:t>
            </w:r>
          </w:p>
        </w:tc>
        <w:tc>
          <w:tcPr>
            <w:tcW w:w="40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8,9,10,12</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8</w:t>
            </w:r>
          </w:p>
        </w:tc>
      </w:tr>
      <w:tr w:rsidR="00872D12" w:rsidRPr="003C6C7A" w:rsidTr="00872D12">
        <w:trPr>
          <w:trHeight w:val="20"/>
        </w:trPr>
        <w:tc>
          <w:tcPr>
            <w:tcW w:w="412"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314</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Suspect</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6</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w:t>
            </w:r>
          </w:p>
        </w:tc>
        <w:tc>
          <w:tcPr>
            <w:tcW w:w="402"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6</w:t>
            </w:r>
          </w:p>
        </w:tc>
        <w:tc>
          <w:tcPr>
            <w:tcW w:w="269"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8</w:t>
            </w:r>
          </w:p>
        </w:tc>
      </w:tr>
      <w:tr w:rsidR="00872D12" w:rsidRPr="003C6C7A" w:rsidTr="00872D12">
        <w:trPr>
          <w:trHeight w:val="20"/>
        </w:trPr>
        <w:tc>
          <w:tcPr>
            <w:tcW w:w="412"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315</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Suspect</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62</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w:t>
            </w:r>
          </w:p>
        </w:tc>
        <w:tc>
          <w:tcPr>
            <w:tcW w:w="402"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8, 9</w:t>
            </w:r>
          </w:p>
        </w:tc>
        <w:tc>
          <w:tcPr>
            <w:tcW w:w="269"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6</w:t>
            </w:r>
          </w:p>
        </w:tc>
      </w:tr>
      <w:tr w:rsidR="00872D12" w:rsidRPr="003C6C7A" w:rsidTr="00872D12">
        <w:trPr>
          <w:trHeight w:val="20"/>
        </w:trPr>
        <w:tc>
          <w:tcPr>
            <w:tcW w:w="412" w:type="pct"/>
            <w:tcBorders>
              <w:top w:val="nil"/>
              <w:left w:val="nil"/>
              <w:bottom w:val="nil"/>
              <w:right w:val="nil"/>
            </w:tcBorders>
            <w:shd w:val="clear" w:color="000000" w:fill="FFFFF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316</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Control</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6</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w:t>
            </w:r>
          </w:p>
        </w:tc>
        <w:tc>
          <w:tcPr>
            <w:tcW w:w="40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6,4,8</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6</w:t>
            </w:r>
          </w:p>
        </w:tc>
      </w:tr>
      <w:tr w:rsidR="00872D12" w:rsidRPr="003C6C7A" w:rsidTr="00A45CC9">
        <w:trPr>
          <w:trHeight w:val="20"/>
        </w:trPr>
        <w:tc>
          <w:tcPr>
            <w:tcW w:w="412" w:type="pct"/>
            <w:tcBorders>
              <w:top w:val="nil"/>
              <w:left w:val="nil"/>
              <w:bottom w:val="nil"/>
              <w:right w:val="nil"/>
            </w:tcBorders>
            <w:shd w:val="clear" w:color="auto" w:fill="BFBFBF" w:themeFill="background1" w:themeFillShade="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9</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Control</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113</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6</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9"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1"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12</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12</w:t>
            </w:r>
          </w:p>
        </w:tc>
        <w:tc>
          <w:tcPr>
            <w:tcW w:w="40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r>
      <w:tr w:rsidR="00872D12" w:rsidRPr="003C6C7A" w:rsidTr="00872D12">
        <w:trPr>
          <w:trHeight w:val="20"/>
        </w:trPr>
        <w:tc>
          <w:tcPr>
            <w:tcW w:w="41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Control</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115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12</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12</w:t>
            </w:r>
          </w:p>
        </w:tc>
        <w:tc>
          <w:tcPr>
            <w:tcW w:w="40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7</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7</w:t>
            </w:r>
          </w:p>
        </w:tc>
      </w:tr>
      <w:tr w:rsidR="00872D12" w:rsidRPr="003C6C7A" w:rsidTr="00872D12">
        <w:trPr>
          <w:trHeight w:val="20"/>
        </w:trPr>
        <w:tc>
          <w:tcPr>
            <w:tcW w:w="41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11</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Control</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115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12</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12</w:t>
            </w:r>
          </w:p>
        </w:tc>
        <w:tc>
          <w:tcPr>
            <w:tcW w:w="40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7</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7</w:t>
            </w:r>
          </w:p>
        </w:tc>
      </w:tr>
      <w:tr w:rsidR="00872D12" w:rsidRPr="003C6C7A" w:rsidTr="00872D12">
        <w:trPr>
          <w:trHeight w:val="20"/>
        </w:trPr>
        <w:tc>
          <w:tcPr>
            <w:tcW w:w="41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12</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Control</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115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12</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12</w:t>
            </w:r>
          </w:p>
        </w:tc>
        <w:tc>
          <w:tcPr>
            <w:tcW w:w="40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7</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7</w:t>
            </w:r>
          </w:p>
        </w:tc>
      </w:tr>
      <w:tr w:rsidR="00872D12" w:rsidRPr="003C6C7A" w:rsidTr="00872D12">
        <w:trPr>
          <w:trHeight w:val="20"/>
        </w:trPr>
        <w:tc>
          <w:tcPr>
            <w:tcW w:w="41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18</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Control</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115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12</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12</w:t>
            </w:r>
          </w:p>
        </w:tc>
        <w:tc>
          <w:tcPr>
            <w:tcW w:w="402"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7</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7</w:t>
            </w:r>
          </w:p>
        </w:tc>
      </w:tr>
      <w:tr w:rsidR="00872D12" w:rsidRPr="003C6C7A" w:rsidTr="00872D12">
        <w:trPr>
          <w:trHeight w:val="20"/>
        </w:trPr>
        <w:tc>
          <w:tcPr>
            <w:tcW w:w="412"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19</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Suspect</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113</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6</w:t>
            </w:r>
          </w:p>
        </w:tc>
        <w:tc>
          <w:tcPr>
            <w:tcW w:w="260"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9"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1"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12</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12</w:t>
            </w:r>
          </w:p>
        </w:tc>
        <w:tc>
          <w:tcPr>
            <w:tcW w:w="402"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c>
          <w:tcPr>
            <w:tcW w:w="269"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7</w:t>
            </w:r>
          </w:p>
        </w:tc>
      </w:tr>
      <w:tr w:rsidR="00872D12" w:rsidRPr="003C6C7A" w:rsidTr="00872D12">
        <w:trPr>
          <w:trHeight w:val="20"/>
        </w:trPr>
        <w:tc>
          <w:tcPr>
            <w:tcW w:w="412"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20</w:t>
            </w:r>
          </w:p>
        </w:tc>
        <w:tc>
          <w:tcPr>
            <w:tcW w:w="39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Suspect</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115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9"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3</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c>
          <w:tcPr>
            <w:tcW w:w="327"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12</w:t>
            </w:r>
          </w:p>
        </w:tc>
        <w:tc>
          <w:tcPr>
            <w:tcW w:w="261" w:type="pct"/>
            <w:tcBorders>
              <w:top w:val="nil"/>
              <w:left w:val="nil"/>
              <w:bottom w:val="nil"/>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12</w:t>
            </w:r>
          </w:p>
        </w:tc>
        <w:tc>
          <w:tcPr>
            <w:tcW w:w="402"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7</w:t>
            </w:r>
          </w:p>
        </w:tc>
        <w:tc>
          <w:tcPr>
            <w:tcW w:w="269" w:type="pct"/>
            <w:tcBorders>
              <w:top w:val="nil"/>
              <w:left w:val="nil"/>
              <w:bottom w:val="nil"/>
              <w:right w:val="nil"/>
            </w:tcBorders>
            <w:shd w:val="clear" w:color="000000" w:fill="BFBFBF"/>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r>
      <w:tr w:rsidR="00872D12" w:rsidRPr="003C6C7A" w:rsidTr="00872D12">
        <w:trPr>
          <w:trHeight w:val="20"/>
        </w:trPr>
        <w:tc>
          <w:tcPr>
            <w:tcW w:w="412" w:type="pct"/>
            <w:tcBorders>
              <w:top w:val="nil"/>
              <w:left w:val="nil"/>
              <w:bottom w:val="single" w:sz="12" w:space="0" w:color="auto"/>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21</w:t>
            </w:r>
          </w:p>
        </w:tc>
        <w:tc>
          <w:tcPr>
            <w:tcW w:w="391" w:type="pct"/>
            <w:tcBorders>
              <w:top w:val="nil"/>
              <w:left w:val="nil"/>
              <w:bottom w:val="single" w:sz="12" w:space="0" w:color="auto"/>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Control</w:t>
            </w:r>
          </w:p>
        </w:tc>
        <w:tc>
          <w:tcPr>
            <w:tcW w:w="260" w:type="pct"/>
            <w:tcBorders>
              <w:top w:val="nil"/>
              <w:left w:val="nil"/>
              <w:bottom w:val="single" w:sz="12" w:space="0" w:color="auto"/>
              <w:right w:val="nil"/>
            </w:tcBorders>
            <w:shd w:val="clear" w:color="auto" w:fill="auto"/>
            <w:noWrap/>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151</w:t>
            </w:r>
          </w:p>
        </w:tc>
        <w:tc>
          <w:tcPr>
            <w:tcW w:w="260" w:type="pct"/>
            <w:tcBorders>
              <w:top w:val="nil"/>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0" w:type="pct"/>
            <w:tcBorders>
              <w:top w:val="nil"/>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5</w:t>
            </w:r>
          </w:p>
        </w:tc>
        <w:tc>
          <w:tcPr>
            <w:tcW w:w="260" w:type="pct"/>
            <w:tcBorders>
              <w:top w:val="nil"/>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6</w:t>
            </w:r>
          </w:p>
        </w:tc>
        <w:tc>
          <w:tcPr>
            <w:tcW w:w="261" w:type="pct"/>
            <w:tcBorders>
              <w:top w:val="nil"/>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6</w:t>
            </w:r>
          </w:p>
        </w:tc>
        <w:tc>
          <w:tcPr>
            <w:tcW w:w="269" w:type="pct"/>
            <w:tcBorders>
              <w:top w:val="nil"/>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261" w:type="pct"/>
            <w:tcBorders>
              <w:top w:val="nil"/>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4</w:t>
            </w:r>
          </w:p>
        </w:tc>
        <w:tc>
          <w:tcPr>
            <w:tcW w:w="327" w:type="pct"/>
            <w:tcBorders>
              <w:top w:val="nil"/>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c>
          <w:tcPr>
            <w:tcW w:w="327" w:type="pct"/>
            <w:tcBorders>
              <w:top w:val="nil"/>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10</w:t>
            </w:r>
          </w:p>
        </w:tc>
        <w:tc>
          <w:tcPr>
            <w:tcW w:w="261" w:type="pct"/>
            <w:tcBorders>
              <w:top w:val="nil"/>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12</w:t>
            </w:r>
          </w:p>
        </w:tc>
        <w:tc>
          <w:tcPr>
            <w:tcW w:w="261" w:type="pct"/>
            <w:tcBorders>
              <w:top w:val="nil"/>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12</w:t>
            </w:r>
          </w:p>
        </w:tc>
        <w:tc>
          <w:tcPr>
            <w:tcW w:w="402" w:type="pct"/>
            <w:tcBorders>
              <w:top w:val="nil"/>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7</w:t>
            </w:r>
          </w:p>
        </w:tc>
        <w:tc>
          <w:tcPr>
            <w:tcW w:w="269" w:type="pct"/>
            <w:tcBorders>
              <w:top w:val="nil"/>
              <w:left w:val="nil"/>
              <w:bottom w:val="single" w:sz="12" w:space="0" w:color="auto"/>
              <w:right w:val="nil"/>
            </w:tcBorders>
            <w:shd w:val="clear" w:color="auto" w:fill="auto"/>
            <w:vAlign w:val="bottom"/>
            <w:hideMark/>
          </w:tcPr>
          <w:p w:rsidR="00872D12" w:rsidRPr="003C6C7A" w:rsidRDefault="00872D12" w:rsidP="00A977CF">
            <w:pPr>
              <w:jc w:val="both"/>
              <w:rPr>
                <w:rFonts w:eastAsia="Times New Roman" w:cs="Times New Roman"/>
                <w:color w:val="000000"/>
                <w:sz w:val="14"/>
                <w:szCs w:val="14"/>
                <w:lang w:eastAsia="en-GB"/>
              </w:rPr>
            </w:pPr>
            <w:r w:rsidRPr="003C6C7A">
              <w:rPr>
                <w:rFonts w:eastAsia="Times New Roman" w:cs="Times New Roman"/>
                <w:color w:val="000000"/>
                <w:sz w:val="14"/>
                <w:szCs w:val="14"/>
                <w:lang w:eastAsia="en-GB"/>
              </w:rPr>
              <w:t>7</w:t>
            </w:r>
          </w:p>
        </w:tc>
      </w:tr>
    </w:tbl>
    <w:p w:rsidR="00872D12" w:rsidRDefault="00872D12" w:rsidP="00A977CF">
      <w:pPr>
        <w:pStyle w:val="Caption"/>
        <w:jc w:val="both"/>
        <w:rPr>
          <w:b w:val="0"/>
          <w:color w:val="auto"/>
          <w:sz w:val="22"/>
          <w:szCs w:val="22"/>
        </w:rPr>
      </w:pPr>
      <w:r w:rsidRPr="005B250E">
        <w:rPr>
          <w:b w:val="0"/>
          <w:color w:val="auto"/>
          <w:sz w:val="22"/>
          <w:szCs w:val="22"/>
        </w:rPr>
        <w:t xml:space="preserve">Table </w:t>
      </w:r>
      <w:r w:rsidR="009967BD" w:rsidRPr="005B250E">
        <w:rPr>
          <w:b w:val="0"/>
          <w:color w:val="auto"/>
          <w:sz w:val="22"/>
          <w:szCs w:val="22"/>
        </w:rPr>
        <w:t>S</w:t>
      </w:r>
      <w:r w:rsidRPr="005B250E">
        <w:rPr>
          <w:b w:val="0"/>
          <w:color w:val="auto"/>
          <w:sz w:val="22"/>
          <w:szCs w:val="22"/>
        </w:rPr>
        <w:t>1</w:t>
      </w:r>
      <w:r w:rsidR="009967BD" w:rsidRPr="005B250E">
        <w:rPr>
          <w:b w:val="0"/>
          <w:color w:val="auto"/>
          <w:sz w:val="22"/>
          <w:szCs w:val="22"/>
        </w:rPr>
        <w:t xml:space="preserve">: </w:t>
      </w:r>
      <w:r>
        <w:rPr>
          <w:b w:val="0"/>
          <w:color w:val="auto"/>
          <w:sz w:val="22"/>
          <w:szCs w:val="22"/>
        </w:rPr>
        <w:t>The expected and observed VNTR lo</w:t>
      </w:r>
      <w:r w:rsidR="003A2C05">
        <w:rPr>
          <w:b w:val="0"/>
          <w:color w:val="auto"/>
          <w:sz w:val="22"/>
          <w:szCs w:val="22"/>
        </w:rPr>
        <w:t>ci present for a selection of 14</w:t>
      </w:r>
      <w:r>
        <w:rPr>
          <w:b w:val="0"/>
          <w:color w:val="auto"/>
          <w:sz w:val="22"/>
          <w:szCs w:val="22"/>
        </w:rPr>
        <w:t xml:space="preserve"> suspect and 14 control isolates. Where the observed doesn’t match the expected VNTR loci for an isolate the cells showing the mismatch and isolate ID are highlighted in grey.</w:t>
      </w:r>
    </w:p>
    <w:p w:rsidR="00872D12" w:rsidRPr="000329CF" w:rsidRDefault="00872D12" w:rsidP="00A977CF">
      <w:pPr>
        <w:jc w:val="both"/>
      </w:pPr>
    </w:p>
    <w:tbl>
      <w:tblPr>
        <w:tblW w:w="7812" w:type="dxa"/>
        <w:tblCellMar>
          <w:left w:w="0" w:type="dxa"/>
          <w:right w:w="0" w:type="dxa"/>
        </w:tblCellMar>
        <w:tblLook w:val="04A0" w:firstRow="1" w:lastRow="0" w:firstColumn="1" w:lastColumn="0" w:noHBand="0" w:noVBand="1"/>
      </w:tblPr>
      <w:tblGrid>
        <w:gridCol w:w="460"/>
        <w:gridCol w:w="1115"/>
        <w:gridCol w:w="1134"/>
        <w:gridCol w:w="1559"/>
        <w:gridCol w:w="1276"/>
        <w:gridCol w:w="1417"/>
        <w:gridCol w:w="851"/>
      </w:tblGrid>
      <w:tr w:rsidR="00872D12" w:rsidTr="008A710B">
        <w:trPr>
          <w:trHeight w:val="300"/>
        </w:trPr>
        <w:tc>
          <w:tcPr>
            <w:tcW w:w="460" w:type="dxa"/>
            <w:tcBorders>
              <w:top w:val="single" w:sz="12" w:space="0" w:color="auto"/>
              <w:left w:val="nil"/>
              <w:bottom w:val="single" w:sz="12" w:space="0" w:color="auto"/>
              <w:right w:val="nil"/>
            </w:tcBorders>
            <w:shd w:val="clear" w:color="auto" w:fill="auto"/>
            <w:tcMar>
              <w:top w:w="15" w:type="dxa"/>
              <w:left w:w="15" w:type="dxa"/>
              <w:bottom w:w="0" w:type="dxa"/>
              <w:right w:w="15" w:type="dxa"/>
            </w:tcMar>
            <w:vAlign w:val="center"/>
            <w:hideMark/>
          </w:tcPr>
          <w:p w:rsidR="00872D12" w:rsidRPr="005F2795" w:rsidRDefault="00872D12" w:rsidP="00A977CF">
            <w:pPr>
              <w:jc w:val="both"/>
              <w:rPr>
                <w:b/>
                <w:bCs/>
                <w:sz w:val="18"/>
                <w:szCs w:val="18"/>
              </w:rPr>
            </w:pPr>
            <w:r w:rsidRPr="005F2795">
              <w:rPr>
                <w:b/>
                <w:bCs/>
                <w:sz w:val="18"/>
                <w:szCs w:val="18"/>
              </w:rPr>
              <w:t>Run</w:t>
            </w:r>
          </w:p>
        </w:tc>
        <w:tc>
          <w:tcPr>
            <w:tcW w:w="1115" w:type="dxa"/>
            <w:tcBorders>
              <w:top w:val="single" w:sz="12" w:space="0" w:color="auto"/>
              <w:left w:val="nil"/>
              <w:bottom w:val="single" w:sz="12" w:space="0" w:color="auto"/>
              <w:right w:val="nil"/>
            </w:tcBorders>
            <w:shd w:val="clear" w:color="auto" w:fill="auto"/>
            <w:tcMar>
              <w:top w:w="15" w:type="dxa"/>
              <w:left w:w="15" w:type="dxa"/>
              <w:bottom w:w="0" w:type="dxa"/>
              <w:right w:w="15" w:type="dxa"/>
            </w:tcMar>
            <w:vAlign w:val="center"/>
            <w:hideMark/>
          </w:tcPr>
          <w:p w:rsidR="00872D12" w:rsidRPr="005F2795" w:rsidRDefault="00872D12" w:rsidP="00A977CF">
            <w:pPr>
              <w:jc w:val="both"/>
              <w:rPr>
                <w:b/>
                <w:bCs/>
                <w:sz w:val="18"/>
                <w:szCs w:val="18"/>
              </w:rPr>
            </w:pPr>
            <w:r w:rsidRPr="005F2795">
              <w:rPr>
                <w:b/>
                <w:bCs/>
                <w:sz w:val="18"/>
                <w:szCs w:val="18"/>
              </w:rPr>
              <w:t>Substitution Model</w:t>
            </w:r>
          </w:p>
        </w:tc>
        <w:tc>
          <w:tcPr>
            <w:tcW w:w="1134" w:type="dxa"/>
            <w:tcBorders>
              <w:top w:val="single" w:sz="12" w:space="0" w:color="auto"/>
              <w:left w:val="nil"/>
              <w:bottom w:val="single" w:sz="12" w:space="0" w:color="auto"/>
              <w:right w:val="nil"/>
            </w:tcBorders>
            <w:shd w:val="clear" w:color="auto" w:fill="auto"/>
            <w:tcMar>
              <w:top w:w="15" w:type="dxa"/>
              <w:left w:w="15" w:type="dxa"/>
              <w:bottom w:w="0" w:type="dxa"/>
              <w:right w:w="15" w:type="dxa"/>
            </w:tcMar>
            <w:vAlign w:val="center"/>
            <w:hideMark/>
          </w:tcPr>
          <w:p w:rsidR="00872D12" w:rsidRPr="005F2795" w:rsidRDefault="00872D12" w:rsidP="00A977CF">
            <w:pPr>
              <w:jc w:val="both"/>
              <w:rPr>
                <w:b/>
                <w:bCs/>
                <w:sz w:val="18"/>
                <w:szCs w:val="18"/>
              </w:rPr>
            </w:pPr>
            <w:r w:rsidRPr="005F2795">
              <w:rPr>
                <w:b/>
                <w:bCs/>
                <w:sz w:val="18"/>
                <w:szCs w:val="18"/>
              </w:rPr>
              <w:t>Clock Model</w:t>
            </w:r>
          </w:p>
        </w:tc>
        <w:tc>
          <w:tcPr>
            <w:tcW w:w="1559" w:type="dxa"/>
            <w:tcBorders>
              <w:top w:val="single" w:sz="12" w:space="0" w:color="auto"/>
              <w:left w:val="nil"/>
              <w:bottom w:val="single" w:sz="12" w:space="0" w:color="auto"/>
              <w:right w:val="nil"/>
            </w:tcBorders>
            <w:shd w:val="clear" w:color="auto" w:fill="auto"/>
            <w:tcMar>
              <w:top w:w="15" w:type="dxa"/>
              <w:left w:w="15" w:type="dxa"/>
              <w:bottom w:w="0" w:type="dxa"/>
              <w:right w:w="15" w:type="dxa"/>
            </w:tcMar>
            <w:vAlign w:val="center"/>
            <w:hideMark/>
          </w:tcPr>
          <w:p w:rsidR="00872D12" w:rsidRPr="005F2795" w:rsidRDefault="00872D12" w:rsidP="00A977CF">
            <w:pPr>
              <w:jc w:val="both"/>
              <w:rPr>
                <w:b/>
                <w:bCs/>
                <w:sz w:val="18"/>
                <w:szCs w:val="18"/>
              </w:rPr>
            </w:pPr>
            <w:r w:rsidRPr="005F2795">
              <w:rPr>
                <w:b/>
                <w:bCs/>
                <w:sz w:val="18"/>
                <w:szCs w:val="18"/>
              </w:rPr>
              <w:t>Population Model</w:t>
            </w:r>
          </w:p>
        </w:tc>
        <w:tc>
          <w:tcPr>
            <w:tcW w:w="1276" w:type="dxa"/>
            <w:tcBorders>
              <w:top w:val="single" w:sz="12" w:space="0" w:color="auto"/>
              <w:left w:val="nil"/>
              <w:bottom w:val="single" w:sz="12" w:space="0" w:color="auto"/>
              <w:right w:val="nil"/>
            </w:tcBorders>
            <w:shd w:val="clear" w:color="auto" w:fill="auto"/>
            <w:tcMar>
              <w:top w:w="15" w:type="dxa"/>
              <w:left w:w="15" w:type="dxa"/>
              <w:bottom w:w="0" w:type="dxa"/>
              <w:right w:w="15" w:type="dxa"/>
            </w:tcMar>
            <w:vAlign w:val="center"/>
            <w:hideMark/>
          </w:tcPr>
          <w:p w:rsidR="00872D12" w:rsidRPr="005F2795" w:rsidRDefault="00872D12" w:rsidP="00A977CF">
            <w:pPr>
              <w:jc w:val="both"/>
              <w:rPr>
                <w:b/>
                <w:bCs/>
                <w:sz w:val="18"/>
                <w:szCs w:val="18"/>
              </w:rPr>
            </w:pPr>
            <w:r w:rsidRPr="005F2795">
              <w:rPr>
                <w:b/>
                <w:bCs/>
                <w:sz w:val="18"/>
                <w:szCs w:val="18"/>
              </w:rPr>
              <w:t>Path Sampling</w:t>
            </w:r>
          </w:p>
        </w:tc>
        <w:tc>
          <w:tcPr>
            <w:tcW w:w="1417" w:type="dxa"/>
            <w:tcBorders>
              <w:top w:val="single" w:sz="12" w:space="0" w:color="auto"/>
              <w:left w:val="nil"/>
              <w:bottom w:val="single" w:sz="12" w:space="0" w:color="auto"/>
              <w:right w:val="nil"/>
            </w:tcBorders>
            <w:shd w:val="clear" w:color="auto" w:fill="auto"/>
            <w:tcMar>
              <w:top w:w="15" w:type="dxa"/>
              <w:left w:w="15" w:type="dxa"/>
              <w:bottom w:w="0" w:type="dxa"/>
              <w:right w:w="15" w:type="dxa"/>
            </w:tcMar>
            <w:vAlign w:val="center"/>
            <w:hideMark/>
          </w:tcPr>
          <w:p w:rsidR="00872D12" w:rsidRPr="005F2795" w:rsidRDefault="00594C6C" w:rsidP="00594C6C">
            <w:pPr>
              <w:jc w:val="center"/>
              <w:rPr>
                <w:b/>
                <w:bCs/>
                <w:sz w:val="18"/>
                <w:szCs w:val="18"/>
              </w:rPr>
            </w:pPr>
            <w:r>
              <w:rPr>
                <w:b/>
                <w:bCs/>
                <w:sz w:val="18"/>
                <w:szCs w:val="18"/>
              </w:rPr>
              <w:t xml:space="preserve">Stepping </w:t>
            </w:r>
            <w:r w:rsidR="00872D12" w:rsidRPr="005F2795">
              <w:rPr>
                <w:b/>
                <w:bCs/>
                <w:sz w:val="18"/>
                <w:szCs w:val="18"/>
              </w:rPr>
              <w:t>Stone Sampling</w:t>
            </w:r>
          </w:p>
        </w:tc>
        <w:tc>
          <w:tcPr>
            <w:tcW w:w="851" w:type="dxa"/>
            <w:tcBorders>
              <w:top w:val="single" w:sz="12" w:space="0" w:color="auto"/>
              <w:left w:val="nil"/>
              <w:bottom w:val="single" w:sz="12" w:space="0" w:color="auto"/>
              <w:right w:val="nil"/>
            </w:tcBorders>
            <w:shd w:val="clear" w:color="auto" w:fill="auto"/>
            <w:tcMar>
              <w:top w:w="15" w:type="dxa"/>
              <w:left w:w="15" w:type="dxa"/>
              <w:bottom w:w="0" w:type="dxa"/>
              <w:right w:w="15" w:type="dxa"/>
            </w:tcMar>
            <w:vAlign w:val="center"/>
            <w:hideMark/>
          </w:tcPr>
          <w:p w:rsidR="00872D12" w:rsidRPr="005F2795" w:rsidRDefault="00872D12" w:rsidP="00A977CF">
            <w:pPr>
              <w:jc w:val="both"/>
              <w:rPr>
                <w:b/>
                <w:bCs/>
                <w:sz w:val="18"/>
                <w:szCs w:val="18"/>
              </w:rPr>
            </w:pPr>
            <w:r w:rsidRPr="005F2795">
              <w:rPr>
                <w:b/>
                <w:bCs/>
                <w:sz w:val="18"/>
                <w:szCs w:val="18"/>
              </w:rPr>
              <w:t>Converged</w:t>
            </w:r>
          </w:p>
        </w:tc>
      </w:tr>
      <w:tr w:rsidR="00872D12" w:rsidTr="008A710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1</w:t>
            </w:r>
          </w:p>
        </w:tc>
        <w:tc>
          <w:tcPr>
            <w:tcW w:w="1115"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JC</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Strict</w:t>
            </w:r>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Constant</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-5629980.18</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-5629974.54</w:t>
            </w: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YES</w:t>
            </w:r>
          </w:p>
        </w:tc>
      </w:tr>
      <w:tr w:rsidR="00872D12" w:rsidTr="008A710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2</w:t>
            </w:r>
          </w:p>
        </w:tc>
        <w:tc>
          <w:tcPr>
            <w:tcW w:w="1115"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HKY</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Strict</w:t>
            </w:r>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Constant</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-5435731.80</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-5435724.63</w:t>
            </w: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YES</w:t>
            </w:r>
          </w:p>
        </w:tc>
      </w:tr>
      <w:tr w:rsidR="00872D12" w:rsidTr="008A710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3</w:t>
            </w:r>
          </w:p>
        </w:tc>
        <w:tc>
          <w:tcPr>
            <w:tcW w:w="1115"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GTR</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Strict</w:t>
            </w:r>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Constant</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-5435743.40</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-5435740.84</w:t>
            </w: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YES</w:t>
            </w:r>
          </w:p>
        </w:tc>
      </w:tr>
      <w:tr w:rsidR="00872D12" w:rsidTr="008A710B">
        <w:trPr>
          <w:trHeight w:val="300"/>
        </w:trPr>
        <w:tc>
          <w:tcPr>
            <w:tcW w:w="0" w:type="auto"/>
            <w:tcBorders>
              <w:top w:val="nil"/>
              <w:left w:val="nil"/>
              <w:bottom w:val="nil"/>
              <w:right w:val="nil"/>
            </w:tcBorders>
            <w:shd w:val="clear" w:color="000000" w:fill="D9D9D9"/>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 </w:t>
            </w:r>
          </w:p>
        </w:tc>
        <w:tc>
          <w:tcPr>
            <w:tcW w:w="1115" w:type="dxa"/>
            <w:tcBorders>
              <w:top w:val="nil"/>
              <w:left w:val="nil"/>
              <w:bottom w:val="nil"/>
              <w:right w:val="nil"/>
            </w:tcBorders>
            <w:shd w:val="clear" w:color="000000" w:fill="D9D9D9"/>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 </w:t>
            </w:r>
          </w:p>
        </w:tc>
        <w:tc>
          <w:tcPr>
            <w:tcW w:w="1134" w:type="dxa"/>
            <w:tcBorders>
              <w:top w:val="nil"/>
              <w:left w:val="nil"/>
              <w:bottom w:val="nil"/>
              <w:right w:val="nil"/>
            </w:tcBorders>
            <w:shd w:val="clear" w:color="000000" w:fill="D9D9D9"/>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 </w:t>
            </w:r>
          </w:p>
        </w:tc>
        <w:tc>
          <w:tcPr>
            <w:tcW w:w="1559" w:type="dxa"/>
            <w:tcBorders>
              <w:top w:val="nil"/>
              <w:left w:val="nil"/>
              <w:bottom w:val="nil"/>
              <w:right w:val="nil"/>
            </w:tcBorders>
            <w:shd w:val="clear" w:color="000000" w:fill="D9D9D9"/>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 </w:t>
            </w:r>
          </w:p>
        </w:tc>
        <w:tc>
          <w:tcPr>
            <w:tcW w:w="1276" w:type="dxa"/>
            <w:tcBorders>
              <w:top w:val="nil"/>
              <w:left w:val="nil"/>
              <w:bottom w:val="nil"/>
              <w:right w:val="nil"/>
            </w:tcBorders>
            <w:shd w:val="clear" w:color="000000" w:fill="D9D9D9"/>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 </w:t>
            </w:r>
          </w:p>
        </w:tc>
        <w:tc>
          <w:tcPr>
            <w:tcW w:w="1417" w:type="dxa"/>
            <w:tcBorders>
              <w:top w:val="nil"/>
              <w:left w:val="nil"/>
              <w:bottom w:val="nil"/>
              <w:right w:val="nil"/>
            </w:tcBorders>
            <w:shd w:val="clear" w:color="000000" w:fill="D9D9D9"/>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 </w:t>
            </w:r>
          </w:p>
        </w:tc>
        <w:tc>
          <w:tcPr>
            <w:tcW w:w="851" w:type="dxa"/>
            <w:tcBorders>
              <w:top w:val="nil"/>
              <w:left w:val="nil"/>
              <w:bottom w:val="nil"/>
              <w:right w:val="nil"/>
            </w:tcBorders>
            <w:shd w:val="clear" w:color="000000" w:fill="D9D9D9"/>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 </w:t>
            </w:r>
          </w:p>
        </w:tc>
        <w:bookmarkStart w:id="0" w:name="_GoBack"/>
        <w:bookmarkEnd w:id="0"/>
      </w:tr>
      <w:tr w:rsidR="00872D12" w:rsidTr="008A710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4</w:t>
            </w:r>
          </w:p>
        </w:tc>
        <w:tc>
          <w:tcPr>
            <w:tcW w:w="1115"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HKY</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Relaxed-Log</w:t>
            </w:r>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Constant</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w:t>
            </w: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NO</w:t>
            </w:r>
          </w:p>
        </w:tc>
      </w:tr>
      <w:tr w:rsidR="00872D12" w:rsidTr="008A710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5</w:t>
            </w:r>
          </w:p>
        </w:tc>
        <w:tc>
          <w:tcPr>
            <w:tcW w:w="1115"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HKY</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Relaxed-</w:t>
            </w:r>
            <w:proofErr w:type="spellStart"/>
            <w:r w:rsidRPr="005F2795">
              <w:rPr>
                <w:sz w:val="18"/>
                <w:szCs w:val="18"/>
              </w:rPr>
              <w:t>Exp</w:t>
            </w:r>
            <w:proofErr w:type="spellEnd"/>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Constant</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-5435687.14</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-5435685.90</w:t>
            </w: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YES</w:t>
            </w:r>
          </w:p>
        </w:tc>
      </w:tr>
      <w:tr w:rsidR="00872D12" w:rsidTr="008A710B">
        <w:trPr>
          <w:trHeight w:val="300"/>
        </w:trPr>
        <w:tc>
          <w:tcPr>
            <w:tcW w:w="0" w:type="auto"/>
            <w:tcBorders>
              <w:top w:val="nil"/>
              <w:left w:val="nil"/>
              <w:bottom w:val="nil"/>
              <w:right w:val="nil"/>
            </w:tcBorders>
            <w:shd w:val="clear" w:color="000000" w:fill="D9D9D9"/>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 </w:t>
            </w:r>
          </w:p>
        </w:tc>
        <w:tc>
          <w:tcPr>
            <w:tcW w:w="1115" w:type="dxa"/>
            <w:tcBorders>
              <w:top w:val="nil"/>
              <w:left w:val="nil"/>
              <w:bottom w:val="nil"/>
              <w:right w:val="nil"/>
            </w:tcBorders>
            <w:shd w:val="clear" w:color="000000" w:fill="D9D9D9"/>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 </w:t>
            </w:r>
          </w:p>
        </w:tc>
        <w:tc>
          <w:tcPr>
            <w:tcW w:w="1134" w:type="dxa"/>
            <w:tcBorders>
              <w:top w:val="nil"/>
              <w:left w:val="nil"/>
              <w:bottom w:val="nil"/>
              <w:right w:val="nil"/>
            </w:tcBorders>
            <w:shd w:val="clear" w:color="000000" w:fill="D9D9D9"/>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 </w:t>
            </w:r>
          </w:p>
        </w:tc>
        <w:tc>
          <w:tcPr>
            <w:tcW w:w="1559" w:type="dxa"/>
            <w:tcBorders>
              <w:top w:val="nil"/>
              <w:left w:val="nil"/>
              <w:bottom w:val="nil"/>
              <w:right w:val="nil"/>
            </w:tcBorders>
            <w:shd w:val="clear" w:color="000000" w:fill="D9D9D9"/>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 </w:t>
            </w:r>
          </w:p>
        </w:tc>
        <w:tc>
          <w:tcPr>
            <w:tcW w:w="1276" w:type="dxa"/>
            <w:tcBorders>
              <w:top w:val="nil"/>
              <w:left w:val="nil"/>
              <w:bottom w:val="nil"/>
              <w:right w:val="nil"/>
            </w:tcBorders>
            <w:shd w:val="clear" w:color="000000" w:fill="D9D9D9"/>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 </w:t>
            </w:r>
          </w:p>
        </w:tc>
        <w:tc>
          <w:tcPr>
            <w:tcW w:w="1417" w:type="dxa"/>
            <w:tcBorders>
              <w:top w:val="nil"/>
              <w:left w:val="nil"/>
              <w:bottom w:val="nil"/>
              <w:right w:val="nil"/>
            </w:tcBorders>
            <w:shd w:val="clear" w:color="000000" w:fill="D9D9D9"/>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 </w:t>
            </w:r>
          </w:p>
        </w:tc>
        <w:tc>
          <w:tcPr>
            <w:tcW w:w="851" w:type="dxa"/>
            <w:tcBorders>
              <w:top w:val="nil"/>
              <w:left w:val="nil"/>
              <w:bottom w:val="nil"/>
              <w:right w:val="nil"/>
            </w:tcBorders>
            <w:shd w:val="clear" w:color="000000" w:fill="D9D9D9"/>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 </w:t>
            </w:r>
          </w:p>
        </w:tc>
      </w:tr>
      <w:tr w:rsidR="00872D12" w:rsidTr="008A710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6</w:t>
            </w:r>
          </w:p>
        </w:tc>
        <w:tc>
          <w:tcPr>
            <w:tcW w:w="1115"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HKY</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Relaxed-</w:t>
            </w:r>
            <w:proofErr w:type="spellStart"/>
            <w:r w:rsidRPr="005F2795">
              <w:rPr>
                <w:sz w:val="18"/>
                <w:szCs w:val="18"/>
              </w:rPr>
              <w:t>Exp</w:t>
            </w:r>
            <w:proofErr w:type="spellEnd"/>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Logistic</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w:t>
            </w: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NO</w:t>
            </w:r>
          </w:p>
        </w:tc>
      </w:tr>
      <w:tr w:rsidR="00872D12" w:rsidTr="008A710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7</w:t>
            </w:r>
          </w:p>
        </w:tc>
        <w:tc>
          <w:tcPr>
            <w:tcW w:w="1115"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HKY</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Relaxed-</w:t>
            </w:r>
            <w:proofErr w:type="spellStart"/>
            <w:r w:rsidRPr="005F2795">
              <w:rPr>
                <w:sz w:val="18"/>
                <w:szCs w:val="18"/>
              </w:rPr>
              <w:t>Exp</w:t>
            </w:r>
            <w:proofErr w:type="spellEnd"/>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Exponential</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-5435682.54</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-5435681.21</w:t>
            </w: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YES</w:t>
            </w:r>
          </w:p>
        </w:tc>
      </w:tr>
      <w:tr w:rsidR="00872D12" w:rsidTr="008A710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8</w:t>
            </w:r>
          </w:p>
        </w:tc>
        <w:tc>
          <w:tcPr>
            <w:tcW w:w="1115"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HKY</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Relaxed-</w:t>
            </w:r>
            <w:proofErr w:type="spellStart"/>
            <w:r w:rsidRPr="005F2795">
              <w:rPr>
                <w:sz w:val="18"/>
                <w:szCs w:val="18"/>
              </w:rPr>
              <w:t>Exp</w:t>
            </w:r>
            <w:proofErr w:type="spellEnd"/>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Expansion</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w:t>
            </w: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NO</w:t>
            </w:r>
          </w:p>
        </w:tc>
      </w:tr>
      <w:tr w:rsidR="00872D12" w:rsidTr="008A710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9</w:t>
            </w:r>
          </w:p>
        </w:tc>
        <w:tc>
          <w:tcPr>
            <w:tcW w:w="1115"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HKY</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Relaxed-</w:t>
            </w:r>
            <w:proofErr w:type="spellStart"/>
            <w:r w:rsidRPr="005F2795">
              <w:rPr>
                <w:sz w:val="18"/>
                <w:szCs w:val="18"/>
              </w:rPr>
              <w:t>Exp</w:t>
            </w:r>
            <w:proofErr w:type="spellEnd"/>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Skyline</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-5435682.32</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-5435681.25</w:t>
            </w: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YES</w:t>
            </w:r>
          </w:p>
        </w:tc>
      </w:tr>
      <w:tr w:rsidR="00872D12" w:rsidTr="008A710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10</w:t>
            </w:r>
          </w:p>
        </w:tc>
        <w:tc>
          <w:tcPr>
            <w:tcW w:w="1115"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HKY</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Relaxed-</w:t>
            </w:r>
            <w:proofErr w:type="spellStart"/>
            <w:r w:rsidRPr="005F2795">
              <w:rPr>
                <w:sz w:val="18"/>
                <w:szCs w:val="18"/>
              </w:rPr>
              <w:t>Exp</w:t>
            </w:r>
            <w:proofErr w:type="spellEnd"/>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proofErr w:type="spellStart"/>
            <w:r w:rsidRPr="005F2795">
              <w:rPr>
                <w:sz w:val="18"/>
                <w:szCs w:val="18"/>
              </w:rPr>
              <w:t>Skyride</w:t>
            </w:r>
            <w:proofErr w:type="spellEnd"/>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-5435692.02</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-5435690.30</w:t>
            </w: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YES</w:t>
            </w:r>
          </w:p>
        </w:tc>
      </w:tr>
      <w:tr w:rsidR="00872D12" w:rsidTr="008A710B">
        <w:trPr>
          <w:trHeight w:val="300"/>
        </w:trPr>
        <w:tc>
          <w:tcPr>
            <w:tcW w:w="0" w:type="auto"/>
            <w:tcBorders>
              <w:top w:val="nil"/>
              <w:left w:val="nil"/>
              <w:bottom w:val="single" w:sz="12" w:space="0" w:color="auto"/>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11</w:t>
            </w:r>
          </w:p>
        </w:tc>
        <w:tc>
          <w:tcPr>
            <w:tcW w:w="1115" w:type="dxa"/>
            <w:tcBorders>
              <w:top w:val="nil"/>
              <w:left w:val="nil"/>
              <w:bottom w:val="single" w:sz="12" w:space="0" w:color="auto"/>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HKY</w:t>
            </w:r>
          </w:p>
        </w:tc>
        <w:tc>
          <w:tcPr>
            <w:tcW w:w="1134" w:type="dxa"/>
            <w:tcBorders>
              <w:top w:val="nil"/>
              <w:left w:val="nil"/>
              <w:bottom w:val="single" w:sz="12" w:space="0" w:color="auto"/>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Relaxed-</w:t>
            </w:r>
            <w:proofErr w:type="spellStart"/>
            <w:r w:rsidRPr="005F2795">
              <w:rPr>
                <w:sz w:val="18"/>
                <w:szCs w:val="18"/>
              </w:rPr>
              <w:t>Exp</w:t>
            </w:r>
            <w:proofErr w:type="spellEnd"/>
          </w:p>
        </w:tc>
        <w:tc>
          <w:tcPr>
            <w:tcW w:w="1559" w:type="dxa"/>
            <w:tcBorders>
              <w:top w:val="nil"/>
              <w:left w:val="nil"/>
              <w:bottom w:val="single" w:sz="12" w:space="0" w:color="auto"/>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proofErr w:type="spellStart"/>
            <w:r w:rsidRPr="005F2795">
              <w:rPr>
                <w:sz w:val="18"/>
                <w:szCs w:val="18"/>
              </w:rPr>
              <w:t>Skygrid</w:t>
            </w:r>
            <w:proofErr w:type="spellEnd"/>
          </w:p>
        </w:tc>
        <w:tc>
          <w:tcPr>
            <w:tcW w:w="1276" w:type="dxa"/>
            <w:tcBorders>
              <w:top w:val="nil"/>
              <w:left w:val="nil"/>
              <w:bottom w:val="single" w:sz="12" w:space="0" w:color="auto"/>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-5435685.72</w:t>
            </w:r>
          </w:p>
        </w:tc>
        <w:tc>
          <w:tcPr>
            <w:tcW w:w="1417" w:type="dxa"/>
            <w:tcBorders>
              <w:top w:val="nil"/>
              <w:left w:val="nil"/>
              <w:bottom w:val="single" w:sz="12" w:space="0" w:color="auto"/>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-5435683.68</w:t>
            </w:r>
          </w:p>
        </w:tc>
        <w:tc>
          <w:tcPr>
            <w:tcW w:w="851" w:type="dxa"/>
            <w:tcBorders>
              <w:top w:val="nil"/>
              <w:left w:val="nil"/>
              <w:bottom w:val="single" w:sz="12" w:space="0" w:color="auto"/>
              <w:right w:val="nil"/>
            </w:tcBorders>
            <w:shd w:val="clear" w:color="auto" w:fill="auto"/>
            <w:noWrap/>
            <w:tcMar>
              <w:top w:w="15" w:type="dxa"/>
              <w:left w:w="15" w:type="dxa"/>
              <w:bottom w:w="0" w:type="dxa"/>
              <w:right w:w="15" w:type="dxa"/>
            </w:tcMar>
            <w:vAlign w:val="bottom"/>
            <w:hideMark/>
          </w:tcPr>
          <w:p w:rsidR="00872D12" w:rsidRPr="005F2795" w:rsidRDefault="00872D12" w:rsidP="00A977CF">
            <w:pPr>
              <w:jc w:val="both"/>
              <w:rPr>
                <w:sz w:val="18"/>
                <w:szCs w:val="18"/>
              </w:rPr>
            </w:pPr>
            <w:r w:rsidRPr="005F2795">
              <w:rPr>
                <w:sz w:val="18"/>
                <w:szCs w:val="18"/>
              </w:rPr>
              <w:t>YES</w:t>
            </w:r>
          </w:p>
        </w:tc>
      </w:tr>
    </w:tbl>
    <w:p w:rsidR="00872D12" w:rsidRDefault="00872D12" w:rsidP="00A977CF">
      <w:pPr>
        <w:jc w:val="both"/>
      </w:pPr>
      <w:r w:rsidRPr="005B250E">
        <w:t xml:space="preserve">Table </w:t>
      </w:r>
      <w:r w:rsidR="009967BD" w:rsidRPr="005B250E">
        <w:t>S</w:t>
      </w:r>
      <w:r w:rsidRPr="005B250E">
        <w:t>2</w:t>
      </w:r>
      <w:r w:rsidR="009967BD" w:rsidRPr="005B250E">
        <w:t xml:space="preserve">: </w:t>
      </w:r>
      <w:r>
        <w:t>A hierarchical approach to model selection for the BEAST analyses. Each model structure described above (defined by the substitution, clock and population models selected) was repeated three times using a chain length of 500,000,000 with every 50,000 step being sampled. The average likelihood (across the three replicates) is reported for the Path Sampling and Stepping Stone model comparison methods. In addition, whether or not the replicates converged was reported.</w:t>
      </w:r>
    </w:p>
    <w:p w:rsidR="00872D12" w:rsidRPr="00872D12" w:rsidRDefault="00872D12" w:rsidP="00A977CF">
      <w:pPr>
        <w:jc w:val="both"/>
      </w:pPr>
    </w:p>
    <w:sectPr w:rsidR="00872D12" w:rsidRPr="00872D12" w:rsidSect="005F564D">
      <w:pgSz w:w="11906" w:h="16838"/>
      <w:pgMar w:top="1701" w:right="1418" w:bottom="1701"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3B2F"/>
    <w:multiLevelType w:val="hybridMultilevel"/>
    <w:tmpl w:val="F9D28B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280192F"/>
    <w:multiLevelType w:val="hybridMultilevel"/>
    <w:tmpl w:val="DE64330A"/>
    <w:lvl w:ilvl="0" w:tplc="B464E698">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01"/>
    <w:rsid w:val="000136A7"/>
    <w:rsid w:val="00021D5D"/>
    <w:rsid w:val="00027D6E"/>
    <w:rsid w:val="0008687C"/>
    <w:rsid w:val="000959AB"/>
    <w:rsid w:val="000B407B"/>
    <w:rsid w:val="000C3BB1"/>
    <w:rsid w:val="000F4002"/>
    <w:rsid w:val="00110B82"/>
    <w:rsid w:val="00121A3C"/>
    <w:rsid w:val="0013418D"/>
    <w:rsid w:val="00151226"/>
    <w:rsid w:val="001629CF"/>
    <w:rsid w:val="00176780"/>
    <w:rsid w:val="001A4531"/>
    <w:rsid w:val="001C6879"/>
    <w:rsid w:val="001E2553"/>
    <w:rsid w:val="001F53F7"/>
    <w:rsid w:val="001F5CFF"/>
    <w:rsid w:val="00215327"/>
    <w:rsid w:val="00234713"/>
    <w:rsid w:val="0028088C"/>
    <w:rsid w:val="00281449"/>
    <w:rsid w:val="002A23C7"/>
    <w:rsid w:val="002D5799"/>
    <w:rsid w:val="003021C4"/>
    <w:rsid w:val="00304F94"/>
    <w:rsid w:val="00310665"/>
    <w:rsid w:val="003144D1"/>
    <w:rsid w:val="003207A7"/>
    <w:rsid w:val="0033288A"/>
    <w:rsid w:val="00333A93"/>
    <w:rsid w:val="00340AB3"/>
    <w:rsid w:val="00355766"/>
    <w:rsid w:val="003707FE"/>
    <w:rsid w:val="003A2C05"/>
    <w:rsid w:val="003D1AF2"/>
    <w:rsid w:val="003E4571"/>
    <w:rsid w:val="00405915"/>
    <w:rsid w:val="00483C59"/>
    <w:rsid w:val="004A3BC9"/>
    <w:rsid w:val="004D09D1"/>
    <w:rsid w:val="004F3D7E"/>
    <w:rsid w:val="0050230B"/>
    <w:rsid w:val="00524A14"/>
    <w:rsid w:val="005306BC"/>
    <w:rsid w:val="005546DF"/>
    <w:rsid w:val="0055772B"/>
    <w:rsid w:val="00574395"/>
    <w:rsid w:val="00580D7C"/>
    <w:rsid w:val="005924C2"/>
    <w:rsid w:val="00594C6C"/>
    <w:rsid w:val="005B250E"/>
    <w:rsid w:val="005B6D1D"/>
    <w:rsid w:val="005C012A"/>
    <w:rsid w:val="005C17E2"/>
    <w:rsid w:val="005C2DB9"/>
    <w:rsid w:val="005E2A01"/>
    <w:rsid w:val="005F5083"/>
    <w:rsid w:val="005F564D"/>
    <w:rsid w:val="00621DE6"/>
    <w:rsid w:val="00656B43"/>
    <w:rsid w:val="00677ACD"/>
    <w:rsid w:val="00696FC1"/>
    <w:rsid w:val="006A16D9"/>
    <w:rsid w:val="006D1B37"/>
    <w:rsid w:val="006D78B1"/>
    <w:rsid w:val="006F0439"/>
    <w:rsid w:val="00722848"/>
    <w:rsid w:val="00726F8A"/>
    <w:rsid w:val="00736054"/>
    <w:rsid w:val="00764674"/>
    <w:rsid w:val="007739AC"/>
    <w:rsid w:val="00777281"/>
    <w:rsid w:val="00783D82"/>
    <w:rsid w:val="00784647"/>
    <w:rsid w:val="007A2040"/>
    <w:rsid w:val="008378CE"/>
    <w:rsid w:val="00842537"/>
    <w:rsid w:val="00862F18"/>
    <w:rsid w:val="00872D12"/>
    <w:rsid w:val="008848DB"/>
    <w:rsid w:val="008B22FC"/>
    <w:rsid w:val="008B2918"/>
    <w:rsid w:val="008B4D1E"/>
    <w:rsid w:val="008C5B86"/>
    <w:rsid w:val="008D6ABA"/>
    <w:rsid w:val="008F2A7D"/>
    <w:rsid w:val="00905C9E"/>
    <w:rsid w:val="009076E4"/>
    <w:rsid w:val="009232C5"/>
    <w:rsid w:val="00924446"/>
    <w:rsid w:val="00930668"/>
    <w:rsid w:val="0093398F"/>
    <w:rsid w:val="009967BD"/>
    <w:rsid w:val="009F4CD6"/>
    <w:rsid w:val="00A116C0"/>
    <w:rsid w:val="00A3079E"/>
    <w:rsid w:val="00A45CC9"/>
    <w:rsid w:val="00A466D9"/>
    <w:rsid w:val="00A64E18"/>
    <w:rsid w:val="00A66092"/>
    <w:rsid w:val="00A75719"/>
    <w:rsid w:val="00A90101"/>
    <w:rsid w:val="00A95434"/>
    <w:rsid w:val="00A977CF"/>
    <w:rsid w:val="00AA1C6F"/>
    <w:rsid w:val="00AB1247"/>
    <w:rsid w:val="00AC050D"/>
    <w:rsid w:val="00AC6D05"/>
    <w:rsid w:val="00AD4171"/>
    <w:rsid w:val="00AE0689"/>
    <w:rsid w:val="00AE169F"/>
    <w:rsid w:val="00AE3D4E"/>
    <w:rsid w:val="00AF1D1F"/>
    <w:rsid w:val="00B057A3"/>
    <w:rsid w:val="00B365AE"/>
    <w:rsid w:val="00B371C6"/>
    <w:rsid w:val="00B418E4"/>
    <w:rsid w:val="00B43BCE"/>
    <w:rsid w:val="00B61B35"/>
    <w:rsid w:val="00B7130C"/>
    <w:rsid w:val="00B87F92"/>
    <w:rsid w:val="00BA7F8D"/>
    <w:rsid w:val="00BB526F"/>
    <w:rsid w:val="00BD19DA"/>
    <w:rsid w:val="00BE3D5C"/>
    <w:rsid w:val="00C4030F"/>
    <w:rsid w:val="00C576F6"/>
    <w:rsid w:val="00C755AF"/>
    <w:rsid w:val="00CB1763"/>
    <w:rsid w:val="00CD47D1"/>
    <w:rsid w:val="00CE38D3"/>
    <w:rsid w:val="00CE6BD6"/>
    <w:rsid w:val="00D46A64"/>
    <w:rsid w:val="00D53A59"/>
    <w:rsid w:val="00D700C0"/>
    <w:rsid w:val="00D7648E"/>
    <w:rsid w:val="00D93F95"/>
    <w:rsid w:val="00DE70BC"/>
    <w:rsid w:val="00E52B44"/>
    <w:rsid w:val="00E66A44"/>
    <w:rsid w:val="00E7497B"/>
    <w:rsid w:val="00E76C34"/>
    <w:rsid w:val="00E86AFC"/>
    <w:rsid w:val="00ED2C64"/>
    <w:rsid w:val="00F075A5"/>
    <w:rsid w:val="00F26225"/>
    <w:rsid w:val="00F34322"/>
    <w:rsid w:val="00F37686"/>
    <w:rsid w:val="00F40639"/>
    <w:rsid w:val="00F551DC"/>
    <w:rsid w:val="00F55701"/>
    <w:rsid w:val="00F57ACA"/>
    <w:rsid w:val="00F72AF4"/>
    <w:rsid w:val="00F8787B"/>
    <w:rsid w:val="00FB0AB0"/>
    <w:rsid w:val="00FC1027"/>
    <w:rsid w:val="00FC3CB5"/>
    <w:rsid w:val="00FE6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8B1"/>
    <w:pPr>
      <w:keepNext/>
      <w:keepLines/>
      <w:spacing w:after="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576F6"/>
    <w:pPr>
      <w:keepNext/>
      <w:keepLines/>
      <w:spacing w:before="240" w:after="12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8B1"/>
    <w:rPr>
      <w:rFonts w:eastAsiaTheme="majorEastAsia" w:cstheme="majorBidi"/>
      <w:b/>
      <w:bCs/>
      <w:szCs w:val="28"/>
    </w:rPr>
  </w:style>
  <w:style w:type="character" w:customStyle="1" w:styleId="Heading2Char">
    <w:name w:val="Heading 2 Char"/>
    <w:basedOn w:val="DefaultParagraphFont"/>
    <w:link w:val="Heading2"/>
    <w:uiPriority w:val="9"/>
    <w:rsid w:val="00C576F6"/>
    <w:rPr>
      <w:rFonts w:eastAsiaTheme="majorEastAsia" w:cstheme="majorBidi"/>
      <w:bCs/>
      <w:i/>
      <w:szCs w:val="26"/>
    </w:rPr>
  </w:style>
  <w:style w:type="character" w:styleId="LineNumber">
    <w:name w:val="line number"/>
    <w:basedOn w:val="DefaultParagraphFont"/>
    <w:uiPriority w:val="99"/>
    <w:semiHidden/>
    <w:unhideWhenUsed/>
    <w:rsid w:val="00BE3D5C"/>
  </w:style>
  <w:style w:type="paragraph" w:styleId="BalloonText">
    <w:name w:val="Balloon Text"/>
    <w:basedOn w:val="Normal"/>
    <w:link w:val="BalloonTextChar"/>
    <w:uiPriority w:val="99"/>
    <w:semiHidden/>
    <w:unhideWhenUsed/>
    <w:rsid w:val="008D6ABA"/>
    <w:rPr>
      <w:rFonts w:ascii="Tahoma" w:hAnsi="Tahoma" w:cs="Tahoma"/>
      <w:sz w:val="16"/>
      <w:szCs w:val="16"/>
    </w:rPr>
  </w:style>
  <w:style w:type="character" w:customStyle="1" w:styleId="BalloonTextChar">
    <w:name w:val="Balloon Text Char"/>
    <w:basedOn w:val="DefaultParagraphFont"/>
    <w:link w:val="BalloonText"/>
    <w:uiPriority w:val="99"/>
    <w:semiHidden/>
    <w:rsid w:val="008D6ABA"/>
    <w:rPr>
      <w:rFonts w:ascii="Tahoma" w:hAnsi="Tahoma" w:cs="Tahoma"/>
      <w:sz w:val="16"/>
      <w:szCs w:val="16"/>
    </w:rPr>
  </w:style>
  <w:style w:type="paragraph" w:styleId="Caption">
    <w:name w:val="caption"/>
    <w:basedOn w:val="Normal"/>
    <w:next w:val="Normal"/>
    <w:uiPriority w:val="35"/>
    <w:unhideWhenUsed/>
    <w:qFormat/>
    <w:rsid w:val="005F5083"/>
    <w:pPr>
      <w:spacing w:after="200"/>
    </w:pPr>
    <w:rPr>
      <w:b/>
      <w:bCs/>
      <w:color w:val="4F81BD" w:themeColor="accent1"/>
      <w:sz w:val="18"/>
      <w:szCs w:val="18"/>
    </w:rPr>
  </w:style>
  <w:style w:type="paragraph" w:styleId="ListParagraph">
    <w:name w:val="List Paragraph"/>
    <w:basedOn w:val="Normal"/>
    <w:uiPriority w:val="34"/>
    <w:qFormat/>
    <w:rsid w:val="00F075A5"/>
    <w:pPr>
      <w:ind w:left="720"/>
      <w:contextualSpacing/>
    </w:pPr>
  </w:style>
  <w:style w:type="paragraph" w:styleId="NoSpacing">
    <w:name w:val="No Spacing"/>
    <w:link w:val="NoSpacingChar"/>
    <w:uiPriority w:val="1"/>
    <w:qFormat/>
    <w:rsid w:val="00151226"/>
  </w:style>
  <w:style w:type="character" w:customStyle="1" w:styleId="NoSpacingChar">
    <w:name w:val="No Spacing Char"/>
    <w:basedOn w:val="DefaultParagraphFont"/>
    <w:link w:val="NoSpacing"/>
    <w:uiPriority w:val="1"/>
    <w:rsid w:val="00151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8B1"/>
    <w:pPr>
      <w:keepNext/>
      <w:keepLines/>
      <w:spacing w:after="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576F6"/>
    <w:pPr>
      <w:keepNext/>
      <w:keepLines/>
      <w:spacing w:before="240" w:after="12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8B1"/>
    <w:rPr>
      <w:rFonts w:eastAsiaTheme="majorEastAsia" w:cstheme="majorBidi"/>
      <w:b/>
      <w:bCs/>
      <w:szCs w:val="28"/>
    </w:rPr>
  </w:style>
  <w:style w:type="character" w:customStyle="1" w:styleId="Heading2Char">
    <w:name w:val="Heading 2 Char"/>
    <w:basedOn w:val="DefaultParagraphFont"/>
    <w:link w:val="Heading2"/>
    <w:uiPriority w:val="9"/>
    <w:rsid w:val="00C576F6"/>
    <w:rPr>
      <w:rFonts w:eastAsiaTheme="majorEastAsia" w:cstheme="majorBidi"/>
      <w:bCs/>
      <w:i/>
      <w:szCs w:val="26"/>
    </w:rPr>
  </w:style>
  <w:style w:type="character" w:styleId="LineNumber">
    <w:name w:val="line number"/>
    <w:basedOn w:val="DefaultParagraphFont"/>
    <w:uiPriority w:val="99"/>
    <w:semiHidden/>
    <w:unhideWhenUsed/>
    <w:rsid w:val="00BE3D5C"/>
  </w:style>
  <w:style w:type="paragraph" w:styleId="BalloonText">
    <w:name w:val="Balloon Text"/>
    <w:basedOn w:val="Normal"/>
    <w:link w:val="BalloonTextChar"/>
    <w:uiPriority w:val="99"/>
    <w:semiHidden/>
    <w:unhideWhenUsed/>
    <w:rsid w:val="008D6ABA"/>
    <w:rPr>
      <w:rFonts w:ascii="Tahoma" w:hAnsi="Tahoma" w:cs="Tahoma"/>
      <w:sz w:val="16"/>
      <w:szCs w:val="16"/>
    </w:rPr>
  </w:style>
  <w:style w:type="character" w:customStyle="1" w:styleId="BalloonTextChar">
    <w:name w:val="Balloon Text Char"/>
    <w:basedOn w:val="DefaultParagraphFont"/>
    <w:link w:val="BalloonText"/>
    <w:uiPriority w:val="99"/>
    <w:semiHidden/>
    <w:rsid w:val="008D6ABA"/>
    <w:rPr>
      <w:rFonts w:ascii="Tahoma" w:hAnsi="Tahoma" w:cs="Tahoma"/>
      <w:sz w:val="16"/>
      <w:szCs w:val="16"/>
    </w:rPr>
  </w:style>
  <w:style w:type="paragraph" w:styleId="Caption">
    <w:name w:val="caption"/>
    <w:basedOn w:val="Normal"/>
    <w:next w:val="Normal"/>
    <w:uiPriority w:val="35"/>
    <w:unhideWhenUsed/>
    <w:qFormat/>
    <w:rsid w:val="005F5083"/>
    <w:pPr>
      <w:spacing w:after="200"/>
    </w:pPr>
    <w:rPr>
      <w:b/>
      <w:bCs/>
      <w:color w:val="4F81BD" w:themeColor="accent1"/>
      <w:sz w:val="18"/>
      <w:szCs w:val="18"/>
    </w:rPr>
  </w:style>
  <w:style w:type="paragraph" w:styleId="ListParagraph">
    <w:name w:val="List Paragraph"/>
    <w:basedOn w:val="Normal"/>
    <w:uiPriority w:val="34"/>
    <w:qFormat/>
    <w:rsid w:val="00F075A5"/>
    <w:pPr>
      <w:ind w:left="720"/>
      <w:contextualSpacing/>
    </w:pPr>
  </w:style>
  <w:style w:type="paragraph" w:styleId="NoSpacing">
    <w:name w:val="No Spacing"/>
    <w:link w:val="NoSpacingChar"/>
    <w:uiPriority w:val="1"/>
    <w:qFormat/>
    <w:rsid w:val="00151226"/>
  </w:style>
  <w:style w:type="character" w:customStyle="1" w:styleId="NoSpacingChar">
    <w:name w:val="No Spacing Char"/>
    <w:basedOn w:val="DefaultParagraphFont"/>
    <w:link w:val="NoSpacing"/>
    <w:uiPriority w:val="1"/>
    <w:rsid w:val="00151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TreSS</b:Tag>
    <b:SourceType>JournalArticle</b:SourceType>
    <b:Guid>{D872BBE8-A581-46C9-8D90-876E12B28E42}</b:Guid>
    <b:Author>
      <b:Author>
        <b:NameList>
          <b:Person>
            <b:Last>Trewby</b:Last>
            <b:First>Hannah</b:First>
          </b:Person>
          <b:Person>
            <b:Last>Wright</b:Last>
            <b:First>David</b:First>
          </b:Person>
          <b:Person>
            <b:Last>Breadon</b:Last>
            <b:First>Eleanor</b:First>
            <b:Middle>L</b:Middle>
          </b:Person>
          <b:Person>
            <b:Last>Lycett</b:Last>
            <b:First>Samantha</b:First>
            <b:Middle>J</b:Middle>
          </b:Person>
          <b:Person>
            <b:Last>Mallon</b:Last>
            <b:First>Tom</b:First>
            <b:Middle>R</b:Middle>
          </b:Person>
          <b:Person>
            <b:Last>McCormick Carl</b:Last>
            <b:First>Johnson,</b:First>
            <b:Middle>Paul</b:Middle>
          </b:Person>
          <b:Person>
            <b:Last>Orton</b:Last>
            <b:First>Richard</b:First>
            <b:Middle>J</b:Middle>
          </b:Person>
          <b:Person>
            <b:Last>Allen</b:Last>
            <b:First>Adrian</b:First>
            <b:Middle>R</b:Middle>
          </b:Person>
          <b:Person>
            <b:Last>Galbraith</b:Last>
            <b:First>Julie</b:First>
          </b:Person>
          <b:Person>
            <b:Last>Herzyk</b:Last>
            <b:First>Pawel</b:First>
          </b:Person>
          <b:Person>
            <b:Last>Skuce</b:Last>
            <b:First>Robin</b:First>
            <b:Middle>A</b:Middle>
          </b:Person>
          <b:Person>
            <b:Last>Biek</b:Last>
            <b:First>Roman</b:First>
          </b:Person>
          <b:Person>
            <b:Last>Kao</b:Last>
            <b:First>Rowland</b:First>
            <b:Middle>R</b:Middle>
          </b:Person>
        </b:NameList>
      </b:Author>
    </b:Author>
    <b:Title>Use of bacterial whole-genome sequencing to investigate local persistence and spread in bovine tuberculosis</b:Title>
    <b:JournalName>IN PRESS</b:JournalName>
    <b:Year>IN PRESS</b:Year>
    <b:Pages>1-35</b:Pages>
    <b:RefOrder>1</b:RefOrder>
  </b:Source>
</b:Sources>
</file>

<file path=customXml/itemProps1.xml><?xml version="1.0" encoding="utf-8"?>
<ds:datastoreItem xmlns:ds="http://schemas.openxmlformats.org/officeDocument/2006/customXml" ds:itemID="{89C4C2C0-AE13-45F5-B4A9-70441D85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Crisp</dc:creator>
  <cp:lastModifiedBy>Joseph Crisp</cp:lastModifiedBy>
  <cp:revision>7</cp:revision>
  <cp:lastPrinted>2016-02-03T13:56:00Z</cp:lastPrinted>
  <dcterms:created xsi:type="dcterms:W3CDTF">2016-11-24T17:15:00Z</dcterms:created>
  <dcterms:modified xsi:type="dcterms:W3CDTF">2017-02-06T11:50:00Z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j.crisp.1@research.gla.ac.uk@www.mendeley.com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http://csl.mendeley.com/styles/28054711/molecular-ecology</vt:lpwstr>
  </property>
  <property fmtid="{D5CDD505-2E9C-101B-9397-08002B2CF9AE}" pid="24" name="Mendeley Recent Style Name 9_1">
    <vt:lpwstr>Molecular Ecology - Joseph Crisp</vt:lpwstr>
  </property>
</Properties>
</file>