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CA" w:rsidRPr="0025677F" w:rsidRDefault="00D818CA" w:rsidP="00D818CA">
      <w:pPr>
        <w:spacing w:line="480" w:lineRule="auto"/>
        <w:rPr>
          <w:b/>
        </w:rPr>
      </w:pPr>
      <w:r w:rsidRPr="0025677F">
        <w:rPr>
          <w:b/>
        </w:rPr>
        <w:t xml:space="preserve">Table 6: </w:t>
      </w:r>
      <w:r w:rsidR="00C6543A">
        <w:rPr>
          <w:b/>
        </w:rPr>
        <w:t>M</w:t>
      </w:r>
      <w:r w:rsidRPr="0025677F">
        <w:rPr>
          <w:b/>
        </w:rPr>
        <w:t xml:space="preserve">ean </w:t>
      </w:r>
      <w:r w:rsidR="00C6543A">
        <w:rPr>
          <w:b/>
        </w:rPr>
        <w:t xml:space="preserve">cost </w:t>
      </w:r>
      <w:r w:rsidRPr="0025677F">
        <w:rPr>
          <w:b/>
        </w:rPr>
        <w:t xml:space="preserve">adjustment rate between the paper- </w:t>
      </w:r>
      <w:r w:rsidR="00C6543A">
        <w:rPr>
          <w:b/>
        </w:rPr>
        <w:t>and electronic-based reviews</w:t>
      </w:r>
      <w:r w:rsidRPr="0025677F">
        <w:rPr>
          <w:b/>
        </w:rPr>
        <w:tab/>
      </w:r>
      <w:r w:rsidRPr="0025677F">
        <w:rPr>
          <w:b/>
        </w:rPr>
        <w:tab/>
      </w:r>
      <w:r w:rsidRPr="0025677F">
        <w:rPr>
          <w:b/>
        </w:rPr>
        <w:tab/>
      </w:r>
    </w:p>
    <w:tbl>
      <w:tblPr>
        <w:tblStyle w:val="ListTable6Colorful"/>
        <w:tblW w:w="8873" w:type="dxa"/>
        <w:tblLook w:val="04A0" w:firstRow="1" w:lastRow="0" w:firstColumn="1" w:lastColumn="0" w:noHBand="0" w:noVBand="1"/>
      </w:tblPr>
      <w:tblGrid>
        <w:gridCol w:w="2515"/>
        <w:gridCol w:w="673"/>
        <w:gridCol w:w="895"/>
        <w:gridCol w:w="1038"/>
        <w:gridCol w:w="1121"/>
        <w:gridCol w:w="1228"/>
        <w:gridCol w:w="1403"/>
      </w:tblGrid>
      <w:tr w:rsidR="00D818CA" w:rsidRPr="0025677F" w:rsidTr="00D91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rPr>
                <w:b w:val="0"/>
              </w:rPr>
            </w:pPr>
            <w:r w:rsidRPr="0025677F">
              <w:rPr>
                <w:b w:val="0"/>
              </w:rPr>
              <w:t>Group</w:t>
            </w:r>
          </w:p>
        </w:tc>
        <w:tc>
          <w:tcPr>
            <w:tcW w:w="67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5677F">
              <w:rPr>
                <w:b w:val="0"/>
              </w:rPr>
              <w:t>Obs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77F">
              <w:rPr>
                <w:b w:val="0"/>
              </w:rPr>
              <w:t>Mean</w:t>
            </w:r>
          </w:p>
        </w:tc>
        <w:tc>
          <w:tcPr>
            <w:tcW w:w="103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77F">
              <w:rPr>
                <w:b w:val="0"/>
              </w:rPr>
              <w:t>Std. Err.</w:t>
            </w:r>
          </w:p>
        </w:tc>
        <w:tc>
          <w:tcPr>
            <w:tcW w:w="1121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77F">
              <w:rPr>
                <w:b w:val="0"/>
              </w:rPr>
              <w:t>Std. Dev.</w:t>
            </w:r>
          </w:p>
        </w:tc>
        <w:tc>
          <w:tcPr>
            <w:tcW w:w="122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77F">
              <w:rPr>
                <w:b w:val="0"/>
              </w:rPr>
              <w:t>[95% Conf.</w:t>
            </w:r>
          </w:p>
        </w:tc>
        <w:tc>
          <w:tcPr>
            <w:tcW w:w="140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77F">
              <w:rPr>
                <w:b w:val="0"/>
              </w:rPr>
              <w:t>Interval]</w:t>
            </w:r>
          </w:p>
        </w:tc>
      </w:tr>
      <w:tr w:rsidR="00D818CA" w:rsidRPr="0025677F" w:rsidTr="00D9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rPr>
                <w:b w:val="0"/>
              </w:rPr>
            </w:pPr>
            <w:r w:rsidRPr="0025677F">
              <w:rPr>
                <w:b w:val="0"/>
              </w:rPr>
              <w:t>Paper-based reviews</w:t>
            </w:r>
          </w:p>
        </w:tc>
        <w:tc>
          <w:tcPr>
            <w:tcW w:w="67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799</w:t>
            </w:r>
          </w:p>
        </w:tc>
        <w:tc>
          <w:tcPr>
            <w:tcW w:w="89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11.78</w:t>
            </w:r>
          </w:p>
        </w:tc>
        <w:tc>
          <w:tcPr>
            <w:tcW w:w="103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.46</w:t>
            </w:r>
          </w:p>
        </w:tc>
        <w:tc>
          <w:tcPr>
            <w:tcW w:w="1121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13.27</w:t>
            </w:r>
          </w:p>
        </w:tc>
        <w:tc>
          <w:tcPr>
            <w:tcW w:w="122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10.85</w:t>
            </w:r>
          </w:p>
        </w:tc>
        <w:tc>
          <w:tcPr>
            <w:tcW w:w="140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12.70</w:t>
            </w:r>
          </w:p>
        </w:tc>
      </w:tr>
      <w:tr w:rsidR="00D818CA" w:rsidRPr="0025677F" w:rsidTr="00D91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rPr>
                <w:b w:val="0"/>
              </w:rPr>
            </w:pPr>
            <w:r w:rsidRPr="0025677F">
              <w:rPr>
                <w:b w:val="0"/>
              </w:rPr>
              <w:t>Electronic-based reviews</w:t>
            </w:r>
          </w:p>
        </w:tc>
        <w:tc>
          <w:tcPr>
            <w:tcW w:w="67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85</w:t>
            </w:r>
          </w:p>
        </w:tc>
        <w:tc>
          <w:tcPr>
            <w:tcW w:w="89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28.95</w:t>
            </w:r>
          </w:p>
        </w:tc>
        <w:tc>
          <w:tcPr>
            <w:tcW w:w="103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.92</w:t>
            </w:r>
          </w:p>
        </w:tc>
        <w:tc>
          <w:tcPr>
            <w:tcW w:w="1121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8.52</w:t>
            </w:r>
          </w:p>
        </w:tc>
        <w:tc>
          <w:tcPr>
            <w:tcW w:w="122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27.11</w:t>
            </w:r>
          </w:p>
        </w:tc>
        <w:tc>
          <w:tcPr>
            <w:tcW w:w="140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30.79</w:t>
            </w:r>
          </w:p>
        </w:tc>
      </w:tr>
      <w:tr w:rsidR="00D818CA" w:rsidRPr="0025677F" w:rsidTr="00D9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rPr>
                <w:b w:val="0"/>
              </w:rPr>
            </w:pPr>
            <w:r w:rsidRPr="0025677F">
              <w:rPr>
                <w:b w:val="0"/>
              </w:rPr>
              <w:t>combined</w:t>
            </w:r>
          </w:p>
        </w:tc>
        <w:tc>
          <w:tcPr>
            <w:tcW w:w="67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884</w:t>
            </w:r>
          </w:p>
        </w:tc>
        <w:tc>
          <w:tcPr>
            <w:tcW w:w="89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13.43</w:t>
            </w:r>
          </w:p>
        </w:tc>
        <w:tc>
          <w:tcPr>
            <w:tcW w:w="103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.46</w:t>
            </w:r>
          </w:p>
        </w:tc>
        <w:tc>
          <w:tcPr>
            <w:tcW w:w="1121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13.84</w:t>
            </w:r>
          </w:p>
        </w:tc>
        <w:tc>
          <w:tcPr>
            <w:tcW w:w="122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12.51</w:t>
            </w:r>
          </w:p>
        </w:tc>
        <w:tc>
          <w:tcPr>
            <w:tcW w:w="140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77F">
              <w:t>14.34</w:t>
            </w:r>
          </w:p>
        </w:tc>
      </w:tr>
      <w:tr w:rsidR="00D818CA" w:rsidRPr="0025677F" w:rsidTr="00D91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rPr>
                <w:b w:val="0"/>
              </w:rPr>
            </w:pPr>
            <w:r w:rsidRPr="0025677F">
              <w:rPr>
                <w:b w:val="0"/>
              </w:rPr>
              <w:t>diff</w:t>
            </w:r>
          </w:p>
        </w:tc>
        <w:tc>
          <w:tcPr>
            <w:tcW w:w="67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-17.17</w:t>
            </w:r>
          </w:p>
        </w:tc>
        <w:tc>
          <w:tcPr>
            <w:tcW w:w="103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1.47</w:t>
            </w:r>
          </w:p>
        </w:tc>
        <w:tc>
          <w:tcPr>
            <w:tcW w:w="1121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-20.059</w:t>
            </w:r>
          </w:p>
        </w:tc>
        <w:tc>
          <w:tcPr>
            <w:tcW w:w="1403" w:type="dxa"/>
            <w:shd w:val="clear" w:color="auto" w:fill="auto"/>
          </w:tcPr>
          <w:p w:rsidR="00D818CA" w:rsidRPr="0025677F" w:rsidRDefault="00D818CA" w:rsidP="00D9133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77F">
              <w:t>-14.28</w:t>
            </w:r>
          </w:p>
        </w:tc>
      </w:tr>
    </w:tbl>
    <w:p w:rsidR="00D818CA" w:rsidRPr="0025677F" w:rsidRDefault="00D818CA" w:rsidP="00D818CA">
      <w:pPr>
        <w:spacing w:line="480" w:lineRule="auto"/>
        <w:rPr>
          <w:sz w:val="20"/>
          <w:szCs w:val="20"/>
        </w:rPr>
      </w:pPr>
      <w:proofErr w:type="gramStart"/>
      <w:r w:rsidRPr="0025677F">
        <w:rPr>
          <w:sz w:val="20"/>
          <w:szCs w:val="20"/>
        </w:rPr>
        <w:t>t(</w:t>
      </w:r>
      <w:proofErr w:type="gramEnd"/>
      <w:r w:rsidRPr="0025677F">
        <w:rPr>
          <w:sz w:val="20"/>
          <w:szCs w:val="20"/>
        </w:rPr>
        <w:t>882)=-11.6724, p&lt;0.001</w:t>
      </w:r>
    </w:p>
    <w:p w:rsidR="008549AE" w:rsidRPr="0025677F" w:rsidRDefault="008549AE" w:rsidP="007D36D9">
      <w:pPr>
        <w:spacing w:line="480" w:lineRule="auto"/>
        <w:rPr>
          <w:b/>
        </w:rPr>
      </w:pPr>
      <w:bookmarkStart w:id="0" w:name="_GoBack"/>
      <w:bookmarkEnd w:id="0"/>
    </w:p>
    <w:sectPr w:rsidR="008549AE" w:rsidRPr="0025677F" w:rsidSect="003338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50" w:rsidRDefault="00480B50" w:rsidP="00907842">
      <w:pPr>
        <w:spacing w:after="0" w:line="240" w:lineRule="auto"/>
      </w:pPr>
      <w:r>
        <w:separator/>
      </w:r>
    </w:p>
  </w:endnote>
  <w:endnote w:type="continuationSeparator" w:id="0">
    <w:p w:rsidR="00480B50" w:rsidRDefault="00480B50" w:rsidP="009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42" w:rsidRDefault="00907842">
    <w:pPr>
      <w:pStyle w:val="Footer"/>
    </w:pPr>
  </w:p>
  <w:p w:rsidR="00907842" w:rsidRDefault="0090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50" w:rsidRDefault="00480B50" w:rsidP="00907842">
      <w:pPr>
        <w:spacing w:after="0" w:line="240" w:lineRule="auto"/>
      </w:pPr>
      <w:r>
        <w:separator/>
      </w:r>
    </w:p>
  </w:footnote>
  <w:footnote w:type="continuationSeparator" w:id="0">
    <w:p w:rsidR="00480B50" w:rsidRDefault="00480B50" w:rsidP="0090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9"/>
    <w:rsid w:val="00000314"/>
    <w:rsid w:val="0000184E"/>
    <w:rsid w:val="0000737F"/>
    <w:rsid w:val="00016B1F"/>
    <w:rsid w:val="00034C8E"/>
    <w:rsid w:val="00047029"/>
    <w:rsid w:val="000753EB"/>
    <w:rsid w:val="000B2454"/>
    <w:rsid w:val="000B40EA"/>
    <w:rsid w:val="000B73F9"/>
    <w:rsid w:val="000C6CDE"/>
    <w:rsid w:val="00101374"/>
    <w:rsid w:val="001757BD"/>
    <w:rsid w:val="0018393E"/>
    <w:rsid w:val="001A3360"/>
    <w:rsid w:val="001A5C32"/>
    <w:rsid w:val="001B10E7"/>
    <w:rsid w:val="001E754F"/>
    <w:rsid w:val="001F1741"/>
    <w:rsid w:val="0024667B"/>
    <w:rsid w:val="00246855"/>
    <w:rsid w:val="002508A1"/>
    <w:rsid w:val="0025677F"/>
    <w:rsid w:val="00256FE6"/>
    <w:rsid w:val="002878BF"/>
    <w:rsid w:val="002B05E6"/>
    <w:rsid w:val="00313ECF"/>
    <w:rsid w:val="00320E6B"/>
    <w:rsid w:val="0032254E"/>
    <w:rsid w:val="003338B0"/>
    <w:rsid w:val="003A4B9D"/>
    <w:rsid w:val="003C56A2"/>
    <w:rsid w:val="003E55AA"/>
    <w:rsid w:val="00425F11"/>
    <w:rsid w:val="00431AB5"/>
    <w:rsid w:val="004641A0"/>
    <w:rsid w:val="0047357E"/>
    <w:rsid w:val="00480B50"/>
    <w:rsid w:val="004A336A"/>
    <w:rsid w:val="004B72D6"/>
    <w:rsid w:val="004D458C"/>
    <w:rsid w:val="004D527F"/>
    <w:rsid w:val="004D5649"/>
    <w:rsid w:val="00510182"/>
    <w:rsid w:val="00512563"/>
    <w:rsid w:val="00550797"/>
    <w:rsid w:val="005D5C3C"/>
    <w:rsid w:val="005E4AED"/>
    <w:rsid w:val="00616A3D"/>
    <w:rsid w:val="00624F65"/>
    <w:rsid w:val="006C5B9E"/>
    <w:rsid w:val="006E1097"/>
    <w:rsid w:val="00714909"/>
    <w:rsid w:val="00741069"/>
    <w:rsid w:val="00770E71"/>
    <w:rsid w:val="007770EB"/>
    <w:rsid w:val="007A1B7D"/>
    <w:rsid w:val="007D36D9"/>
    <w:rsid w:val="007E1FD3"/>
    <w:rsid w:val="007F0566"/>
    <w:rsid w:val="007F61A3"/>
    <w:rsid w:val="007F6A84"/>
    <w:rsid w:val="008549AE"/>
    <w:rsid w:val="008C29D2"/>
    <w:rsid w:val="008C7D28"/>
    <w:rsid w:val="00907842"/>
    <w:rsid w:val="00925D11"/>
    <w:rsid w:val="00955EA1"/>
    <w:rsid w:val="009608E1"/>
    <w:rsid w:val="00972BA5"/>
    <w:rsid w:val="00997F3B"/>
    <w:rsid w:val="009D5B53"/>
    <w:rsid w:val="009E1210"/>
    <w:rsid w:val="009F343D"/>
    <w:rsid w:val="00A13334"/>
    <w:rsid w:val="00A27FCF"/>
    <w:rsid w:val="00AB1652"/>
    <w:rsid w:val="00B25105"/>
    <w:rsid w:val="00B53F5C"/>
    <w:rsid w:val="00BA4BA3"/>
    <w:rsid w:val="00BB40DF"/>
    <w:rsid w:val="00BD312D"/>
    <w:rsid w:val="00C022B1"/>
    <w:rsid w:val="00C20404"/>
    <w:rsid w:val="00C6543A"/>
    <w:rsid w:val="00C909DE"/>
    <w:rsid w:val="00C9280E"/>
    <w:rsid w:val="00C965DD"/>
    <w:rsid w:val="00D818CA"/>
    <w:rsid w:val="00D9149C"/>
    <w:rsid w:val="00DC5D96"/>
    <w:rsid w:val="00DC6068"/>
    <w:rsid w:val="00E12B91"/>
    <w:rsid w:val="00E3496E"/>
    <w:rsid w:val="00E67E9A"/>
    <w:rsid w:val="00E73EA5"/>
    <w:rsid w:val="00E76102"/>
    <w:rsid w:val="00EA2C9C"/>
    <w:rsid w:val="00EC7B46"/>
    <w:rsid w:val="00EE0EF3"/>
    <w:rsid w:val="00F313E0"/>
    <w:rsid w:val="00F31B65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1AA2C-F596-4FB9-ACDE-67CE8D9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6C5B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42"/>
  </w:style>
  <w:style w:type="paragraph" w:styleId="Footer">
    <w:name w:val="footer"/>
    <w:basedOn w:val="Normal"/>
    <w:link w:val="FooterChar"/>
    <w:uiPriority w:val="99"/>
    <w:unhideWhenUsed/>
    <w:rsid w:val="0090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42"/>
  </w:style>
  <w:style w:type="paragraph" w:styleId="BalloonText">
    <w:name w:val="Balloon Text"/>
    <w:basedOn w:val="Normal"/>
    <w:link w:val="BalloonTextChar"/>
    <w:uiPriority w:val="99"/>
    <w:semiHidden/>
    <w:unhideWhenUsed/>
    <w:rsid w:val="0051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3626-2D44-47D2-9137-57853F9C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Nsiah-Boateng</dc:creator>
  <cp:keywords/>
  <dc:description/>
  <cp:lastModifiedBy>Eric Nsiah-Boateng</cp:lastModifiedBy>
  <cp:revision>4</cp:revision>
  <cp:lastPrinted>2017-01-03T09:46:00Z</cp:lastPrinted>
  <dcterms:created xsi:type="dcterms:W3CDTF">2017-01-21T10:42:00Z</dcterms:created>
  <dcterms:modified xsi:type="dcterms:W3CDTF">2017-01-21T10:43:00Z</dcterms:modified>
</cp:coreProperties>
</file>