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C5" w:rsidRPr="007300C5" w:rsidRDefault="007300C5" w:rsidP="007300C5">
      <w:pPr>
        <w:pStyle w:val="ListParagraph"/>
        <w:keepNext/>
        <w:keepLines/>
        <w:numPr>
          <w:ilvl w:val="0"/>
          <w:numId w:val="2"/>
        </w:numPr>
        <w:spacing w:before="200" w:after="0" w:line="360" w:lineRule="auto"/>
        <w:outlineLvl w:val="4"/>
        <w:rPr>
          <w:rFonts w:ascii="Calibri" w:eastAsiaTheme="majorEastAsia" w:hAnsi="Calibri" w:cstheme="majorBidi"/>
          <w:b/>
          <w:sz w:val="24"/>
        </w:rPr>
      </w:pPr>
      <w:bookmarkStart w:id="0" w:name="_GoBack"/>
      <w:bookmarkEnd w:id="0"/>
      <w:r w:rsidRPr="007300C5">
        <w:rPr>
          <w:rFonts w:ascii="Calibri" w:eastAsiaTheme="majorEastAsia" w:hAnsi="Calibri" w:cstheme="majorBidi"/>
          <w:b/>
          <w:sz w:val="24"/>
        </w:rPr>
        <w:t>Example of 8 weekly newsletter sent 24 weeks after the practice started the intervention where there was little initial change in prescribing</w:t>
      </w:r>
    </w:p>
    <w:p w:rsidR="007300C5" w:rsidRPr="007300C5" w:rsidRDefault="007300C5" w:rsidP="007300C5">
      <w:pPr>
        <w:spacing w:line="360" w:lineRule="auto"/>
        <w:outlineLvl w:val="3"/>
      </w:pPr>
      <w:r w:rsidRPr="007300C5">
        <w:rPr>
          <w:noProof/>
          <w:lang w:eastAsia="en-GB"/>
        </w:rPr>
        <w:drawing>
          <wp:inline distT="0" distB="0" distL="0" distR="0" wp14:anchorId="5827CD62" wp14:editId="09FF1674">
            <wp:extent cx="57054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733425"/>
                    </a:xfrm>
                    <a:prstGeom prst="rect">
                      <a:avLst/>
                    </a:prstGeom>
                    <a:noFill/>
                    <a:ln>
                      <a:noFill/>
                    </a:ln>
                  </pic:spPr>
                </pic:pic>
              </a:graphicData>
            </a:graphic>
          </wp:inline>
        </w:drawing>
      </w:r>
    </w:p>
    <w:p w:rsidR="007300C5" w:rsidRPr="007300C5" w:rsidRDefault="007300C5" w:rsidP="007300C5">
      <w:pPr>
        <w:spacing w:after="0" w:line="360" w:lineRule="auto"/>
        <w:outlineLvl w:val="3"/>
        <w:rPr>
          <w:sz w:val="23"/>
          <w:szCs w:val="23"/>
        </w:rPr>
      </w:pPr>
      <w:r w:rsidRPr="007300C5">
        <w:rPr>
          <w:b/>
          <w:sz w:val="23"/>
          <w:szCs w:val="23"/>
        </w:rPr>
        <w:t>Dear GP/PM</w:t>
      </w:r>
      <w:r w:rsidRPr="007300C5">
        <w:rPr>
          <w:sz w:val="23"/>
          <w:szCs w:val="23"/>
        </w:rPr>
        <w:t>,</w:t>
      </w:r>
    </w:p>
    <w:p w:rsidR="007300C5" w:rsidRPr="007300C5" w:rsidRDefault="007300C5" w:rsidP="007300C5">
      <w:pPr>
        <w:spacing w:after="240" w:line="240" w:lineRule="auto"/>
        <w:jc w:val="both"/>
        <w:outlineLvl w:val="3"/>
        <w:rPr>
          <w:sz w:val="21"/>
          <w:szCs w:val="21"/>
        </w:rPr>
      </w:pPr>
      <w:r w:rsidRPr="007300C5">
        <w:rPr>
          <w:sz w:val="21"/>
          <w:szCs w:val="21"/>
        </w:rPr>
        <w:t>Six months have now passed since your practice has started the DQIP programme, with 6 months remaining. We are writing to you today in order to give you an update on your progress with the DQIP work.</w:t>
      </w:r>
    </w:p>
    <w:p w:rsidR="007300C5" w:rsidRPr="007300C5" w:rsidRDefault="007300C5" w:rsidP="007300C5">
      <w:pPr>
        <w:spacing w:before="120" w:after="60" w:line="240" w:lineRule="auto"/>
        <w:outlineLvl w:val="3"/>
        <w:rPr>
          <w:b/>
          <w:i/>
          <w:color w:val="365F91"/>
          <w:sz w:val="23"/>
          <w:szCs w:val="23"/>
        </w:rPr>
      </w:pPr>
      <w:r w:rsidRPr="007300C5">
        <w:rPr>
          <w:b/>
          <w:i/>
          <w:color w:val="365F91"/>
          <w:sz w:val="23"/>
          <w:szCs w:val="23"/>
        </w:rPr>
        <w:t>Trends in high-risk prescribing</w:t>
      </w:r>
    </w:p>
    <w:p w:rsidR="007300C5" w:rsidRPr="007300C5" w:rsidRDefault="007300C5" w:rsidP="007300C5">
      <w:pPr>
        <w:spacing w:after="240" w:line="240" w:lineRule="auto"/>
        <w:jc w:val="both"/>
        <w:outlineLvl w:val="3"/>
        <w:rPr>
          <w:sz w:val="21"/>
          <w:szCs w:val="21"/>
        </w:rPr>
      </w:pPr>
      <w:r w:rsidRPr="007300C5">
        <w:rPr>
          <w:sz w:val="21"/>
          <w:szCs w:val="21"/>
        </w:rPr>
        <w:t xml:space="preserve">The run chart below (screenshot from the DQIP tool) shows that the total numbers of patients affected by any high-risk NSAID or antiplatelet prescribing have dropped to some extent since the last update 8 weeks ago, but the overall level of high-risk prescribing has remained similar to that seen before you’ve started DQIP. Figure 2 shows an update of the run chart of a practice </w:t>
      </w:r>
      <w:proofErr w:type="gramStart"/>
      <w:r w:rsidRPr="007300C5">
        <w:rPr>
          <w:sz w:val="21"/>
          <w:szCs w:val="21"/>
        </w:rPr>
        <w:t>who</w:t>
      </w:r>
      <w:proofErr w:type="gramEnd"/>
      <w:r w:rsidRPr="007300C5">
        <w:rPr>
          <w:sz w:val="21"/>
          <w:szCs w:val="21"/>
        </w:rPr>
        <w:t xml:space="preserve"> have successfully minimised their high-risk prescribing over 6 months. </w:t>
      </w:r>
    </w:p>
    <w:tbl>
      <w:tblPr>
        <w:tblW w:w="0" w:type="auto"/>
        <w:tblLook w:val="04A0" w:firstRow="1" w:lastRow="0" w:firstColumn="1" w:lastColumn="0" w:noHBand="0" w:noVBand="1"/>
      </w:tblPr>
      <w:tblGrid>
        <w:gridCol w:w="3563"/>
        <w:gridCol w:w="813"/>
        <w:gridCol w:w="1048"/>
        <w:gridCol w:w="4996"/>
      </w:tblGrid>
      <w:tr w:rsidR="007300C5" w:rsidRPr="007300C5" w:rsidTr="00A87DD3">
        <w:tc>
          <w:tcPr>
            <w:tcW w:w="5310" w:type="dxa"/>
            <w:gridSpan w:val="3"/>
          </w:tcPr>
          <w:p w:rsidR="007300C5" w:rsidRPr="007300C5" w:rsidRDefault="007300C5" w:rsidP="007300C5">
            <w:pPr>
              <w:spacing w:line="240" w:lineRule="auto"/>
              <w:jc w:val="both"/>
              <w:outlineLvl w:val="3"/>
            </w:pPr>
            <w:r w:rsidRPr="007300C5">
              <w:rPr>
                <w:b/>
              </w:rPr>
              <w:t>Figure 1:</w:t>
            </w:r>
            <w:r w:rsidRPr="007300C5">
              <w:t xml:space="preserve"> Run chart for your practice</w:t>
            </w:r>
          </w:p>
        </w:tc>
        <w:tc>
          <w:tcPr>
            <w:tcW w:w="5372" w:type="dxa"/>
          </w:tcPr>
          <w:p w:rsidR="007300C5" w:rsidRPr="007300C5" w:rsidRDefault="007300C5" w:rsidP="007300C5">
            <w:pPr>
              <w:spacing w:line="240" w:lineRule="auto"/>
              <w:outlineLvl w:val="3"/>
              <w:rPr>
                <w:sz w:val="24"/>
                <w:szCs w:val="24"/>
              </w:rPr>
            </w:pPr>
            <w:r w:rsidRPr="007300C5">
              <w:rPr>
                <w:b/>
              </w:rPr>
              <w:t>Figure 2:</w:t>
            </w:r>
            <w:r w:rsidRPr="007300C5">
              <w:t xml:space="preserve"> Run chart for a practice with comparable numbers of patients affected at DQIP start</w:t>
            </w:r>
          </w:p>
        </w:tc>
      </w:tr>
      <w:tr w:rsidR="007300C5" w:rsidRPr="007300C5" w:rsidTr="00A87DD3">
        <w:trPr>
          <w:trHeight w:val="2245"/>
        </w:trPr>
        <w:tc>
          <w:tcPr>
            <w:tcW w:w="5310" w:type="dxa"/>
            <w:gridSpan w:val="3"/>
          </w:tcPr>
          <w:p w:rsidR="007300C5" w:rsidRPr="007300C5" w:rsidRDefault="007300C5" w:rsidP="007300C5">
            <w:pPr>
              <w:spacing w:after="240" w:line="240" w:lineRule="auto"/>
              <w:jc w:val="both"/>
              <w:outlineLvl w:val="3"/>
            </w:pPr>
            <w:r w:rsidRPr="007300C5">
              <w:rPr>
                <w:noProof/>
                <w:lang w:eastAsia="en-GB"/>
              </w:rPr>
              <w:drawing>
                <wp:inline distT="0" distB="0" distL="0" distR="0" wp14:anchorId="60C91BE6" wp14:editId="1E4031B4">
                  <wp:extent cx="32766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1323975"/>
                          </a:xfrm>
                          <a:prstGeom prst="rect">
                            <a:avLst/>
                          </a:prstGeom>
                          <a:noFill/>
                          <a:ln>
                            <a:noFill/>
                          </a:ln>
                        </pic:spPr>
                      </pic:pic>
                    </a:graphicData>
                  </a:graphic>
                </wp:inline>
              </w:drawing>
            </w:r>
          </w:p>
        </w:tc>
        <w:tc>
          <w:tcPr>
            <w:tcW w:w="5372" w:type="dxa"/>
          </w:tcPr>
          <w:p w:rsidR="007300C5" w:rsidRPr="007300C5" w:rsidRDefault="007300C5" w:rsidP="007300C5">
            <w:pPr>
              <w:spacing w:before="240" w:after="0" w:line="240" w:lineRule="auto"/>
              <w:jc w:val="center"/>
              <w:outlineLvl w:val="3"/>
              <w:rPr>
                <w:sz w:val="24"/>
                <w:szCs w:val="24"/>
              </w:rPr>
            </w:pPr>
            <w:r w:rsidRPr="007300C5">
              <w:rPr>
                <w:noProof/>
                <w:sz w:val="24"/>
                <w:szCs w:val="24"/>
                <w:lang w:eastAsia="en-GB"/>
              </w:rPr>
              <w:drawing>
                <wp:inline distT="0" distB="0" distL="0" distR="0" wp14:anchorId="1FBF967E" wp14:editId="13FD19EC">
                  <wp:extent cx="27527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62050"/>
                          </a:xfrm>
                          <a:prstGeom prst="rect">
                            <a:avLst/>
                          </a:prstGeom>
                          <a:noFill/>
                          <a:ln>
                            <a:noFill/>
                          </a:ln>
                        </pic:spPr>
                      </pic:pic>
                    </a:graphicData>
                  </a:graphic>
                </wp:inline>
              </w:drawing>
            </w:r>
          </w:p>
        </w:tc>
      </w:tr>
      <w:tr w:rsidR="007300C5" w:rsidRPr="007300C5" w:rsidTr="00A87DD3">
        <w:trPr>
          <w:trHeight w:val="113"/>
        </w:trPr>
        <w:tc>
          <w:tcPr>
            <w:tcW w:w="3560" w:type="dxa"/>
            <w:vMerge w:val="restart"/>
          </w:tcPr>
          <w:p w:rsidR="007300C5" w:rsidRPr="007300C5" w:rsidRDefault="007300C5" w:rsidP="007300C5">
            <w:pPr>
              <w:spacing w:after="0" w:line="240" w:lineRule="auto"/>
              <w:outlineLvl w:val="3"/>
              <w:rPr>
                <w:sz w:val="18"/>
                <w:szCs w:val="18"/>
              </w:rPr>
            </w:pPr>
          </w:p>
        </w:tc>
        <w:tc>
          <w:tcPr>
            <w:tcW w:w="659" w:type="dxa"/>
            <w:tcBorders>
              <w:bottom w:val="single" w:sz="12" w:space="0" w:color="943634"/>
            </w:tcBorders>
          </w:tcPr>
          <w:p w:rsidR="007300C5" w:rsidRPr="007300C5" w:rsidRDefault="007300C5" w:rsidP="007300C5">
            <w:pPr>
              <w:spacing w:after="0" w:line="240" w:lineRule="auto"/>
              <w:outlineLvl w:val="3"/>
              <w:rPr>
                <w:sz w:val="18"/>
                <w:szCs w:val="18"/>
              </w:rPr>
            </w:pPr>
          </w:p>
        </w:tc>
        <w:tc>
          <w:tcPr>
            <w:tcW w:w="6463" w:type="dxa"/>
            <w:gridSpan w:val="2"/>
            <w:vMerge w:val="restart"/>
            <w:vAlign w:val="center"/>
          </w:tcPr>
          <w:p w:rsidR="007300C5" w:rsidRPr="007300C5" w:rsidRDefault="007300C5" w:rsidP="007300C5">
            <w:pPr>
              <w:spacing w:after="0" w:line="240" w:lineRule="auto"/>
              <w:outlineLvl w:val="3"/>
              <w:rPr>
                <w:sz w:val="18"/>
                <w:szCs w:val="18"/>
              </w:rPr>
            </w:pPr>
            <w:r w:rsidRPr="007300C5">
              <w:rPr>
                <w:sz w:val="18"/>
                <w:szCs w:val="18"/>
              </w:rPr>
              <w:t>DQIP start date</w:t>
            </w:r>
          </w:p>
        </w:tc>
      </w:tr>
      <w:tr w:rsidR="007300C5" w:rsidRPr="007300C5" w:rsidTr="00A87DD3">
        <w:trPr>
          <w:trHeight w:val="113"/>
        </w:trPr>
        <w:tc>
          <w:tcPr>
            <w:tcW w:w="3560" w:type="dxa"/>
            <w:vMerge/>
          </w:tcPr>
          <w:p w:rsidR="007300C5" w:rsidRPr="007300C5" w:rsidRDefault="007300C5" w:rsidP="007300C5">
            <w:pPr>
              <w:spacing w:after="0" w:line="240" w:lineRule="auto"/>
              <w:outlineLvl w:val="3"/>
              <w:rPr>
                <w:sz w:val="18"/>
                <w:szCs w:val="18"/>
              </w:rPr>
            </w:pPr>
          </w:p>
        </w:tc>
        <w:tc>
          <w:tcPr>
            <w:tcW w:w="659" w:type="dxa"/>
            <w:tcBorders>
              <w:top w:val="single" w:sz="12" w:space="0" w:color="943634"/>
            </w:tcBorders>
          </w:tcPr>
          <w:p w:rsidR="007300C5" w:rsidRPr="007300C5" w:rsidRDefault="007300C5" w:rsidP="007300C5">
            <w:pPr>
              <w:spacing w:after="0" w:line="240" w:lineRule="auto"/>
              <w:outlineLvl w:val="3"/>
              <w:rPr>
                <w:sz w:val="18"/>
                <w:szCs w:val="18"/>
              </w:rPr>
            </w:pPr>
          </w:p>
        </w:tc>
        <w:tc>
          <w:tcPr>
            <w:tcW w:w="6463" w:type="dxa"/>
            <w:gridSpan w:val="2"/>
            <w:vMerge/>
          </w:tcPr>
          <w:p w:rsidR="007300C5" w:rsidRPr="007300C5" w:rsidRDefault="007300C5" w:rsidP="007300C5">
            <w:pPr>
              <w:spacing w:after="0" w:line="240" w:lineRule="auto"/>
              <w:outlineLvl w:val="3"/>
              <w:rPr>
                <w:sz w:val="18"/>
                <w:szCs w:val="18"/>
              </w:rPr>
            </w:pPr>
          </w:p>
        </w:tc>
      </w:tr>
      <w:tr w:rsidR="007300C5" w:rsidRPr="007300C5" w:rsidTr="00A87DD3">
        <w:trPr>
          <w:trHeight w:val="113"/>
        </w:trPr>
        <w:tc>
          <w:tcPr>
            <w:tcW w:w="3560" w:type="dxa"/>
            <w:vMerge/>
          </w:tcPr>
          <w:p w:rsidR="007300C5" w:rsidRPr="007300C5" w:rsidRDefault="007300C5" w:rsidP="007300C5">
            <w:pPr>
              <w:spacing w:after="0" w:line="240" w:lineRule="auto"/>
              <w:outlineLvl w:val="3"/>
              <w:rPr>
                <w:sz w:val="18"/>
                <w:szCs w:val="18"/>
              </w:rPr>
            </w:pPr>
          </w:p>
        </w:tc>
        <w:tc>
          <w:tcPr>
            <w:tcW w:w="659" w:type="dxa"/>
            <w:tcBorders>
              <w:bottom w:val="single" w:sz="12" w:space="0" w:color="00B050"/>
            </w:tcBorders>
          </w:tcPr>
          <w:p w:rsidR="007300C5" w:rsidRPr="007300C5" w:rsidRDefault="007300C5" w:rsidP="007300C5">
            <w:pPr>
              <w:spacing w:after="0" w:line="240" w:lineRule="auto"/>
              <w:outlineLvl w:val="3"/>
              <w:rPr>
                <w:sz w:val="18"/>
                <w:szCs w:val="18"/>
              </w:rPr>
            </w:pPr>
          </w:p>
        </w:tc>
        <w:tc>
          <w:tcPr>
            <w:tcW w:w="6463" w:type="dxa"/>
            <w:gridSpan w:val="2"/>
            <w:vAlign w:val="center"/>
          </w:tcPr>
          <w:p w:rsidR="007300C5" w:rsidRPr="007300C5" w:rsidRDefault="007300C5" w:rsidP="007300C5">
            <w:pPr>
              <w:spacing w:after="0" w:line="240" w:lineRule="auto"/>
              <w:outlineLvl w:val="3"/>
              <w:rPr>
                <w:sz w:val="18"/>
                <w:szCs w:val="18"/>
              </w:rPr>
            </w:pPr>
            <w:r w:rsidRPr="007300C5">
              <w:rPr>
                <w:sz w:val="18"/>
                <w:szCs w:val="18"/>
              </w:rPr>
              <w:t>Mean number of patients before DQIP start</w:t>
            </w:r>
          </w:p>
        </w:tc>
      </w:tr>
    </w:tbl>
    <w:p w:rsidR="007300C5" w:rsidRPr="007300C5" w:rsidRDefault="007300C5" w:rsidP="007300C5">
      <w:pPr>
        <w:spacing w:before="240" w:after="0" w:line="240" w:lineRule="auto"/>
        <w:jc w:val="both"/>
        <w:outlineLvl w:val="3"/>
        <w:rPr>
          <w:sz w:val="21"/>
          <w:szCs w:val="21"/>
        </w:rPr>
      </w:pPr>
      <w:r w:rsidRPr="007300C5">
        <w:rPr>
          <w:sz w:val="21"/>
          <w:szCs w:val="21"/>
        </w:rPr>
        <w:t xml:space="preserve">We know it is challenging to reduce high-risk prescribing at practice level and maintain such reductions over time, because it requires not only stopping high-risk prescriptions in patients who have been flagged up by the DQIP tool, but also avoiding new high-risk prescriptions in patients with risk factors. This is especially the case when not all prescribers in the practice are involved in conducting the DQIP reviews. Where it is not possible to involve all prescribers in the review work, alerting colleagues when high-risk prescriptions have been issued may be crucial to increase awareness of future high-risk situations, in which NSAIDs and </w:t>
      </w:r>
      <w:proofErr w:type="spellStart"/>
      <w:r w:rsidRPr="007300C5">
        <w:rPr>
          <w:sz w:val="21"/>
          <w:szCs w:val="21"/>
        </w:rPr>
        <w:t>antiplatelets</w:t>
      </w:r>
      <w:proofErr w:type="spellEnd"/>
      <w:r w:rsidRPr="007300C5">
        <w:rPr>
          <w:sz w:val="21"/>
          <w:szCs w:val="21"/>
        </w:rPr>
        <w:t xml:space="preserve"> should be avoided or risk mitigating strategies implemented (if avoidance is not possible).  </w:t>
      </w:r>
    </w:p>
    <w:p w:rsidR="007300C5" w:rsidRPr="007300C5" w:rsidRDefault="007300C5" w:rsidP="007300C5">
      <w:pPr>
        <w:spacing w:after="0" w:line="240" w:lineRule="auto"/>
        <w:outlineLvl w:val="3"/>
        <w:rPr>
          <w:b/>
          <w:i/>
          <w:color w:val="365F91"/>
          <w:sz w:val="21"/>
          <w:szCs w:val="21"/>
        </w:rPr>
      </w:pPr>
    </w:p>
    <w:p w:rsidR="007300C5" w:rsidRPr="007300C5" w:rsidRDefault="007300C5" w:rsidP="007300C5">
      <w:pPr>
        <w:spacing w:after="0" w:line="240" w:lineRule="auto"/>
        <w:outlineLvl w:val="3"/>
        <w:rPr>
          <w:b/>
          <w:i/>
          <w:color w:val="365F91"/>
          <w:sz w:val="21"/>
          <w:szCs w:val="21"/>
        </w:rPr>
      </w:pPr>
      <w:r w:rsidRPr="007300C5">
        <w:rPr>
          <w:b/>
          <w:i/>
          <w:color w:val="365F91"/>
          <w:sz w:val="21"/>
          <w:szCs w:val="21"/>
        </w:rPr>
        <w:t>Can we help?</w:t>
      </w:r>
    </w:p>
    <w:p w:rsidR="007300C5" w:rsidRPr="007300C5" w:rsidRDefault="007300C5" w:rsidP="007300C5">
      <w:pPr>
        <w:spacing w:line="240" w:lineRule="auto"/>
        <w:jc w:val="both"/>
        <w:outlineLvl w:val="3"/>
        <w:rPr>
          <w:color w:val="4F81BD"/>
          <w:sz w:val="21"/>
          <w:szCs w:val="21"/>
        </w:rPr>
      </w:pPr>
      <w:r w:rsidRPr="007300C5">
        <w:rPr>
          <w:sz w:val="21"/>
          <w:szCs w:val="21"/>
        </w:rPr>
        <w:t xml:space="preserve">Please let us know if there is anything we can do to help (including a further practice visit if you think this would be helpful). </w:t>
      </w:r>
      <w:r w:rsidRPr="007300C5">
        <w:rPr>
          <w:color w:val="000000"/>
          <w:sz w:val="21"/>
          <w:szCs w:val="21"/>
        </w:rPr>
        <w:t>You can contact us via email at</w:t>
      </w:r>
      <w:r w:rsidRPr="007300C5">
        <w:rPr>
          <w:color w:val="4F81BD"/>
          <w:sz w:val="21"/>
          <w:szCs w:val="21"/>
        </w:rPr>
        <w:t xml:space="preserve"> </w:t>
      </w:r>
      <w:hyperlink r:id="rId9" w:history="1">
        <w:r w:rsidRPr="007300C5">
          <w:rPr>
            <w:color w:val="0000FF" w:themeColor="hyperlink"/>
            <w:sz w:val="21"/>
            <w:szCs w:val="21"/>
            <w:u w:val="single"/>
          </w:rPr>
          <w:t>dqip@dundee.ac.uk</w:t>
        </w:r>
      </w:hyperlink>
      <w:r w:rsidRPr="007300C5">
        <w:rPr>
          <w:color w:val="4F81BD"/>
          <w:sz w:val="21"/>
          <w:szCs w:val="21"/>
        </w:rPr>
        <w:t xml:space="preserve"> </w:t>
      </w:r>
      <w:r w:rsidRPr="007300C5">
        <w:rPr>
          <w:color w:val="000000"/>
          <w:sz w:val="21"/>
          <w:szCs w:val="21"/>
        </w:rPr>
        <w:t>or by phone under</w:t>
      </w:r>
      <w:r w:rsidRPr="007300C5">
        <w:rPr>
          <w:color w:val="4F81BD"/>
          <w:sz w:val="21"/>
          <w:szCs w:val="21"/>
        </w:rPr>
        <w:t xml:space="preserve"> </w:t>
      </w:r>
      <w:r w:rsidRPr="007300C5">
        <w:rPr>
          <w:color w:val="0000FF"/>
          <w:sz w:val="21"/>
          <w:szCs w:val="21"/>
          <w:u w:val="single"/>
        </w:rPr>
        <w:t>01382-420000</w:t>
      </w:r>
      <w:r w:rsidRPr="007300C5">
        <w:rPr>
          <w:color w:val="4F81BD"/>
          <w:sz w:val="21"/>
          <w:szCs w:val="21"/>
        </w:rPr>
        <w:t xml:space="preserve">. </w:t>
      </w:r>
    </w:p>
    <w:p w:rsidR="007300C5" w:rsidRPr="007300C5" w:rsidRDefault="007300C5" w:rsidP="007300C5">
      <w:pPr>
        <w:spacing w:after="0" w:line="240" w:lineRule="auto"/>
        <w:outlineLvl w:val="3"/>
        <w:rPr>
          <w:b/>
          <w:i/>
          <w:color w:val="365F91"/>
          <w:sz w:val="21"/>
          <w:szCs w:val="21"/>
        </w:rPr>
      </w:pPr>
      <w:r w:rsidRPr="007300C5">
        <w:rPr>
          <w:b/>
          <w:i/>
          <w:color w:val="365F91"/>
          <w:sz w:val="21"/>
          <w:szCs w:val="21"/>
        </w:rPr>
        <w:t xml:space="preserve">Medication reviews </w:t>
      </w:r>
    </w:p>
    <w:p w:rsidR="007300C5" w:rsidRPr="007300C5" w:rsidRDefault="007300C5" w:rsidP="007300C5">
      <w:pPr>
        <w:spacing w:after="240" w:line="240" w:lineRule="auto"/>
        <w:jc w:val="both"/>
        <w:outlineLvl w:val="3"/>
        <w:rPr>
          <w:sz w:val="21"/>
          <w:szCs w:val="21"/>
        </w:rPr>
      </w:pPr>
      <w:r w:rsidRPr="007300C5">
        <w:rPr>
          <w:sz w:val="21"/>
          <w:szCs w:val="21"/>
        </w:rPr>
        <w:t xml:space="preserve">The practice has reviewed a total of 42 patients since the beginning of the DQIP trial corresponding to a payment of £630. There are currently 8 patients in your practice, who have yet to be reviewed. Please note that because we are measuring high-risk prescribing in the last 8 weeks, the </w:t>
      </w:r>
      <w:r w:rsidRPr="007300C5">
        <w:rPr>
          <w:i/>
          <w:sz w:val="21"/>
          <w:szCs w:val="21"/>
        </w:rPr>
        <w:t>full</w:t>
      </w:r>
      <w:r w:rsidRPr="007300C5">
        <w:rPr>
          <w:sz w:val="21"/>
          <w:szCs w:val="21"/>
        </w:rPr>
        <w:t xml:space="preserve"> impact of any medication changes made may take a few weeks to show up in the run chart.  </w:t>
      </w:r>
    </w:p>
    <w:p w:rsidR="007300C5" w:rsidRPr="007300C5" w:rsidRDefault="007300C5" w:rsidP="007300C5">
      <w:pPr>
        <w:spacing w:after="0" w:line="240" w:lineRule="auto"/>
        <w:outlineLvl w:val="3"/>
        <w:rPr>
          <w:sz w:val="21"/>
          <w:szCs w:val="21"/>
        </w:rPr>
      </w:pPr>
      <w:r w:rsidRPr="007300C5">
        <w:rPr>
          <w:sz w:val="21"/>
          <w:szCs w:val="21"/>
        </w:rPr>
        <w:t xml:space="preserve">Kind regards, </w:t>
      </w:r>
    </w:p>
    <w:p w:rsidR="007300C5" w:rsidRPr="007300C5" w:rsidRDefault="007300C5" w:rsidP="007300C5">
      <w:pPr>
        <w:rPr>
          <w:b/>
          <w:i/>
          <w:color w:val="17365D"/>
          <w:sz w:val="21"/>
          <w:szCs w:val="21"/>
        </w:rPr>
        <w:sectPr w:rsidR="007300C5" w:rsidRPr="007300C5" w:rsidSect="00143FA0">
          <w:pgSz w:w="11906" w:h="16838"/>
          <w:pgMar w:top="1134" w:right="851" w:bottom="1134" w:left="851" w:header="709" w:footer="709" w:gutter="0"/>
          <w:cols w:space="708"/>
          <w:docGrid w:linePitch="360"/>
        </w:sectPr>
      </w:pPr>
      <w:r>
        <w:rPr>
          <w:b/>
          <w:i/>
          <w:color w:val="17365D"/>
          <w:sz w:val="21"/>
          <w:szCs w:val="21"/>
        </w:rPr>
        <w:t>The DQIP team</w:t>
      </w:r>
    </w:p>
    <w:p w:rsidR="00E85B3E" w:rsidRDefault="00E85B3E"/>
    <w:sectPr w:rsidR="00E8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52FB"/>
    <w:multiLevelType w:val="hybridMultilevel"/>
    <w:tmpl w:val="579A3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8E40962"/>
    <w:multiLevelType w:val="hybridMultilevel"/>
    <w:tmpl w:val="5964E18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C5"/>
    <w:rsid w:val="0001496E"/>
    <w:rsid w:val="00033B6F"/>
    <w:rsid w:val="00054D08"/>
    <w:rsid w:val="000924E8"/>
    <w:rsid w:val="000C615D"/>
    <w:rsid w:val="001045C5"/>
    <w:rsid w:val="00112E76"/>
    <w:rsid w:val="001157DE"/>
    <w:rsid w:val="00121ABF"/>
    <w:rsid w:val="0013173A"/>
    <w:rsid w:val="001365C8"/>
    <w:rsid w:val="001A7EC0"/>
    <w:rsid w:val="001B1083"/>
    <w:rsid w:val="001B608D"/>
    <w:rsid w:val="001C48A3"/>
    <w:rsid w:val="001E13A7"/>
    <w:rsid w:val="00291567"/>
    <w:rsid w:val="002B1A29"/>
    <w:rsid w:val="002C192A"/>
    <w:rsid w:val="002C7B9D"/>
    <w:rsid w:val="002D0C7C"/>
    <w:rsid w:val="002D331E"/>
    <w:rsid w:val="002D6DC4"/>
    <w:rsid w:val="00300539"/>
    <w:rsid w:val="00302FF4"/>
    <w:rsid w:val="003047BE"/>
    <w:rsid w:val="003353B5"/>
    <w:rsid w:val="00341907"/>
    <w:rsid w:val="003A0761"/>
    <w:rsid w:val="003B68D5"/>
    <w:rsid w:val="003C7E7A"/>
    <w:rsid w:val="00415436"/>
    <w:rsid w:val="0042636E"/>
    <w:rsid w:val="00467E00"/>
    <w:rsid w:val="004C0EE0"/>
    <w:rsid w:val="004F1B7B"/>
    <w:rsid w:val="00524D49"/>
    <w:rsid w:val="005633FC"/>
    <w:rsid w:val="005C0E38"/>
    <w:rsid w:val="005D175A"/>
    <w:rsid w:val="00633002"/>
    <w:rsid w:val="0063357E"/>
    <w:rsid w:val="0063733D"/>
    <w:rsid w:val="00650BA3"/>
    <w:rsid w:val="006520B6"/>
    <w:rsid w:val="00681D30"/>
    <w:rsid w:val="006B7965"/>
    <w:rsid w:val="006C58E7"/>
    <w:rsid w:val="007069AF"/>
    <w:rsid w:val="00725A55"/>
    <w:rsid w:val="007300C5"/>
    <w:rsid w:val="00745854"/>
    <w:rsid w:val="007469D2"/>
    <w:rsid w:val="00781503"/>
    <w:rsid w:val="0079042D"/>
    <w:rsid w:val="007A74F2"/>
    <w:rsid w:val="007B19A4"/>
    <w:rsid w:val="008076EF"/>
    <w:rsid w:val="00830BBC"/>
    <w:rsid w:val="00840C68"/>
    <w:rsid w:val="008412B7"/>
    <w:rsid w:val="00876EB7"/>
    <w:rsid w:val="00887472"/>
    <w:rsid w:val="008874A8"/>
    <w:rsid w:val="008A70A0"/>
    <w:rsid w:val="008D559B"/>
    <w:rsid w:val="008E0045"/>
    <w:rsid w:val="008E0328"/>
    <w:rsid w:val="0093744E"/>
    <w:rsid w:val="00943AB2"/>
    <w:rsid w:val="00951071"/>
    <w:rsid w:val="009710E0"/>
    <w:rsid w:val="009A1C13"/>
    <w:rsid w:val="009A4FFC"/>
    <w:rsid w:val="009F0EC6"/>
    <w:rsid w:val="00A03908"/>
    <w:rsid w:val="00A401E2"/>
    <w:rsid w:val="00A406E2"/>
    <w:rsid w:val="00A4776F"/>
    <w:rsid w:val="00A5221B"/>
    <w:rsid w:val="00A52E92"/>
    <w:rsid w:val="00A60BF7"/>
    <w:rsid w:val="00A63930"/>
    <w:rsid w:val="00A75035"/>
    <w:rsid w:val="00AB7B58"/>
    <w:rsid w:val="00B06BF0"/>
    <w:rsid w:val="00B774ED"/>
    <w:rsid w:val="00B92767"/>
    <w:rsid w:val="00BB4988"/>
    <w:rsid w:val="00BF03C7"/>
    <w:rsid w:val="00BF409E"/>
    <w:rsid w:val="00C1024D"/>
    <w:rsid w:val="00C10E5E"/>
    <w:rsid w:val="00C20788"/>
    <w:rsid w:val="00C56261"/>
    <w:rsid w:val="00C74E28"/>
    <w:rsid w:val="00CB453D"/>
    <w:rsid w:val="00CF4AB4"/>
    <w:rsid w:val="00D30E17"/>
    <w:rsid w:val="00D32429"/>
    <w:rsid w:val="00D6284D"/>
    <w:rsid w:val="00D67672"/>
    <w:rsid w:val="00D71117"/>
    <w:rsid w:val="00D843A6"/>
    <w:rsid w:val="00DD1ABD"/>
    <w:rsid w:val="00DD4CCA"/>
    <w:rsid w:val="00E045B2"/>
    <w:rsid w:val="00E21DF0"/>
    <w:rsid w:val="00E47602"/>
    <w:rsid w:val="00E838EB"/>
    <w:rsid w:val="00E85B3E"/>
    <w:rsid w:val="00EC331B"/>
    <w:rsid w:val="00EE730B"/>
    <w:rsid w:val="00F06F8E"/>
    <w:rsid w:val="00F3071B"/>
    <w:rsid w:val="00F35407"/>
    <w:rsid w:val="00F41F3C"/>
    <w:rsid w:val="00F77106"/>
    <w:rsid w:val="00FA078F"/>
    <w:rsid w:val="00FA3851"/>
    <w:rsid w:val="00FA4849"/>
    <w:rsid w:val="00FD5CB7"/>
    <w:rsid w:val="00FE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C5"/>
    <w:rPr>
      <w:rFonts w:ascii="Tahoma" w:hAnsi="Tahoma" w:cs="Tahoma"/>
      <w:sz w:val="16"/>
      <w:szCs w:val="16"/>
    </w:rPr>
  </w:style>
  <w:style w:type="paragraph" w:styleId="ListParagraph">
    <w:name w:val="List Paragraph"/>
    <w:basedOn w:val="Normal"/>
    <w:uiPriority w:val="34"/>
    <w:qFormat/>
    <w:rsid w:val="00730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C5"/>
    <w:rPr>
      <w:rFonts w:ascii="Tahoma" w:hAnsi="Tahoma" w:cs="Tahoma"/>
      <w:sz w:val="16"/>
      <w:szCs w:val="16"/>
    </w:rPr>
  </w:style>
  <w:style w:type="paragraph" w:styleId="ListParagraph">
    <w:name w:val="List Paragraph"/>
    <w:basedOn w:val="Normal"/>
    <w:uiPriority w:val="34"/>
    <w:qFormat/>
    <w:rsid w:val="0073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qip@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2156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Grant</dc:creator>
  <cp:lastModifiedBy>Aileen Grant</cp:lastModifiedBy>
  <cp:revision>2</cp:revision>
  <dcterms:created xsi:type="dcterms:W3CDTF">2016-05-13T15:09:00Z</dcterms:created>
  <dcterms:modified xsi:type="dcterms:W3CDTF">2016-05-13T15:09:00Z</dcterms:modified>
</cp:coreProperties>
</file>