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7C" w:rsidRPr="0076767C" w:rsidRDefault="00950386" w:rsidP="00FD4641">
      <w:pPr>
        <w:pStyle w:val="para1"/>
        <w:shd w:val="clear" w:color="auto" w:fill="FFFFFF"/>
        <w:spacing w:line="360" w:lineRule="auto"/>
        <w:contextualSpacing/>
        <w:jc w:val="both"/>
        <w:rPr>
          <w:rFonts w:asciiTheme="majorHAnsi" w:hAnsiTheme="majorHAnsi" w:cs="Arial"/>
          <w:b/>
          <w:color w:val="333333"/>
          <w:lang w:val="en-US"/>
        </w:rPr>
      </w:pPr>
      <w:r>
        <w:rPr>
          <w:rFonts w:asciiTheme="majorHAnsi" w:hAnsiTheme="majorHAnsi" w:cs="Arial"/>
          <w:b/>
          <w:color w:val="333333"/>
          <w:highlight w:val="green"/>
          <w:lang w:val="en-US"/>
        </w:rPr>
        <w:t xml:space="preserve">Additional file 1: </w:t>
      </w:r>
      <w:r w:rsidR="0076767C" w:rsidRPr="00287852">
        <w:rPr>
          <w:rFonts w:asciiTheme="majorHAnsi" w:hAnsiTheme="majorHAnsi" w:cs="Arial"/>
          <w:b/>
          <w:color w:val="333333"/>
          <w:highlight w:val="green"/>
          <w:lang w:val="en-US"/>
        </w:rPr>
        <w:t xml:space="preserve">Methods </w:t>
      </w:r>
      <w:r w:rsidR="00E65185" w:rsidRPr="00287852">
        <w:rPr>
          <w:rFonts w:asciiTheme="majorHAnsi" w:hAnsiTheme="majorHAnsi" w:cs="Arial"/>
          <w:b/>
          <w:color w:val="333333"/>
          <w:highlight w:val="green"/>
          <w:lang w:val="en-US"/>
        </w:rPr>
        <w:t>and results</w:t>
      </w:r>
    </w:p>
    <w:p w:rsidR="0076767C" w:rsidRPr="0076767C" w:rsidRDefault="0076767C" w:rsidP="00FD4641">
      <w:pPr>
        <w:pStyle w:val="para1"/>
        <w:shd w:val="clear" w:color="auto" w:fill="FFFFFF"/>
        <w:spacing w:line="360" w:lineRule="auto"/>
        <w:contextualSpacing/>
        <w:jc w:val="both"/>
        <w:rPr>
          <w:rFonts w:asciiTheme="majorHAnsi" w:hAnsiTheme="majorHAnsi" w:cs="Arial"/>
          <w:b/>
          <w:color w:val="333333"/>
          <w:lang w:val="en-US"/>
        </w:rPr>
      </w:pPr>
    </w:p>
    <w:p w:rsidR="0076767C" w:rsidRPr="0076767C" w:rsidRDefault="00FD4641" w:rsidP="00FD4641">
      <w:pPr>
        <w:pStyle w:val="para1"/>
        <w:shd w:val="clear" w:color="auto" w:fill="FFFFFF"/>
        <w:spacing w:line="360" w:lineRule="auto"/>
        <w:contextualSpacing/>
        <w:jc w:val="both"/>
        <w:rPr>
          <w:rFonts w:asciiTheme="majorHAnsi" w:hAnsiTheme="majorHAnsi" w:cs="Arial"/>
          <w:color w:val="333333"/>
          <w:u w:val="single"/>
          <w:lang w:val="en-US"/>
        </w:rPr>
      </w:pPr>
      <w:r w:rsidRPr="0076767C">
        <w:rPr>
          <w:rFonts w:asciiTheme="majorHAnsi" w:hAnsiTheme="majorHAnsi" w:cs="Arial"/>
          <w:color w:val="333333"/>
          <w:u w:val="single"/>
          <w:lang w:val="en-US"/>
        </w:rPr>
        <w:t>Measurement technique</w:t>
      </w:r>
    </w:p>
    <w:p w:rsidR="00FD4641" w:rsidRPr="0076767C" w:rsidRDefault="00FD4641" w:rsidP="00FD4641">
      <w:pPr>
        <w:pStyle w:val="para1"/>
        <w:shd w:val="clear" w:color="auto" w:fill="FFFFFF"/>
        <w:spacing w:line="360" w:lineRule="auto"/>
        <w:contextualSpacing/>
        <w:jc w:val="both"/>
        <w:rPr>
          <w:rFonts w:asciiTheme="majorHAnsi" w:hAnsiTheme="majorHAnsi"/>
          <w:color w:val="333333"/>
          <w:lang w:val="en-US"/>
        </w:rPr>
      </w:pPr>
      <w:r w:rsidRPr="0076767C">
        <w:rPr>
          <w:rFonts w:asciiTheme="majorHAnsi" w:hAnsiTheme="majorHAnsi" w:cs="Arial"/>
          <w:color w:val="333333"/>
          <w:lang w:val="en-US"/>
        </w:rPr>
        <w:t>A</w:t>
      </w:r>
      <w:r w:rsidRPr="0076767C">
        <w:rPr>
          <w:rFonts w:asciiTheme="majorHAnsi" w:hAnsiTheme="majorHAnsi"/>
          <w:bCs/>
          <w:iCs/>
          <w:lang w:val="en-US"/>
        </w:rPr>
        <w:t xml:space="preserve"> linear 13 MHz ultrasound transducer probe (GE Vivid-I 12L-RS) was used for all patients </w:t>
      </w:r>
      <w:r w:rsidRPr="0076767C">
        <w:rPr>
          <w:rFonts w:asciiTheme="majorHAnsi" w:hAnsiTheme="majorHAnsi"/>
          <w:color w:val="333333"/>
          <w:lang w:val="en-US"/>
        </w:rPr>
        <w:t xml:space="preserve">in two-dimensional B-mode; the probe </w:t>
      </w:r>
      <w:r w:rsidRPr="0076767C">
        <w:rPr>
          <w:rFonts w:asciiTheme="majorHAnsi" w:hAnsiTheme="majorHAnsi" w:cs="Arial"/>
          <w:color w:val="333333"/>
          <w:lang w:val="en-US"/>
        </w:rPr>
        <w:t xml:space="preserve">was positioned in the eighth or ninth intercostal space on the </w:t>
      </w:r>
      <w:proofErr w:type="spellStart"/>
      <w:r w:rsidRPr="0076767C">
        <w:rPr>
          <w:rFonts w:asciiTheme="majorHAnsi" w:hAnsiTheme="majorHAnsi" w:cs="Arial"/>
          <w:color w:val="333333"/>
          <w:lang w:val="en-US"/>
        </w:rPr>
        <w:t>midaxillary</w:t>
      </w:r>
      <w:proofErr w:type="spellEnd"/>
      <w:r w:rsidRPr="0076767C">
        <w:rPr>
          <w:rFonts w:asciiTheme="majorHAnsi" w:hAnsiTheme="majorHAnsi" w:cs="Arial"/>
          <w:color w:val="333333"/>
          <w:lang w:val="en-US"/>
        </w:rPr>
        <w:t xml:space="preserve"> line (zone of apposition) and angled perpendicular to the chest wall. </w:t>
      </w:r>
      <w:r w:rsidRPr="0076767C">
        <w:rPr>
          <w:rFonts w:asciiTheme="majorHAnsi" w:hAnsiTheme="majorHAnsi"/>
          <w:color w:val="333333"/>
          <w:lang w:val="en-US"/>
        </w:rPr>
        <w:t xml:space="preserve">Subjects were reclining in bed at a 30° - 45° angle. </w:t>
      </w:r>
    </w:p>
    <w:p w:rsidR="00FD4641" w:rsidRPr="0076767C" w:rsidRDefault="00FD4641" w:rsidP="00FD4641">
      <w:pPr>
        <w:pStyle w:val="para1"/>
        <w:shd w:val="clear" w:color="auto" w:fill="FFFFFF"/>
        <w:spacing w:line="360" w:lineRule="auto"/>
        <w:contextualSpacing/>
        <w:jc w:val="both"/>
        <w:rPr>
          <w:rFonts w:asciiTheme="majorHAnsi" w:hAnsiTheme="majorHAnsi"/>
          <w:color w:val="333333"/>
          <w:lang w:val="en-US"/>
        </w:rPr>
      </w:pPr>
      <w:r w:rsidRPr="0076767C">
        <w:rPr>
          <w:rFonts w:asciiTheme="majorHAnsi" w:hAnsiTheme="majorHAnsi"/>
          <w:color w:val="333333"/>
          <w:lang w:val="en-US"/>
        </w:rPr>
        <w:t xml:space="preserve">The right diaphragm was identified as a three-layered structure just above the liver, appearing as a </w:t>
      </w:r>
      <w:proofErr w:type="spellStart"/>
      <w:r w:rsidRPr="0076767C">
        <w:rPr>
          <w:rFonts w:asciiTheme="majorHAnsi" w:hAnsiTheme="majorHAnsi"/>
          <w:color w:val="333333"/>
          <w:lang w:val="en-US"/>
        </w:rPr>
        <w:t>hypoechogenic</w:t>
      </w:r>
      <w:proofErr w:type="spellEnd"/>
      <w:r w:rsidRPr="0076767C">
        <w:rPr>
          <w:rFonts w:asciiTheme="majorHAnsi" w:hAnsiTheme="majorHAnsi"/>
          <w:color w:val="333333"/>
          <w:lang w:val="en-US"/>
        </w:rPr>
        <w:t xml:space="preserve"> muscular layer bounded by echogenic membranes of pleura. The diaphragm was further identified dynamically as the most superficial structure that was obliterated by the leading edge of the lung upon inspiration. Images were obtained at end-expiration</w:t>
      </w:r>
      <w:r w:rsidR="004D3155" w:rsidRPr="0076767C">
        <w:rPr>
          <w:rFonts w:asciiTheme="majorHAnsi" w:hAnsiTheme="majorHAnsi"/>
          <w:color w:val="333333"/>
          <w:lang w:val="en-US"/>
        </w:rPr>
        <w:fldChar w:fldCharType="begin"/>
      </w:r>
      <w:r w:rsidRPr="0076767C">
        <w:rPr>
          <w:rFonts w:asciiTheme="majorHAnsi" w:hAnsiTheme="majorHAnsi"/>
          <w:color w:val="333333"/>
          <w:lang w:val="en-US"/>
        </w:rPr>
        <w:instrText xml:space="preserve"> ADDIN PAPERS2_CITATIONS &lt;citation&gt;&lt;uuid&gt;D3D083C1-ED8A-487F-A6D2-D5B6B1897191&lt;/uuid&gt;&lt;priority&gt;21&lt;/priority&gt;&lt;publications&gt;&lt;publication&gt;&lt;publication_date&gt;99201206211200000000222000&lt;/publication_date&gt;&lt;doi&gt;10.1378/chest.11-1638&lt;/doi&gt;&lt;title&gt;Diaphragm Muscle Thinning in Mechanically Ventilated Patients&lt;/title&gt;&lt;uuid&gt;4B8C37BF-86CB-4154-B995-2943BF1493EA&lt;/uuid&gt;&lt;subtype&gt;400&lt;/subtype&gt;&lt;type&gt;400&lt;/type&gt;&lt;url&gt;http://journal.publications.chestnet.org/article.aspx?doi=10.1378/chest.11-1638&lt;/url&gt;&lt;bundle&gt;&lt;publication&gt;&lt;publisher&gt;American College of Chest Physicians&lt;/publisher&gt;&lt;url&gt;http://journal.publications.chestnet.org&lt;/url&gt;&lt;title&gt;Chest&lt;/title&gt;&lt;type&gt;-100&lt;/type&gt;&lt;subtype&gt;-100&lt;/subtype&gt;&lt;uuid&gt;C7C1E579-F3A5-40A5-8B9B-2B7E0B8C825A&lt;/uuid&gt;&lt;/publication&gt;&lt;/bundle&gt;&lt;authors&gt;&lt;author&gt;&lt;firstName&gt;H&lt;/firstName&gt;&lt;middleNames&gt;B&lt;/middleNames&gt;&lt;lastName&gt;Grosu&lt;/lastName&gt;&lt;/author&gt;&lt;author&gt;&lt;firstName&gt;Y&lt;/firstName&gt;&lt;middleNames&gt;I&lt;/middleNames&gt;&lt;lastName&gt;Lee&lt;/lastName&gt;&lt;/author&gt;&lt;author&gt;&lt;firstName&gt;J&lt;/firstName&gt;&lt;lastName&gt;Lee&lt;/lastName&gt;&lt;/author&gt;&lt;author&gt;&lt;firstName&gt;E&lt;/firstName&gt;&lt;lastName&gt;Eden&lt;/lastName&gt;&lt;/author&gt;&lt;author&gt;&lt;firstName&gt;M&lt;/firstName&gt;&lt;lastName&gt;Eikermann&lt;/lastName&gt;&lt;/author&gt;&lt;author&gt;&lt;firstName&gt;K&lt;/firstName&gt;&lt;lastName&gt;Rose&lt;/lastName&gt;&lt;/author&gt;&lt;/authors&gt;&lt;/publication&gt;&lt;/publications&gt;&lt;cites&gt;&lt;/cites&gt;&lt;/citation&gt;</w:instrText>
      </w:r>
      <w:r w:rsidR="004D3155" w:rsidRPr="0076767C">
        <w:rPr>
          <w:rFonts w:asciiTheme="majorHAnsi" w:hAnsiTheme="majorHAnsi"/>
          <w:color w:val="333333"/>
          <w:lang w:val="en-US"/>
        </w:rPr>
        <w:fldChar w:fldCharType="separate"/>
      </w:r>
      <w:r w:rsidRPr="0076767C">
        <w:rPr>
          <w:rFonts w:asciiTheme="majorHAnsi" w:hAnsiTheme="majorHAnsi" w:cs="Helvetica"/>
          <w:lang w:val="en-US"/>
        </w:rPr>
        <w:t>[9]</w:t>
      </w:r>
      <w:r w:rsidR="004D3155" w:rsidRPr="0076767C">
        <w:rPr>
          <w:rFonts w:asciiTheme="majorHAnsi" w:hAnsiTheme="majorHAnsi"/>
          <w:color w:val="333333"/>
          <w:lang w:val="en-US"/>
        </w:rPr>
        <w:fldChar w:fldCharType="end"/>
      </w:r>
      <w:r w:rsidRPr="0076767C">
        <w:rPr>
          <w:rFonts w:asciiTheme="majorHAnsi" w:hAnsiTheme="majorHAnsi"/>
          <w:color w:val="333333"/>
          <w:lang w:val="en-US"/>
        </w:rPr>
        <w:t xml:space="preserve">. </w:t>
      </w:r>
    </w:p>
    <w:p w:rsidR="00FD4641" w:rsidRPr="0076767C" w:rsidRDefault="00FD4641" w:rsidP="00FD4641">
      <w:pPr>
        <w:shd w:val="clear" w:color="auto" w:fill="FFFFFF"/>
        <w:spacing w:line="360" w:lineRule="auto"/>
        <w:contextualSpacing/>
        <w:jc w:val="both"/>
        <w:textAlignment w:val="baseline"/>
        <w:rPr>
          <w:rFonts w:asciiTheme="majorHAnsi" w:eastAsia="Times New Roman" w:hAnsiTheme="majorHAnsi"/>
          <w:color w:val="333333"/>
          <w:lang w:eastAsia="nl-BE"/>
        </w:rPr>
      </w:pPr>
      <w:r w:rsidRPr="0076767C">
        <w:rPr>
          <w:rFonts w:asciiTheme="majorHAnsi" w:eastAsia="Times New Roman" w:hAnsiTheme="majorHAnsi"/>
          <w:color w:val="333333"/>
          <w:lang w:eastAsia="nl-BE"/>
        </w:rPr>
        <w:t xml:space="preserve">Using this technique, we measured diaphragm thickness, defined as the distance from the outside of the pleura to the outside of the peritoneum, to the nearest 0.1 mm and recorded a digital image. </w:t>
      </w:r>
      <w:bookmarkStart w:id="0" w:name="fig01"/>
      <w:bookmarkEnd w:id="0"/>
    </w:p>
    <w:p w:rsidR="009C06F1" w:rsidRPr="0076767C" w:rsidRDefault="009C06F1" w:rsidP="00AE07DF">
      <w:pPr>
        <w:pStyle w:val="para1"/>
        <w:shd w:val="clear" w:color="auto" w:fill="FFFFFF"/>
        <w:spacing w:line="360" w:lineRule="auto"/>
        <w:contextualSpacing/>
        <w:jc w:val="both"/>
        <w:rPr>
          <w:rFonts w:asciiTheme="majorHAnsi" w:hAnsiTheme="majorHAnsi"/>
          <w:color w:val="333333"/>
          <w:u w:val="single"/>
          <w:lang w:val="en-US"/>
        </w:rPr>
      </w:pPr>
    </w:p>
    <w:p w:rsidR="0076767C" w:rsidRPr="0076767C" w:rsidRDefault="009C06F1" w:rsidP="00AE07DF">
      <w:pPr>
        <w:pStyle w:val="para1"/>
        <w:shd w:val="clear" w:color="auto" w:fill="FFFFFF"/>
        <w:spacing w:line="360" w:lineRule="auto"/>
        <w:contextualSpacing/>
        <w:jc w:val="both"/>
        <w:rPr>
          <w:rFonts w:asciiTheme="majorHAnsi" w:hAnsiTheme="majorHAnsi"/>
          <w:color w:val="333333"/>
          <w:u w:val="single"/>
          <w:lang w:val="en-US"/>
        </w:rPr>
      </w:pPr>
      <w:r w:rsidRPr="0076767C">
        <w:rPr>
          <w:rFonts w:asciiTheme="majorHAnsi" w:hAnsiTheme="majorHAnsi"/>
          <w:color w:val="333333"/>
          <w:u w:val="single"/>
          <w:lang w:val="en-US"/>
        </w:rPr>
        <w:t>Ventilation modes and parameters</w:t>
      </w:r>
    </w:p>
    <w:p w:rsidR="00AE07DF" w:rsidRPr="0076767C" w:rsidRDefault="00AE07DF" w:rsidP="00AE07DF">
      <w:pPr>
        <w:pStyle w:val="para1"/>
        <w:shd w:val="clear" w:color="auto" w:fill="FFFFFF"/>
        <w:spacing w:line="360" w:lineRule="auto"/>
        <w:contextualSpacing/>
        <w:jc w:val="both"/>
        <w:rPr>
          <w:rFonts w:asciiTheme="majorHAnsi" w:hAnsiTheme="majorHAnsi"/>
          <w:color w:val="333333"/>
          <w:lang w:val="en-US"/>
        </w:rPr>
      </w:pPr>
      <w:r w:rsidRPr="0076767C">
        <w:rPr>
          <w:rFonts w:asciiTheme="majorHAnsi" w:hAnsiTheme="majorHAnsi"/>
          <w:color w:val="333333"/>
          <w:lang w:val="en-US"/>
        </w:rPr>
        <w:t xml:space="preserve">Patients could be ventilated in assisted, controlled or hybrid ventilation modes. A hybrid ventilation mode is a controlled ventilation </w:t>
      </w:r>
      <w:r w:rsidR="0076767C">
        <w:rPr>
          <w:rFonts w:asciiTheme="majorHAnsi" w:hAnsiTheme="majorHAnsi"/>
          <w:color w:val="333333"/>
          <w:lang w:val="en-US"/>
        </w:rPr>
        <w:t xml:space="preserve">mode </w:t>
      </w:r>
      <w:r w:rsidRPr="0076767C">
        <w:rPr>
          <w:rFonts w:asciiTheme="majorHAnsi" w:hAnsiTheme="majorHAnsi"/>
          <w:color w:val="333333"/>
          <w:lang w:val="en-US"/>
        </w:rPr>
        <w:t xml:space="preserve">with the added opportunity for the patient to receive a supported breath if he or she triggers the ventilator, the so called Assist/Control (A/C) modes and Synchronized Intermittent Mandatory Ventilation (SIMV) modes. Hybrid ventilation modes were added to the group of controlled ventilation modes when calculation the time spent in controlled ventilation modes. </w:t>
      </w:r>
    </w:p>
    <w:p w:rsidR="00AE07DF" w:rsidRPr="0076767C" w:rsidRDefault="00AE07DF" w:rsidP="00AE07DF">
      <w:pPr>
        <w:pStyle w:val="para1"/>
        <w:shd w:val="clear" w:color="auto" w:fill="FFFFFF"/>
        <w:spacing w:line="360" w:lineRule="auto"/>
        <w:contextualSpacing/>
        <w:jc w:val="both"/>
        <w:rPr>
          <w:rFonts w:asciiTheme="majorHAnsi" w:hAnsiTheme="majorHAnsi"/>
          <w:color w:val="333333"/>
          <w:lang w:val="en-US"/>
        </w:rPr>
      </w:pPr>
      <w:r w:rsidRPr="0076767C">
        <w:rPr>
          <w:rFonts w:asciiTheme="majorHAnsi" w:hAnsiTheme="majorHAnsi"/>
          <w:color w:val="333333"/>
          <w:lang w:val="en-US"/>
        </w:rPr>
        <w:t>The ventilator settings and extrinsic positive end-expiratory pressure (PEEP) levels were recorded upon inclusion and then daily. PEEP level was set to 5cm H</w:t>
      </w:r>
      <w:r w:rsidRPr="0076767C">
        <w:rPr>
          <w:rFonts w:asciiTheme="majorHAnsi" w:hAnsiTheme="majorHAnsi"/>
          <w:color w:val="333333"/>
          <w:vertAlign w:val="subscript"/>
          <w:lang w:val="en-US"/>
        </w:rPr>
        <w:t>2</w:t>
      </w:r>
      <w:r w:rsidR="006A32D7">
        <w:rPr>
          <w:rFonts w:asciiTheme="majorHAnsi" w:hAnsiTheme="majorHAnsi"/>
          <w:color w:val="333333"/>
          <w:lang w:val="en-US"/>
        </w:rPr>
        <w:t>O at</w:t>
      </w:r>
      <w:r w:rsidRPr="0076767C">
        <w:rPr>
          <w:rFonts w:asciiTheme="majorHAnsi" w:hAnsiTheme="majorHAnsi"/>
          <w:color w:val="333333"/>
          <w:lang w:val="en-US"/>
        </w:rPr>
        <w:t xml:space="preserve"> the moment of the daily measurement. Measuring the diaphragm thickness for each patient was done by observing real-time graphics of airflow and airway pressure at the point of end-expiration to assure that there was no change in ventilator parameters, such as intrinsic PEEP, which might affect lung volumes and hence thickness. </w:t>
      </w:r>
    </w:p>
    <w:p w:rsidR="0076767C" w:rsidRPr="0076767C" w:rsidRDefault="0076767C" w:rsidP="00AE07DF">
      <w:pPr>
        <w:pStyle w:val="para1"/>
        <w:shd w:val="clear" w:color="auto" w:fill="FFFFFF"/>
        <w:spacing w:line="360" w:lineRule="auto"/>
        <w:contextualSpacing/>
        <w:jc w:val="both"/>
        <w:rPr>
          <w:rFonts w:asciiTheme="majorHAnsi" w:hAnsiTheme="majorHAnsi"/>
          <w:color w:val="333333"/>
          <w:lang w:val="en-US"/>
        </w:rPr>
      </w:pPr>
    </w:p>
    <w:p w:rsidR="0076767C" w:rsidRPr="0076767C" w:rsidRDefault="0076767C" w:rsidP="00AE07DF">
      <w:pPr>
        <w:pStyle w:val="para1"/>
        <w:shd w:val="clear" w:color="auto" w:fill="FFFFFF"/>
        <w:spacing w:line="360" w:lineRule="auto"/>
        <w:contextualSpacing/>
        <w:jc w:val="both"/>
        <w:rPr>
          <w:rFonts w:asciiTheme="majorHAnsi" w:hAnsiTheme="majorHAnsi"/>
          <w:color w:val="333333"/>
          <w:lang w:val="en-US"/>
        </w:rPr>
      </w:pPr>
    </w:p>
    <w:p w:rsidR="00C0634E" w:rsidRPr="00E05C26" w:rsidRDefault="00C0634E" w:rsidP="00AE07DF">
      <w:pPr>
        <w:pStyle w:val="para1"/>
        <w:shd w:val="clear" w:color="auto" w:fill="FFFFFF"/>
        <w:spacing w:line="360" w:lineRule="auto"/>
        <w:contextualSpacing/>
        <w:jc w:val="both"/>
        <w:rPr>
          <w:rFonts w:asciiTheme="majorHAnsi" w:hAnsiTheme="majorHAnsi"/>
          <w:color w:val="333333"/>
          <w:highlight w:val="green"/>
          <w:u w:val="single"/>
          <w:lang w:val="en-US"/>
        </w:rPr>
      </w:pPr>
      <w:r w:rsidRPr="00E05C26">
        <w:rPr>
          <w:rFonts w:asciiTheme="majorHAnsi" w:hAnsiTheme="majorHAnsi"/>
          <w:color w:val="333333"/>
          <w:highlight w:val="green"/>
          <w:u w:val="single"/>
          <w:lang w:val="en-US"/>
        </w:rPr>
        <w:lastRenderedPageBreak/>
        <w:t>Statistical methods</w:t>
      </w:r>
    </w:p>
    <w:p w:rsidR="008D34CF" w:rsidRPr="00E05C26" w:rsidRDefault="00AB7A23" w:rsidP="00AE07DF">
      <w:pPr>
        <w:pStyle w:val="para1"/>
        <w:shd w:val="clear" w:color="auto" w:fill="FFFFFF"/>
        <w:spacing w:line="360" w:lineRule="auto"/>
        <w:contextualSpacing/>
        <w:jc w:val="both"/>
        <w:rPr>
          <w:rFonts w:asciiTheme="majorHAnsi" w:hAnsiTheme="majorHAnsi" w:cs="Arial"/>
          <w:color w:val="333333"/>
          <w:highlight w:val="green"/>
          <w:shd w:val="clear" w:color="auto" w:fill="FFFFFF"/>
        </w:rPr>
      </w:pPr>
      <w:r w:rsidRPr="00E05C26">
        <w:rPr>
          <w:rFonts w:asciiTheme="majorHAnsi" w:hAnsiTheme="majorHAnsi"/>
          <w:bCs/>
          <w:iCs/>
          <w:highlight w:val="green"/>
        </w:rPr>
        <w:t xml:space="preserve">Normality was assessed using the Kolmogorov-Smirnov test and </w:t>
      </w:r>
      <w:r w:rsidRPr="00E05C26">
        <w:rPr>
          <w:rFonts w:asciiTheme="majorHAnsi" w:hAnsiTheme="majorHAnsi" w:cs="Arial"/>
          <w:color w:val="333333"/>
          <w:highlight w:val="green"/>
          <w:shd w:val="clear" w:color="auto" w:fill="FFFFFF"/>
        </w:rPr>
        <w:t xml:space="preserve">results were reported as mean ± standard deviation (SD) for normally distributed or median (interquartile range) </w:t>
      </w:r>
      <w:r w:rsidR="008D34CF" w:rsidRPr="00E05C26">
        <w:rPr>
          <w:rFonts w:asciiTheme="majorHAnsi" w:hAnsiTheme="majorHAnsi" w:cs="Arial"/>
          <w:color w:val="333333"/>
          <w:highlight w:val="green"/>
          <w:shd w:val="clear" w:color="auto" w:fill="FFFFFF"/>
        </w:rPr>
        <w:t>for non-normally distributed data</w:t>
      </w:r>
      <w:r w:rsidRPr="00E05C26">
        <w:rPr>
          <w:rFonts w:asciiTheme="majorHAnsi" w:hAnsiTheme="majorHAnsi" w:cs="Arial"/>
          <w:color w:val="333333"/>
          <w:highlight w:val="green"/>
          <w:shd w:val="clear" w:color="auto" w:fill="FFFFFF"/>
        </w:rPr>
        <w:t>.</w:t>
      </w:r>
      <w:r w:rsidR="008D34CF" w:rsidRPr="00E05C26">
        <w:rPr>
          <w:rFonts w:asciiTheme="majorHAnsi" w:hAnsiTheme="majorHAnsi" w:cs="Arial"/>
          <w:color w:val="333333"/>
          <w:highlight w:val="green"/>
          <w:shd w:val="clear" w:color="auto" w:fill="FFFFFF"/>
        </w:rPr>
        <w:t xml:space="preserve"> </w:t>
      </w:r>
    </w:p>
    <w:p w:rsidR="00F95EF4" w:rsidRPr="00E05C26" w:rsidRDefault="00F95EF4" w:rsidP="00AE07DF">
      <w:pPr>
        <w:pStyle w:val="para1"/>
        <w:shd w:val="clear" w:color="auto" w:fill="FFFFFF"/>
        <w:spacing w:line="360" w:lineRule="auto"/>
        <w:contextualSpacing/>
        <w:jc w:val="both"/>
        <w:rPr>
          <w:rFonts w:asciiTheme="majorHAnsi" w:hAnsiTheme="majorHAnsi"/>
          <w:bCs/>
          <w:iCs/>
          <w:highlight w:val="green"/>
        </w:rPr>
      </w:pPr>
      <w:r w:rsidRPr="00E05C26">
        <w:rPr>
          <w:rFonts w:asciiTheme="majorHAnsi" w:hAnsiTheme="majorHAnsi"/>
          <w:bCs/>
          <w:iCs/>
          <w:highlight w:val="green"/>
        </w:rPr>
        <w:t xml:space="preserve">The categorical </w:t>
      </w:r>
      <w:r w:rsidR="005A7889" w:rsidRPr="00E05C26">
        <w:rPr>
          <w:rFonts w:asciiTheme="majorHAnsi" w:hAnsiTheme="majorHAnsi"/>
          <w:bCs/>
          <w:iCs/>
          <w:highlight w:val="green"/>
        </w:rPr>
        <w:t xml:space="preserve">independent </w:t>
      </w:r>
      <w:r w:rsidRPr="00E05C26">
        <w:rPr>
          <w:rFonts w:asciiTheme="majorHAnsi" w:hAnsiTheme="majorHAnsi"/>
          <w:bCs/>
          <w:iCs/>
          <w:highlight w:val="green"/>
        </w:rPr>
        <w:t xml:space="preserve">variables that were </w:t>
      </w:r>
      <w:r w:rsidR="005A7889" w:rsidRPr="00E05C26">
        <w:rPr>
          <w:rFonts w:asciiTheme="majorHAnsi" w:hAnsiTheme="majorHAnsi"/>
          <w:bCs/>
          <w:iCs/>
          <w:highlight w:val="green"/>
        </w:rPr>
        <w:t>included in the analysis are</w:t>
      </w:r>
      <w:r w:rsidRPr="00E05C26">
        <w:rPr>
          <w:rFonts w:asciiTheme="majorHAnsi" w:hAnsiTheme="majorHAnsi"/>
          <w:bCs/>
          <w:iCs/>
          <w:highlight w:val="green"/>
        </w:rPr>
        <w:t xml:space="preserve">: </w:t>
      </w:r>
      <w:r w:rsidR="005A7889" w:rsidRPr="00E05C26">
        <w:rPr>
          <w:rFonts w:asciiTheme="majorHAnsi" w:hAnsiTheme="majorHAnsi"/>
          <w:bCs/>
          <w:iCs/>
          <w:highlight w:val="green"/>
        </w:rPr>
        <w:t xml:space="preserve">sex, use of corticosteroids during </w:t>
      </w:r>
      <w:r w:rsidR="0076767C" w:rsidRPr="00E05C26">
        <w:rPr>
          <w:rFonts w:asciiTheme="majorHAnsi" w:hAnsiTheme="majorHAnsi"/>
          <w:bCs/>
          <w:iCs/>
          <w:highlight w:val="green"/>
        </w:rPr>
        <w:t>intensive care unit (</w:t>
      </w:r>
      <w:r w:rsidR="005A7889" w:rsidRPr="00E05C26">
        <w:rPr>
          <w:rFonts w:asciiTheme="majorHAnsi" w:hAnsiTheme="majorHAnsi"/>
          <w:bCs/>
          <w:iCs/>
          <w:highlight w:val="green"/>
        </w:rPr>
        <w:t>ICU</w:t>
      </w:r>
      <w:r w:rsidR="0076767C" w:rsidRPr="00E05C26">
        <w:rPr>
          <w:rFonts w:asciiTheme="majorHAnsi" w:hAnsiTheme="majorHAnsi"/>
          <w:bCs/>
          <w:iCs/>
          <w:highlight w:val="green"/>
        </w:rPr>
        <w:t>)</w:t>
      </w:r>
      <w:r w:rsidR="005A7889" w:rsidRPr="00E05C26">
        <w:rPr>
          <w:rFonts w:asciiTheme="majorHAnsi" w:hAnsiTheme="majorHAnsi"/>
          <w:bCs/>
          <w:iCs/>
          <w:highlight w:val="green"/>
        </w:rPr>
        <w:t xml:space="preserve"> stay, sepsis on admission, continued use of neuromuscular blocking agents and use of aminoglycoside antibiotics. Association of these </w:t>
      </w:r>
      <w:r w:rsidR="00DF34C3" w:rsidRPr="00E05C26">
        <w:rPr>
          <w:rFonts w:asciiTheme="majorHAnsi" w:hAnsiTheme="majorHAnsi"/>
          <w:bCs/>
          <w:iCs/>
          <w:highlight w:val="green"/>
        </w:rPr>
        <w:t xml:space="preserve">individual </w:t>
      </w:r>
      <w:r w:rsidR="005A7889" w:rsidRPr="00E05C26">
        <w:rPr>
          <w:rFonts w:asciiTheme="majorHAnsi" w:hAnsiTheme="majorHAnsi"/>
          <w:bCs/>
          <w:iCs/>
          <w:highlight w:val="green"/>
        </w:rPr>
        <w:t xml:space="preserve">parameters with nadir change in diaphragm thickness was assessed using a </w:t>
      </w:r>
      <w:r w:rsidR="005A7889" w:rsidRPr="00E05C26">
        <w:rPr>
          <w:rFonts w:asciiTheme="majorHAnsi" w:hAnsiTheme="majorHAnsi" w:cs="Arial"/>
          <w:color w:val="333333"/>
          <w:highlight w:val="green"/>
        </w:rPr>
        <w:t>Mann-Whitney U test</w:t>
      </w:r>
      <w:r w:rsidR="005A7889" w:rsidRPr="00E05C26">
        <w:rPr>
          <w:rFonts w:asciiTheme="majorHAnsi" w:hAnsiTheme="majorHAnsi"/>
          <w:bCs/>
          <w:iCs/>
          <w:highlight w:val="green"/>
        </w:rPr>
        <w:t xml:space="preserve">.  </w:t>
      </w:r>
    </w:p>
    <w:p w:rsidR="0044762A" w:rsidRPr="00E05C26" w:rsidRDefault="00F95EF4" w:rsidP="00AE07DF">
      <w:pPr>
        <w:pStyle w:val="para1"/>
        <w:shd w:val="clear" w:color="auto" w:fill="FFFFFF"/>
        <w:spacing w:line="360" w:lineRule="auto"/>
        <w:contextualSpacing/>
        <w:jc w:val="both"/>
        <w:rPr>
          <w:rFonts w:asciiTheme="majorHAnsi" w:hAnsiTheme="majorHAnsi" w:cs="Arial"/>
          <w:color w:val="333333"/>
          <w:highlight w:val="green"/>
        </w:rPr>
      </w:pPr>
      <w:r w:rsidRPr="00E05C26">
        <w:rPr>
          <w:rFonts w:asciiTheme="majorHAnsi" w:hAnsiTheme="majorHAnsi"/>
          <w:bCs/>
          <w:iCs/>
          <w:highlight w:val="green"/>
        </w:rPr>
        <w:t>The continuous</w:t>
      </w:r>
      <w:r w:rsidR="005A7889" w:rsidRPr="00E05C26">
        <w:rPr>
          <w:rFonts w:asciiTheme="majorHAnsi" w:hAnsiTheme="majorHAnsi"/>
          <w:bCs/>
          <w:iCs/>
          <w:highlight w:val="green"/>
        </w:rPr>
        <w:t xml:space="preserve"> independent</w:t>
      </w:r>
      <w:r w:rsidRPr="00E05C26">
        <w:rPr>
          <w:rFonts w:asciiTheme="majorHAnsi" w:hAnsiTheme="majorHAnsi"/>
          <w:bCs/>
          <w:iCs/>
          <w:highlight w:val="green"/>
        </w:rPr>
        <w:t xml:space="preserve"> variables that were </w:t>
      </w:r>
      <w:r w:rsidR="005A7889" w:rsidRPr="00E05C26">
        <w:rPr>
          <w:rFonts w:asciiTheme="majorHAnsi" w:hAnsiTheme="majorHAnsi"/>
          <w:bCs/>
          <w:iCs/>
          <w:highlight w:val="green"/>
        </w:rPr>
        <w:t>included are:</w:t>
      </w:r>
      <w:r w:rsidRPr="00E05C26">
        <w:rPr>
          <w:rFonts w:asciiTheme="majorHAnsi" w:hAnsiTheme="majorHAnsi"/>
          <w:bCs/>
          <w:iCs/>
          <w:highlight w:val="green"/>
        </w:rPr>
        <w:t xml:space="preserve"> the Severe Acute Physiology Score II</w:t>
      </w:r>
      <w:r w:rsidR="004D3155" w:rsidRPr="00E05C26">
        <w:rPr>
          <w:rFonts w:asciiTheme="majorHAnsi" w:hAnsiTheme="majorHAnsi"/>
          <w:bCs/>
          <w:iCs/>
          <w:highlight w:val="green"/>
        </w:rPr>
        <w:fldChar w:fldCharType="begin"/>
      </w:r>
      <w:r w:rsidRPr="00E05C26">
        <w:rPr>
          <w:rFonts w:asciiTheme="majorHAnsi" w:hAnsiTheme="majorHAnsi"/>
          <w:bCs/>
          <w:iCs/>
          <w:highlight w:val="green"/>
        </w:rPr>
        <w:instrText xml:space="preserve"> ADDIN PAPERS2_CITATIONS &lt;citation&gt;&lt;uuid&gt;3B66158E-59ED-416B-8AE2-691A2B7A36C2&lt;/uuid&gt;&lt;priority&gt;17&lt;/priority&gt;&lt;publications&gt;&lt;publication&gt;&lt;uuid&gt;4374ADC0-9000-43FE-85FB-A29057D29EBB&lt;/uuid&gt;&lt;volume&gt;270&lt;/volume&gt;&lt;doi&gt;10.1001/jama.1993.03510240069035&lt;/doi&gt;&lt;startpage&gt;2957&lt;/startpage&gt;&lt;publication_date&gt;99199312221200000000222000&lt;/publication_date&gt;&lt;url&gt;http://jama.jamanetwork.com/article.aspx?doi=10.1001/jama.1993.03510240069035&lt;/url&gt;&lt;type&gt;400&lt;/type&gt;&lt;title&gt;A New Simplified Acute Physiology Score (SAPS II) Based on a European/North American Multicenter Study&lt;/title&gt;&lt;publisher&gt;American Medical Association&lt;/publisher&gt;&lt;number&gt;24&lt;/number&gt;&lt;subtype&gt;400&lt;/subtype&gt;&lt;endpage&gt;2963&lt;/endpage&gt;&lt;bundle&gt;&lt;publication&gt;&lt;publisher&gt;American Medical Association&lt;/publisher&gt;&lt;url&gt;http://jama.jamanetwork.com&lt;/url&gt;&lt;title&gt;JAMA&lt;/title&gt;&lt;type&gt;-100&lt;/type&gt;&lt;subtype&gt;-100&lt;/subtype&gt;&lt;uuid&gt;98906E20-13AC-4768-A2B9-0E062F5583AA&lt;/uuid&gt;&lt;/publication&gt;&lt;/bundle&gt;&lt;authors&gt;&lt;author&gt;&lt;nonDroppingParticle&gt;Le&lt;/nonDroppingParticle&gt;&lt;firstName&gt;Jean-Roger&lt;/firstName&gt;&lt;lastName&gt;Gall&lt;/lastName&gt;&lt;/author&gt;&lt;/authors&gt;&lt;/publication&gt;&lt;/publications&gt;&lt;cites&gt;&lt;/cites&gt;&lt;/citation&gt;</w:instrText>
      </w:r>
      <w:r w:rsidR="004D3155" w:rsidRPr="00E05C26">
        <w:rPr>
          <w:rFonts w:asciiTheme="majorHAnsi" w:hAnsiTheme="majorHAnsi"/>
          <w:bCs/>
          <w:iCs/>
          <w:highlight w:val="green"/>
        </w:rPr>
        <w:fldChar w:fldCharType="end"/>
      </w:r>
      <w:r w:rsidR="005A7889" w:rsidRPr="00E05C26">
        <w:rPr>
          <w:rFonts w:asciiTheme="majorHAnsi" w:hAnsiTheme="majorHAnsi"/>
          <w:bCs/>
          <w:iCs/>
          <w:highlight w:val="green"/>
        </w:rPr>
        <w:t xml:space="preserve"> </w:t>
      </w:r>
      <w:r w:rsidR="00DF34C3" w:rsidRPr="00E05C26">
        <w:rPr>
          <w:rFonts w:asciiTheme="majorHAnsi" w:hAnsiTheme="majorHAnsi"/>
          <w:bCs/>
          <w:iCs/>
          <w:highlight w:val="green"/>
        </w:rPr>
        <w:t>(SAPS-II),</w:t>
      </w:r>
      <w:r w:rsidRPr="00E05C26">
        <w:rPr>
          <w:rFonts w:asciiTheme="majorHAnsi" w:hAnsiTheme="majorHAnsi"/>
          <w:bCs/>
          <w:iCs/>
          <w:highlight w:val="green"/>
        </w:rPr>
        <w:t xml:space="preserve"> duration of </w:t>
      </w:r>
      <w:r w:rsidR="005A7889" w:rsidRPr="00E05C26">
        <w:rPr>
          <w:rFonts w:asciiTheme="majorHAnsi" w:hAnsiTheme="majorHAnsi"/>
          <w:bCs/>
          <w:iCs/>
          <w:highlight w:val="green"/>
        </w:rPr>
        <w:t>mechanical ventilation</w:t>
      </w:r>
      <w:r w:rsidR="0076767C" w:rsidRPr="00E05C26">
        <w:rPr>
          <w:rFonts w:asciiTheme="majorHAnsi" w:hAnsiTheme="majorHAnsi"/>
          <w:bCs/>
          <w:iCs/>
          <w:highlight w:val="green"/>
        </w:rPr>
        <w:t xml:space="preserve"> (MV)</w:t>
      </w:r>
      <w:r w:rsidR="00DF34C3" w:rsidRPr="00E05C26">
        <w:rPr>
          <w:rFonts w:asciiTheme="majorHAnsi" w:hAnsiTheme="majorHAnsi"/>
          <w:bCs/>
          <w:iCs/>
          <w:highlight w:val="green"/>
        </w:rPr>
        <w:t>, and percentage of time in controlled MV</w:t>
      </w:r>
      <w:r w:rsidR="005A7889" w:rsidRPr="00E05C26">
        <w:rPr>
          <w:rFonts w:asciiTheme="majorHAnsi" w:hAnsiTheme="majorHAnsi"/>
          <w:bCs/>
          <w:iCs/>
          <w:highlight w:val="green"/>
        </w:rPr>
        <w:t>. Association of these</w:t>
      </w:r>
      <w:r w:rsidR="00DF34C3" w:rsidRPr="00E05C26">
        <w:rPr>
          <w:rFonts w:asciiTheme="majorHAnsi" w:hAnsiTheme="majorHAnsi"/>
          <w:bCs/>
          <w:iCs/>
          <w:highlight w:val="green"/>
        </w:rPr>
        <w:t xml:space="preserve"> individual</w:t>
      </w:r>
      <w:r w:rsidR="005A7889" w:rsidRPr="00E05C26">
        <w:rPr>
          <w:rFonts w:asciiTheme="majorHAnsi" w:hAnsiTheme="majorHAnsi"/>
          <w:bCs/>
          <w:iCs/>
          <w:highlight w:val="green"/>
        </w:rPr>
        <w:t xml:space="preserve"> parameters with nadir change in diaphragm thickness was assessed using a </w:t>
      </w:r>
      <w:r w:rsidR="005A7889" w:rsidRPr="00E05C26">
        <w:rPr>
          <w:rFonts w:asciiTheme="majorHAnsi" w:hAnsiTheme="majorHAnsi" w:cs="Arial"/>
          <w:color w:val="333333"/>
          <w:highlight w:val="green"/>
        </w:rPr>
        <w:t xml:space="preserve">linear regression model. </w:t>
      </w:r>
    </w:p>
    <w:p w:rsidR="00A87584" w:rsidRDefault="00C969E6" w:rsidP="00AB7A23">
      <w:pPr>
        <w:spacing w:line="360" w:lineRule="auto"/>
        <w:contextualSpacing/>
        <w:jc w:val="both"/>
        <w:rPr>
          <w:rFonts w:asciiTheme="majorHAnsi" w:hAnsiTheme="majorHAnsi" w:cs="Helvetica"/>
          <w:highlight w:val="green"/>
          <w:lang w:val="en-US"/>
        </w:rPr>
      </w:pPr>
      <w:r w:rsidRPr="00E05C26">
        <w:rPr>
          <w:rFonts w:asciiTheme="majorHAnsi" w:hAnsiTheme="majorHAnsi" w:cs="Arial"/>
          <w:color w:val="333333"/>
          <w:highlight w:val="green"/>
        </w:rPr>
        <w:t xml:space="preserve">Changes in baseline and nadir diaphragm thickness were analyzed using the Wilcoxon signed rank test. </w:t>
      </w:r>
      <w:r w:rsidR="00AB7A23" w:rsidRPr="00E05C26">
        <w:rPr>
          <w:rFonts w:asciiTheme="majorHAnsi" w:hAnsiTheme="majorHAnsi"/>
          <w:bCs/>
          <w:iCs/>
          <w:highlight w:val="green"/>
        </w:rPr>
        <w:t xml:space="preserve">The percentage of time in controlled MV, sepsis status, corticosteroids administration and aminoglycoside </w:t>
      </w:r>
      <w:r w:rsidR="008D34CF" w:rsidRPr="00E05C26">
        <w:rPr>
          <w:rFonts w:asciiTheme="majorHAnsi" w:hAnsiTheme="majorHAnsi"/>
          <w:bCs/>
          <w:iCs/>
          <w:highlight w:val="green"/>
        </w:rPr>
        <w:t xml:space="preserve">antibiotic </w:t>
      </w:r>
      <w:r w:rsidR="00AB7A23" w:rsidRPr="00E05C26">
        <w:rPr>
          <w:rFonts w:asciiTheme="majorHAnsi" w:hAnsiTheme="majorHAnsi"/>
          <w:bCs/>
          <w:iCs/>
          <w:highlight w:val="green"/>
        </w:rPr>
        <w:t>administration parameters were entered in a multivariate linear regression model with nadir change in diaphragm thickness as the dependent variable. A subgroup analysis was performed for the patients who were diagnosed with sepsis upon admission. Decrease in thickness 24, 48 or 72 hours after the start of MV was compared between the sepsis and non-sep</w:t>
      </w:r>
      <w:r w:rsidR="0076767C" w:rsidRPr="00E05C26">
        <w:rPr>
          <w:rFonts w:asciiTheme="majorHAnsi" w:hAnsiTheme="majorHAnsi"/>
          <w:bCs/>
          <w:iCs/>
          <w:highlight w:val="green"/>
        </w:rPr>
        <w:t>sis group using the Student’s T-</w:t>
      </w:r>
      <w:r w:rsidR="00AB7A23" w:rsidRPr="00E05C26">
        <w:rPr>
          <w:rFonts w:asciiTheme="majorHAnsi" w:hAnsiTheme="majorHAnsi"/>
          <w:bCs/>
          <w:iCs/>
          <w:highlight w:val="green"/>
        </w:rPr>
        <w:t>Test.</w:t>
      </w:r>
      <w:r w:rsidR="00184924" w:rsidRPr="00E05C26">
        <w:rPr>
          <w:rFonts w:asciiTheme="majorHAnsi" w:hAnsiTheme="majorHAnsi"/>
          <w:bCs/>
          <w:iCs/>
          <w:highlight w:val="green"/>
        </w:rPr>
        <w:t xml:space="preserve"> </w:t>
      </w:r>
      <w:r w:rsidR="00184924" w:rsidRPr="00E05C26">
        <w:rPr>
          <w:rFonts w:asciiTheme="majorHAnsi" w:hAnsiTheme="majorHAnsi" w:cs="Helvetica"/>
          <w:highlight w:val="green"/>
          <w:lang w:val="en-US"/>
        </w:rPr>
        <w:t>We calculated the % of time in c</w:t>
      </w:r>
      <w:r w:rsidR="004F0B2C" w:rsidRPr="00E05C26">
        <w:rPr>
          <w:rFonts w:asciiTheme="majorHAnsi" w:hAnsiTheme="majorHAnsi" w:cs="Helvetica"/>
          <w:highlight w:val="green"/>
          <w:lang w:val="en-US"/>
        </w:rPr>
        <w:t>ontrolled ventilation modes from start to nadir and examined this for a possible association with nadir change in thickness using</w:t>
      </w:r>
      <w:r w:rsidR="00184924" w:rsidRPr="00E05C26">
        <w:rPr>
          <w:rFonts w:asciiTheme="majorHAnsi" w:hAnsiTheme="majorHAnsi" w:cs="Helvetica"/>
          <w:highlight w:val="green"/>
          <w:lang w:val="en-US"/>
        </w:rPr>
        <w:t xml:space="preserve"> a linear regression </w:t>
      </w:r>
      <w:r w:rsidR="004F0B2C" w:rsidRPr="00E05C26">
        <w:rPr>
          <w:rFonts w:asciiTheme="majorHAnsi" w:hAnsiTheme="majorHAnsi" w:cs="Helvetica"/>
          <w:highlight w:val="green"/>
          <w:lang w:val="en-US"/>
        </w:rPr>
        <w:t xml:space="preserve">model. Correlation between </w:t>
      </w:r>
      <w:proofErr w:type="gramStart"/>
      <w:r w:rsidR="004F0B2C" w:rsidRPr="00E05C26">
        <w:rPr>
          <w:rFonts w:asciiTheme="majorHAnsi" w:hAnsiTheme="majorHAnsi" w:cs="Helvetica"/>
          <w:highlight w:val="green"/>
          <w:lang w:val="en-US"/>
        </w:rPr>
        <w:t>change</w:t>
      </w:r>
      <w:proofErr w:type="gramEnd"/>
      <w:r w:rsidR="004F0B2C" w:rsidRPr="00E05C26">
        <w:rPr>
          <w:rFonts w:asciiTheme="majorHAnsi" w:hAnsiTheme="majorHAnsi" w:cs="Helvetica"/>
          <w:highlight w:val="green"/>
          <w:lang w:val="en-US"/>
        </w:rPr>
        <w:t xml:space="preserve"> in thickness after 72 hours with the spent on the ventilator afterwards was also examined using a linear regression model.</w:t>
      </w:r>
    </w:p>
    <w:p w:rsidR="0044762A" w:rsidRDefault="0044762A" w:rsidP="00AB7A23">
      <w:pPr>
        <w:spacing w:line="360" w:lineRule="auto"/>
        <w:contextualSpacing/>
        <w:jc w:val="both"/>
        <w:rPr>
          <w:rFonts w:asciiTheme="majorHAnsi" w:hAnsiTheme="majorHAnsi" w:cs="Helvetica"/>
          <w:highlight w:val="green"/>
          <w:lang w:val="en-US"/>
        </w:rPr>
      </w:pPr>
    </w:p>
    <w:p w:rsidR="0044762A" w:rsidRPr="0044762A" w:rsidRDefault="0044762A" w:rsidP="00AB7A23">
      <w:pPr>
        <w:spacing w:line="360" w:lineRule="auto"/>
        <w:contextualSpacing/>
        <w:jc w:val="both"/>
        <w:rPr>
          <w:rFonts w:asciiTheme="majorHAnsi" w:hAnsiTheme="majorHAnsi" w:cs="Helvetica"/>
          <w:highlight w:val="green"/>
          <w:u w:val="single"/>
          <w:lang w:val="en-US"/>
        </w:rPr>
      </w:pPr>
      <w:r w:rsidRPr="0044762A">
        <w:rPr>
          <w:rFonts w:asciiTheme="majorHAnsi" w:hAnsiTheme="majorHAnsi" w:cs="Helvetica"/>
          <w:highlight w:val="green"/>
          <w:u w:val="single"/>
          <w:lang w:val="en-US"/>
        </w:rPr>
        <w:t>Figure 1</w:t>
      </w:r>
    </w:p>
    <w:p w:rsidR="0044762A" w:rsidRPr="00E05C26" w:rsidRDefault="0044762A" w:rsidP="00AB7A23">
      <w:pPr>
        <w:spacing w:line="360" w:lineRule="auto"/>
        <w:contextualSpacing/>
        <w:jc w:val="both"/>
        <w:rPr>
          <w:rFonts w:asciiTheme="majorHAnsi" w:hAnsiTheme="majorHAnsi"/>
          <w:bCs/>
          <w:iCs/>
          <w:highlight w:val="green"/>
        </w:rPr>
      </w:pPr>
      <w:r>
        <w:rPr>
          <w:rFonts w:asciiTheme="majorHAnsi" w:hAnsiTheme="majorHAnsi" w:cs="Helvetica"/>
          <w:highlight w:val="green"/>
          <w:lang w:val="en-US"/>
        </w:rPr>
        <w:t xml:space="preserve">The lines in figure 1 are constructed with a </w:t>
      </w:r>
      <w:proofErr w:type="spellStart"/>
      <w:r>
        <w:rPr>
          <w:rFonts w:asciiTheme="majorHAnsi" w:hAnsiTheme="majorHAnsi" w:cs="Helvetica"/>
          <w:highlight w:val="green"/>
          <w:lang w:val="en-US"/>
        </w:rPr>
        <w:t>Bézier</w:t>
      </w:r>
      <w:proofErr w:type="spellEnd"/>
      <w:r>
        <w:rPr>
          <w:rFonts w:asciiTheme="majorHAnsi" w:hAnsiTheme="majorHAnsi" w:cs="Helvetica"/>
          <w:highlight w:val="green"/>
          <w:lang w:val="en-US"/>
        </w:rPr>
        <w:t xml:space="preserve"> algorithm, which is routinely used by </w:t>
      </w:r>
      <w:r w:rsidRPr="0044762A">
        <w:rPr>
          <w:rFonts w:asciiTheme="majorHAnsi" w:hAnsiTheme="majorHAnsi" w:cs="Helvetica"/>
          <w:highlight w:val="green"/>
          <w:lang w:val="en-US"/>
        </w:rPr>
        <w:t>Microsof</w:t>
      </w:r>
      <w:r>
        <w:rPr>
          <w:rFonts w:asciiTheme="majorHAnsi" w:hAnsiTheme="majorHAnsi" w:cs="Helvetica"/>
          <w:highlight w:val="green"/>
          <w:lang w:val="en-US"/>
        </w:rPr>
        <w:t>t</w:t>
      </w:r>
      <w:r w:rsidRPr="0044762A">
        <w:rPr>
          <w:rFonts w:asciiTheme="majorHAnsi" w:hAnsiTheme="majorHAnsi" w:cs="Helvetica"/>
          <w:highlight w:val="green"/>
          <w:lang w:val="en-US"/>
        </w:rPr>
        <w:t>® Excel®. The B</w:t>
      </w:r>
      <w:r w:rsidRPr="0044762A">
        <w:rPr>
          <w:rFonts w:asciiTheme="majorHAnsi" w:hAnsiTheme="majorHAnsi"/>
          <w:bCs/>
          <w:iCs/>
          <w:highlight w:val="green"/>
        </w:rPr>
        <w:t>ézier curve construction adds a smoothed visual effect to the curves, but guarantees that the line passes throug</w:t>
      </w:r>
      <w:r>
        <w:rPr>
          <w:rFonts w:asciiTheme="majorHAnsi" w:hAnsiTheme="majorHAnsi"/>
          <w:bCs/>
          <w:iCs/>
          <w:highlight w:val="green"/>
        </w:rPr>
        <w:t>h</w:t>
      </w:r>
      <w:r w:rsidRPr="0044762A">
        <w:rPr>
          <w:rFonts w:asciiTheme="majorHAnsi" w:hAnsiTheme="majorHAnsi"/>
          <w:bCs/>
          <w:iCs/>
          <w:highlight w:val="green"/>
        </w:rPr>
        <w:t xml:space="preserve"> all</w:t>
      </w:r>
      <w:r>
        <w:rPr>
          <w:rFonts w:asciiTheme="majorHAnsi" w:hAnsiTheme="majorHAnsi"/>
          <w:bCs/>
          <w:iCs/>
          <w:highlight w:val="green"/>
        </w:rPr>
        <w:t xml:space="preserve"> the</w:t>
      </w:r>
      <w:r w:rsidRPr="0044762A">
        <w:rPr>
          <w:rFonts w:asciiTheme="majorHAnsi" w:hAnsiTheme="majorHAnsi"/>
          <w:bCs/>
          <w:iCs/>
          <w:highlight w:val="green"/>
        </w:rPr>
        <w:t xml:space="preserve"> individual recorded values.</w:t>
      </w:r>
    </w:p>
    <w:p w:rsidR="00C71657" w:rsidRDefault="00C71657" w:rsidP="00AB7A23">
      <w:pPr>
        <w:spacing w:line="360" w:lineRule="auto"/>
        <w:contextualSpacing/>
        <w:jc w:val="both"/>
        <w:rPr>
          <w:rFonts w:asciiTheme="majorHAnsi" w:hAnsiTheme="majorHAnsi"/>
          <w:bCs/>
          <w:iCs/>
          <w:highlight w:val="green"/>
        </w:rPr>
      </w:pPr>
    </w:p>
    <w:p w:rsidR="0044762A" w:rsidRPr="00E05C26" w:rsidRDefault="0044762A" w:rsidP="00AB7A23">
      <w:pPr>
        <w:spacing w:line="360" w:lineRule="auto"/>
        <w:contextualSpacing/>
        <w:jc w:val="both"/>
        <w:rPr>
          <w:rFonts w:asciiTheme="majorHAnsi" w:hAnsiTheme="majorHAnsi"/>
          <w:bCs/>
          <w:iCs/>
          <w:highlight w:val="green"/>
        </w:rPr>
      </w:pPr>
    </w:p>
    <w:p w:rsidR="008F7141" w:rsidRPr="000C5C7A" w:rsidRDefault="008F7141" w:rsidP="00AB7A23">
      <w:pPr>
        <w:spacing w:line="360" w:lineRule="auto"/>
        <w:contextualSpacing/>
        <w:jc w:val="both"/>
        <w:rPr>
          <w:rFonts w:asciiTheme="majorHAnsi" w:hAnsiTheme="majorHAnsi"/>
          <w:bCs/>
          <w:iCs/>
          <w:highlight w:val="green"/>
          <w:u w:val="single"/>
        </w:rPr>
      </w:pPr>
      <w:r w:rsidRPr="000C5C7A">
        <w:rPr>
          <w:rFonts w:asciiTheme="majorHAnsi" w:hAnsiTheme="majorHAnsi"/>
          <w:bCs/>
          <w:iCs/>
          <w:highlight w:val="green"/>
          <w:u w:val="single"/>
        </w:rPr>
        <w:t xml:space="preserve">Multivariate </w:t>
      </w:r>
      <w:r w:rsidR="0076767C" w:rsidRPr="000C5C7A">
        <w:rPr>
          <w:rFonts w:asciiTheme="majorHAnsi" w:hAnsiTheme="majorHAnsi"/>
          <w:bCs/>
          <w:iCs/>
          <w:highlight w:val="green"/>
          <w:u w:val="single"/>
        </w:rPr>
        <w:t>regression model</w:t>
      </w:r>
    </w:p>
    <w:p w:rsidR="0076767C" w:rsidRPr="00E05C26" w:rsidRDefault="0076767C" w:rsidP="00AB7A23">
      <w:pPr>
        <w:spacing w:line="360" w:lineRule="auto"/>
        <w:contextualSpacing/>
        <w:jc w:val="both"/>
        <w:rPr>
          <w:rFonts w:asciiTheme="majorHAnsi" w:hAnsiTheme="majorHAnsi"/>
          <w:bCs/>
          <w:iCs/>
          <w:highlight w:val="green"/>
          <w:u w:val="single"/>
        </w:rPr>
      </w:pPr>
      <w:r w:rsidRPr="00E05C26">
        <w:rPr>
          <w:rFonts w:asciiTheme="majorHAnsi" w:hAnsiTheme="majorHAnsi"/>
          <w:bCs/>
          <w:iCs/>
          <w:highlight w:val="green"/>
        </w:rPr>
        <w:t>Nadir change in diaphragm thickness as the depend</w:t>
      </w:r>
      <w:bookmarkStart w:id="1" w:name="_GoBack"/>
      <w:bookmarkEnd w:id="1"/>
      <w:r w:rsidRPr="00E05C26">
        <w:rPr>
          <w:rFonts w:asciiTheme="majorHAnsi" w:hAnsiTheme="majorHAnsi"/>
          <w:bCs/>
          <w:iCs/>
          <w:highlight w:val="green"/>
        </w:rPr>
        <w:t>ent variable</w:t>
      </w:r>
      <w:r w:rsidR="00DF34C3" w:rsidRPr="00E05C26">
        <w:rPr>
          <w:rFonts w:asciiTheme="majorHAnsi" w:hAnsiTheme="majorHAnsi"/>
          <w:bCs/>
          <w:iCs/>
          <w:highlight w:val="green"/>
        </w:rPr>
        <w:t>:</w:t>
      </w:r>
    </w:p>
    <w:tbl>
      <w:tblPr>
        <w:tblW w:w="6400" w:type="dxa"/>
        <w:tblInd w:w="55" w:type="dxa"/>
        <w:tblCellMar>
          <w:left w:w="70" w:type="dxa"/>
          <w:right w:w="70" w:type="dxa"/>
        </w:tblCellMar>
        <w:tblLook w:val="04A0"/>
      </w:tblPr>
      <w:tblGrid>
        <w:gridCol w:w="3700"/>
        <w:gridCol w:w="2000"/>
        <w:gridCol w:w="700"/>
      </w:tblGrid>
      <w:tr w:rsidR="0076767C" w:rsidRPr="00E05C26" w:rsidTr="0076767C">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Parameter</w:t>
            </w:r>
          </w:p>
        </w:tc>
        <w:tc>
          <w:tcPr>
            <w:tcW w:w="2000" w:type="dxa"/>
            <w:tcBorders>
              <w:top w:val="single" w:sz="4" w:space="0" w:color="auto"/>
              <w:left w:val="nil"/>
              <w:bottom w:val="single" w:sz="4" w:space="0" w:color="auto"/>
              <w:right w:val="nil"/>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B (unstandardized)</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67C" w:rsidRPr="00E05C26" w:rsidRDefault="0076767C" w:rsidP="0076767C">
            <w:pPr>
              <w:rPr>
                <w:rFonts w:asciiTheme="majorHAnsi" w:eastAsia="Times New Roman" w:hAnsiTheme="majorHAnsi" w:cs="Times New Roman"/>
                <w:i/>
                <w:iCs/>
                <w:color w:val="000000"/>
                <w:highlight w:val="green"/>
                <w:lang w:val="nl-BE"/>
              </w:rPr>
            </w:pPr>
            <w:r w:rsidRPr="00E05C26">
              <w:rPr>
                <w:rFonts w:asciiTheme="majorHAnsi" w:eastAsia="Times New Roman" w:hAnsiTheme="majorHAnsi" w:cs="Times New Roman"/>
                <w:i/>
                <w:iCs/>
                <w:color w:val="000000"/>
                <w:highlight w:val="green"/>
                <w:lang w:val="nl-BE"/>
              </w:rPr>
              <w:t>P</w:t>
            </w:r>
          </w:p>
        </w:tc>
      </w:tr>
      <w:tr w:rsidR="0076767C" w:rsidRPr="00E05C26" w:rsidTr="0076767C">
        <w:trPr>
          <w:trHeight w:val="300"/>
        </w:trPr>
        <w:tc>
          <w:tcPr>
            <w:tcW w:w="3700" w:type="dxa"/>
            <w:tcBorders>
              <w:top w:val="nil"/>
              <w:left w:val="nil"/>
              <w:bottom w:val="nil"/>
              <w:right w:val="single" w:sz="4" w:space="0" w:color="auto"/>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Corticosteroid administration</w:t>
            </w:r>
          </w:p>
        </w:tc>
        <w:tc>
          <w:tcPr>
            <w:tcW w:w="2000" w:type="dxa"/>
            <w:tcBorders>
              <w:top w:val="nil"/>
              <w:left w:val="nil"/>
              <w:bottom w:val="nil"/>
              <w:right w:val="nil"/>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1.920</w:t>
            </w:r>
          </w:p>
        </w:tc>
        <w:tc>
          <w:tcPr>
            <w:tcW w:w="700" w:type="dxa"/>
            <w:tcBorders>
              <w:top w:val="nil"/>
              <w:left w:val="single" w:sz="4" w:space="0" w:color="auto"/>
              <w:bottom w:val="nil"/>
              <w:right w:val="nil"/>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0.730</w:t>
            </w:r>
          </w:p>
        </w:tc>
      </w:tr>
      <w:tr w:rsidR="0076767C" w:rsidRPr="00E05C26" w:rsidTr="0076767C">
        <w:trPr>
          <w:trHeight w:val="300"/>
        </w:trPr>
        <w:tc>
          <w:tcPr>
            <w:tcW w:w="3700" w:type="dxa"/>
            <w:tcBorders>
              <w:top w:val="nil"/>
              <w:left w:val="nil"/>
              <w:bottom w:val="nil"/>
              <w:right w:val="single" w:sz="4" w:space="0" w:color="auto"/>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Percentage of time in controlled MV</w:t>
            </w:r>
          </w:p>
        </w:tc>
        <w:tc>
          <w:tcPr>
            <w:tcW w:w="2000" w:type="dxa"/>
            <w:tcBorders>
              <w:top w:val="nil"/>
              <w:left w:val="nil"/>
              <w:bottom w:val="nil"/>
              <w:right w:val="nil"/>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0.061</w:t>
            </w:r>
          </w:p>
        </w:tc>
        <w:tc>
          <w:tcPr>
            <w:tcW w:w="700" w:type="dxa"/>
            <w:tcBorders>
              <w:top w:val="nil"/>
              <w:left w:val="single" w:sz="4" w:space="0" w:color="auto"/>
              <w:bottom w:val="nil"/>
              <w:right w:val="nil"/>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0.513</w:t>
            </w:r>
          </w:p>
        </w:tc>
      </w:tr>
      <w:tr w:rsidR="0076767C" w:rsidRPr="00E05C26" w:rsidTr="0076767C">
        <w:trPr>
          <w:trHeight w:val="300"/>
        </w:trPr>
        <w:tc>
          <w:tcPr>
            <w:tcW w:w="3700" w:type="dxa"/>
            <w:tcBorders>
              <w:top w:val="nil"/>
              <w:left w:val="nil"/>
              <w:bottom w:val="nil"/>
              <w:right w:val="single" w:sz="4" w:space="0" w:color="auto"/>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Aminoglycoside administration</w:t>
            </w:r>
          </w:p>
        </w:tc>
        <w:tc>
          <w:tcPr>
            <w:tcW w:w="2000" w:type="dxa"/>
            <w:tcBorders>
              <w:top w:val="nil"/>
              <w:left w:val="nil"/>
              <w:bottom w:val="nil"/>
              <w:right w:val="nil"/>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9.245</w:t>
            </w:r>
          </w:p>
        </w:tc>
        <w:tc>
          <w:tcPr>
            <w:tcW w:w="700" w:type="dxa"/>
            <w:tcBorders>
              <w:top w:val="nil"/>
              <w:left w:val="single" w:sz="4" w:space="0" w:color="auto"/>
              <w:bottom w:val="nil"/>
              <w:right w:val="nil"/>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0.106</w:t>
            </w:r>
          </w:p>
        </w:tc>
      </w:tr>
      <w:tr w:rsidR="0076767C" w:rsidRPr="0076767C" w:rsidTr="0076767C">
        <w:trPr>
          <w:trHeight w:val="300"/>
        </w:trPr>
        <w:tc>
          <w:tcPr>
            <w:tcW w:w="3700" w:type="dxa"/>
            <w:tcBorders>
              <w:top w:val="nil"/>
              <w:left w:val="nil"/>
              <w:bottom w:val="nil"/>
              <w:right w:val="single" w:sz="4" w:space="0" w:color="auto"/>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Sepsis on admission</w:t>
            </w:r>
          </w:p>
        </w:tc>
        <w:tc>
          <w:tcPr>
            <w:tcW w:w="2000" w:type="dxa"/>
            <w:tcBorders>
              <w:top w:val="nil"/>
              <w:left w:val="nil"/>
              <w:bottom w:val="nil"/>
              <w:right w:val="nil"/>
            </w:tcBorders>
            <w:shd w:val="clear" w:color="auto" w:fill="auto"/>
            <w:noWrap/>
            <w:vAlign w:val="bottom"/>
            <w:hideMark/>
          </w:tcPr>
          <w:p w:rsidR="0076767C" w:rsidRPr="00E05C26" w:rsidRDefault="0076767C" w:rsidP="0076767C">
            <w:pPr>
              <w:rPr>
                <w:rFonts w:asciiTheme="majorHAnsi" w:eastAsia="Times New Roman" w:hAnsiTheme="majorHAnsi" w:cs="Times New Roman"/>
                <w:color w:val="000000"/>
                <w:highlight w:val="green"/>
                <w:lang w:val="nl-BE"/>
              </w:rPr>
            </w:pPr>
            <w:r w:rsidRPr="00E05C26">
              <w:rPr>
                <w:rFonts w:asciiTheme="majorHAnsi" w:eastAsia="Times New Roman" w:hAnsiTheme="majorHAnsi" w:cs="Times New Roman"/>
                <w:color w:val="000000"/>
                <w:highlight w:val="green"/>
                <w:lang w:val="nl-BE"/>
              </w:rPr>
              <w:t>3.922</w:t>
            </w:r>
          </w:p>
        </w:tc>
        <w:tc>
          <w:tcPr>
            <w:tcW w:w="700" w:type="dxa"/>
            <w:tcBorders>
              <w:top w:val="nil"/>
              <w:left w:val="single" w:sz="4" w:space="0" w:color="auto"/>
              <w:bottom w:val="nil"/>
              <w:right w:val="nil"/>
            </w:tcBorders>
            <w:shd w:val="clear" w:color="auto" w:fill="auto"/>
            <w:noWrap/>
            <w:vAlign w:val="bottom"/>
            <w:hideMark/>
          </w:tcPr>
          <w:p w:rsidR="0076767C" w:rsidRPr="0076767C" w:rsidRDefault="0076767C" w:rsidP="0076767C">
            <w:pPr>
              <w:rPr>
                <w:rFonts w:asciiTheme="majorHAnsi" w:eastAsia="Times New Roman" w:hAnsiTheme="majorHAnsi" w:cs="Times New Roman"/>
                <w:color w:val="000000"/>
                <w:lang w:val="nl-BE"/>
              </w:rPr>
            </w:pPr>
            <w:r w:rsidRPr="00E05C26">
              <w:rPr>
                <w:rFonts w:asciiTheme="majorHAnsi" w:eastAsia="Times New Roman" w:hAnsiTheme="majorHAnsi" w:cs="Times New Roman"/>
                <w:color w:val="000000"/>
                <w:highlight w:val="green"/>
                <w:lang w:val="nl-BE"/>
              </w:rPr>
              <w:t>0.468</w:t>
            </w:r>
          </w:p>
        </w:tc>
      </w:tr>
    </w:tbl>
    <w:p w:rsidR="008F7141" w:rsidRPr="0076767C" w:rsidRDefault="008F7141" w:rsidP="00905676">
      <w:pPr>
        <w:spacing w:line="360" w:lineRule="auto"/>
        <w:contextualSpacing/>
        <w:jc w:val="both"/>
        <w:rPr>
          <w:rFonts w:asciiTheme="majorHAnsi" w:hAnsiTheme="majorHAnsi"/>
          <w:bCs/>
          <w:iCs/>
        </w:rPr>
      </w:pPr>
    </w:p>
    <w:sectPr w:rsidR="008F7141" w:rsidRPr="0076767C" w:rsidSect="00A8758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Mincho"/>
    <w:charset w:val="4E"/>
    <w:family w:val="auto"/>
    <w:pitch w:val="variable"/>
    <w:sig w:usb0="00000000"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171F57"/>
    <w:rsid w:val="000C5C7A"/>
    <w:rsid w:val="00171F57"/>
    <w:rsid w:val="00184924"/>
    <w:rsid w:val="00287852"/>
    <w:rsid w:val="0044762A"/>
    <w:rsid w:val="004D3155"/>
    <w:rsid w:val="004F0B2C"/>
    <w:rsid w:val="005A7889"/>
    <w:rsid w:val="006A32D7"/>
    <w:rsid w:val="0076767C"/>
    <w:rsid w:val="008D34CF"/>
    <w:rsid w:val="008F7141"/>
    <w:rsid w:val="00905676"/>
    <w:rsid w:val="00950386"/>
    <w:rsid w:val="009C06F1"/>
    <w:rsid w:val="00A87584"/>
    <w:rsid w:val="00AB7A23"/>
    <w:rsid w:val="00AE07DF"/>
    <w:rsid w:val="00C0634E"/>
    <w:rsid w:val="00C71657"/>
    <w:rsid w:val="00C969E6"/>
    <w:rsid w:val="00DF34C3"/>
    <w:rsid w:val="00E05C26"/>
    <w:rsid w:val="00E65185"/>
    <w:rsid w:val="00F95EF4"/>
    <w:rsid w:val="00FD4641"/>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AE07DF"/>
    <w:pPr>
      <w:spacing w:after="150"/>
    </w:pPr>
    <w:rPr>
      <w:rFonts w:ascii="Helvetica" w:eastAsia="Times New Roman" w:hAnsi="Helvetica" w:cs="Times New Roman"/>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1">
    <w:name w:val="para1"/>
    <w:basedOn w:val="Normaal"/>
    <w:rsid w:val="00AE07DF"/>
    <w:pPr>
      <w:spacing w:after="150"/>
    </w:pPr>
    <w:rPr>
      <w:rFonts w:ascii="Helvetica" w:eastAsia="Times New Roman" w:hAnsi="Helvetica" w:cs="Times New Roman"/>
      <w:lang w:val="nl-BE" w:eastAsia="nl-BE"/>
    </w:rPr>
  </w:style>
</w:styles>
</file>

<file path=word/webSettings.xml><?xml version="1.0" encoding="utf-8"?>
<w:webSettings xmlns:r="http://schemas.openxmlformats.org/officeDocument/2006/relationships" xmlns:w="http://schemas.openxmlformats.org/wordprocessingml/2006/main">
  <w:divs>
    <w:div w:id="1269192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Schepens</dc:creator>
  <cp:keywords/>
  <dc:description/>
  <cp:lastModifiedBy>edeorico</cp:lastModifiedBy>
  <cp:revision>15</cp:revision>
  <dcterms:created xsi:type="dcterms:W3CDTF">2015-10-23T08:10:00Z</dcterms:created>
  <dcterms:modified xsi:type="dcterms:W3CDTF">2015-11-21T07:52:00Z</dcterms:modified>
</cp:coreProperties>
</file>