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28" w:tblpY="2153"/>
        <w:tblOverlap w:val="never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343"/>
        <w:gridCol w:w="63"/>
        <w:gridCol w:w="15"/>
        <w:gridCol w:w="2502"/>
        <w:gridCol w:w="108"/>
        <w:gridCol w:w="2442"/>
        <w:gridCol w:w="783"/>
        <w:gridCol w:w="223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vAlign w:val="top"/>
          </w:tcPr>
          <w:p>
            <w:pPr>
              <w:tabs>
                <w:tab w:val="left" w:pos="247"/>
                <w:tab w:val="center" w:pos="6991"/>
              </w:tabs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-430530</wp:posOffset>
                      </wp:positionV>
                      <wp:extent cx="8324850" cy="32766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2485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Lines="0" w:after="0" w:afterLines="0"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Additional File 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: Criteria for assessing chemotherapy-induced dermatologic toxicity 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  <w:t>(NCI CTCAE)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4.65pt;margin-top:-33.9pt;height:25.8pt;width:655.5pt;z-index:251659264;mso-width-relative:page;mso-height-relative:page;" filled="f" stroked="f" coordsize="21600,21600" o:gfxdata="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QSynNkAAAAMAQAADwAAAAAAAAABACAA&#10;AAAiAAAAZHJzL2Rvd25yZXYueG1sUEsBAhQAFAAAAAgAh07iQO3WpE6aAQAACQMAAA4AAAAAAAAA&#10;AQAgAAAAKAEAAGRycy9lMm9Eb2MueG1sUEsFBgAAAAAGAAYAWQEAAD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Additional File 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: Criteria for assessing chemotherapy-induced dermatologic toxicity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(NCI CTCAE)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Grades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54" w:type="dxa"/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Adverse events</w:t>
            </w:r>
          </w:p>
        </w:tc>
        <w:tc>
          <w:tcPr>
            <w:tcW w:w="2343" w:type="dxa"/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gridSpan w:val="3"/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Bullous dermatitis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Asymptomatic; blisters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&lt;10% BSA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Blisters covering 10 - 30%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BSA; painful blisters; limiting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instrumental ADL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Blisters covering &gt;30% BSA;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limiting self care ADL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Blisters covering &gt;30% BSA;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with fluid or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electrolyte abnormalities; ICU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care or burn unit indicated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inflammation of the skin characterized by the presence of bullae which are filled with fluid.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Dry skin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&lt;10% BSA and no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erythema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pruritus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10 - 30% BSA and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with erythema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pruritus; limiting instrumental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ADL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&gt;30% BSA and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with pruritus;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limiting self care ADL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flaky and dull skin; the pores are generally fine, the texture is a papery thin texture.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Pruritus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Mild or localized; topical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intervention indicated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Intense or widespread;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intermittent; skin changes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from scratching (e.g., edema,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papulation,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excoriations,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lichenification,oozing/crusts);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oral intervention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indicated;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limiting instrumental ADL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Intense or widespread;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constant; limiting self care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ADL or sleep; oral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corticosteroid or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immunosuppressive therapy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indicated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an intense itching sensation.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Skin ulceration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Combined area of ulcers &lt;1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cm; nonblanchable erythema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of intact skin with associated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warmth or edema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Combined area of ulcers 1 - 2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cm; partial thickness skin loss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involving skin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subcutaneous fat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Combined area of ulcers &gt;2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cm; full-thickness skin loss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involving damage to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necrosis of subcutaneous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tissue that may extend down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to fascia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Any size ulcer with extensive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destruction, tissue necrosis,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damage to muscle, bone,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supporting structures with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without full thickness skin loss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circumscribed, inflammatory and necrotic erosive lesion on the skin.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Rash acneiform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Papules and/or pustules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&lt;10% BSA, which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may or may not be associated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 symptoms of pruritus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tenderness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Papules and/or pustules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10 - 30% BSA, which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may or may not be associated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 symptoms of pruritus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tenderness; associated with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psychosocial impact; limiting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instrumental ADL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Papules and/or pustules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&gt;30% BSA, which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may or may not be associated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 symptoms of pruritus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tenderness; limiting self care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ADL; associated with local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superinfection with oral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antibiotics indicated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Papules and/or pustules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 any % BSA, which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may or may not be associated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 symptoms of pruritus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tenderness and are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with extensive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superinfection with IV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antibiotics indicated; life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threatening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consequences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an eruption of papules and pustules, typically appearing in face, scalp, upper chest and back.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Rash maculo-papular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Macules/papules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covering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&lt;10% BSA with or without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symptoms (e.g., pruritus,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burning, tightness)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Macules/papules covering 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- 30% BSA with or without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symptoms (e.g., pruritus,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burning,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tightness); limiting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instrumental ADL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Macules/papules covering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&gt;30% BSA with or without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symptoms; limiting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self care ADL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the presence of macules (flat) and papules (elevated). Also known as morbillform rash, it is one of the most common cutaneous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adverse events, frequently affecting the upper trunk, spreading centripetally and associated with pruritus.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Pain of skin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Mild pain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 xml:space="preserve"> Moderate pain; limiting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instrumental ADL</w:t>
            </w:r>
          </w:p>
        </w:tc>
        <w:tc>
          <w:tcPr>
            <w:tcW w:w="2550" w:type="dxa"/>
            <w:gridSpan w:val="2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Severe pain; limiting self care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ADL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marked discomfort sensation in the skin.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Skin hyperpigmentation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Hyperpigmentation covering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&lt;10% BSA; no psychosocial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impact</w:t>
            </w:r>
          </w:p>
        </w:tc>
        <w:tc>
          <w:tcPr>
            <w:tcW w:w="2688" w:type="dxa"/>
            <w:gridSpan w:val="4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Hyperpigmentation covering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&gt;10% BSA; associated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psychosocial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impact</w:t>
            </w:r>
          </w:p>
        </w:tc>
        <w:tc>
          <w:tcPr>
            <w:tcW w:w="3225" w:type="dxa"/>
            <w:gridSpan w:val="2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darkening of the skin due to excessive melanin deposition.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Palmar-plantar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erythrodysesthesia syndrome</w:t>
            </w:r>
          </w:p>
        </w:tc>
        <w:tc>
          <w:tcPr>
            <w:tcW w:w="2421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Minimal skin changes or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dermatitis (e.g,erythema,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edema,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hyperkeratosis)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without pain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Skin changes (e.g., peeling,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blisters, bleeding, edema,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hyperkeratosis) with pain;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limiting instrumental ADL</w:t>
            </w:r>
          </w:p>
        </w:tc>
        <w:tc>
          <w:tcPr>
            <w:tcW w:w="3225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Severe skin changes (e.g.,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peeling, blisters, bleeding,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edema, or hyperkeratosis)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with pain; limiting self care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ADL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redness, marked discomfort, swelling, and tingling in the palms of the hands or the soles of the feet.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Scalp pain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Scalp pain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Moderate pain; limiting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instrumental ADL</w:t>
            </w:r>
          </w:p>
        </w:tc>
        <w:tc>
          <w:tcPr>
            <w:tcW w:w="3333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Severe pain; limiting self care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ADL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marked discomfort sensation in the skin covering the top and the back of the head.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Alopecia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Hair loss of &lt;50% of normal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for that individual that is not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obvious from a distance but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only on close inspection; a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different hair style may be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required to cover the hair loss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but it does not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require a wig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hair piece to camouflage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Hair loss of &gt;=50% normal for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that individual that is readily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apparent to others; a wig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hair piece is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necessary if the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patient desires to completely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camouflage the hair loss;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with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psychosocial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impact</w:t>
            </w:r>
          </w:p>
        </w:tc>
        <w:tc>
          <w:tcPr>
            <w:tcW w:w="3333" w:type="dxa"/>
            <w:gridSpan w:val="3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a decrease in density of hair compared to normal for a given individual at a given age and body location.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Paronychia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Nail fold edema or erythema;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disruption of the cuticle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Localized intervention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indicated; oral intervention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indicated (e.g., antibiotic,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antifungal, antiviral); nail fold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edema or erythema with pain;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 with discharge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nail plate separation; limiting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instrumental ADL</w:t>
            </w:r>
          </w:p>
        </w:tc>
        <w:tc>
          <w:tcPr>
            <w:tcW w:w="3333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Surgical intervention or IV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antibiotics indicated; limiting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self care ADL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an infectious process involving the soft tissues around the nail.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Nail discoloration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Asymptomatic; clinical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diagnostic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observations only;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intervention not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indicated</w:t>
            </w:r>
          </w:p>
        </w:tc>
        <w:tc>
          <w:tcPr>
            <w:tcW w:w="2517" w:type="dxa"/>
            <w:gridSpan w:val="2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Nail discolorationcovering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&gt;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0% ; associated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psychosocial impact</w:t>
            </w:r>
          </w:p>
        </w:tc>
        <w:tc>
          <w:tcPr>
            <w:tcW w:w="3333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a change in the color of the nail plate.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Nail ridging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Asymptomatic; clinical or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diagnostic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observations only;</w:t>
            </w:r>
          </w:p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intervention not indicated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Arial" w:cs="Times New Roman"/>
                <w:sz w:val="21"/>
                <w:szCs w:val="21"/>
                <w:lang w:val="en-US" w:eastAsia="zh-CN"/>
              </w:rPr>
              <w:t>Distortion of nail shape;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associated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psychosocial impact</w:t>
            </w:r>
          </w:p>
        </w:tc>
        <w:tc>
          <w:tcPr>
            <w:tcW w:w="3333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right="0" w:rightChars="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vertical or horizontal ridges on the nails.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Nail loss</w:t>
            </w:r>
          </w:p>
        </w:tc>
        <w:tc>
          <w:tcPr>
            <w:tcW w:w="2343" w:type="dxa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Asymptomatic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separation of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the nail bed from the nail plate</w:t>
            </w:r>
          </w:p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or nail loss</w:t>
            </w:r>
          </w:p>
        </w:tc>
        <w:tc>
          <w:tcPr>
            <w:tcW w:w="2580" w:type="dxa"/>
            <w:gridSpan w:val="3"/>
            <w:tcBorders>
              <w:bottom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Asymptomatic separation of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the nail bed from the nail plate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or nail loss</w:t>
            </w:r>
          </w:p>
        </w:tc>
        <w:tc>
          <w:tcPr>
            <w:tcW w:w="3333" w:type="dxa"/>
            <w:gridSpan w:val="3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2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35" w:type="dxa"/>
            <w:tcBorders>
              <w:bottom w:val="nil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7" w:type="dxa"/>
            <w:gridSpan w:val="10"/>
            <w:tcBorders>
              <w:top w:val="nil"/>
            </w:tcBorders>
            <w:vAlign w:val="top"/>
          </w:tcPr>
          <w:p>
            <w:pPr>
              <w:ind w:right="0" w:rightChars="0"/>
              <w:jc w:val="left"/>
              <w:rPr>
                <w:rFonts w:hint="default" w:ascii="Times New Roman" w:hAnsi="Times New Roman" w:eastAsia="Arial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Arial" w:cs="Times New Roman"/>
                <w:sz w:val="21"/>
                <w:szCs w:val="21"/>
              </w:rPr>
              <w:t>Definition: A disorder characterized by loss of all or a portion of the nail.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hint="eastAsia" w:ascii="Times New Roman" w:hAnsi="Times New Roman" w:eastAsia="宋体" w:cs="Times New Roman"/>
          <w:b/>
          <w:bCs/>
          <w:sz w:val="18"/>
          <w:szCs w:val="18"/>
          <w:lang w:val="en-US" w:eastAsia="zh-CN"/>
        </w:rPr>
      </w:pPr>
    </w:p>
    <w:p>
      <w:pPr>
        <w:widowControl w:val="0"/>
        <w:autoSpaceDE w:val="0"/>
        <w:autoSpaceDN w:val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18"/>
          <w:szCs w:val="18"/>
          <w:lang w:val="en-US" w:eastAsia="zh-CN"/>
        </w:rPr>
        <w:t>Note: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Grade refers to the severity of the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dermatologic toxicity. Any means no symptoms, </w:t>
      </w:r>
      <w:r>
        <w:rPr>
          <w:rFonts w:hint="default" w:ascii="Times New Roman" w:hAnsi="Times New Roman" w:eastAsia="Calibri" w:cs="Times New Roman"/>
          <w:sz w:val="18"/>
          <w:szCs w:val="18"/>
        </w:rPr>
        <w:t>Mild; asymptomatic or mild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>symptoms; clinical or diagnostic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>observations only; intervention not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>indicated.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Grade 2 means Moderate; minimal, local or noninvasive intervention indicated; limiting age-appropriate instrumental ADL (refer to preparing meals, shopping for groceries or clothes, using the telephone, managing money, etc). Grade 3 means severe or medically significant but not immediately life-threatening; hospitalization or prolongation of hospitalization indicated; disabling; limiting self care ADL (refer to bathing, dressing and undressing, feeding self, using the toilet, taking medications, and not bedridden).</w:t>
      </w:r>
    </w:p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vACAS-R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nivers-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nivers-LightObliqu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44FD7"/>
    <w:rsid w:val="104A0067"/>
    <w:rsid w:val="76444F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2016-06-14T14:50:00Z</dcterms:created>
  <dc:creator>fk</dc:creator>
  <cp:lastModifiedBy>fk</cp:lastModifiedBy>
  <dcterms:modified xsi:type="dcterms:W3CDTF">2016-06-14T14:53:25Z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