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B18E8" w14:textId="77777777" w:rsidR="006316A3" w:rsidRPr="00DE02D5" w:rsidRDefault="00301D76" w:rsidP="004B5B19">
      <w:pPr>
        <w:autoSpaceDE w:val="0"/>
        <w:autoSpaceDN w:val="0"/>
        <w:adjustRightInd w:val="0"/>
        <w:spacing w:line="480" w:lineRule="auto"/>
        <w:jc w:val="left"/>
        <w:rPr>
          <w:rFonts w:eastAsia="ＭＳ 明朝" w:cstheme="majorHAnsi"/>
          <w:b/>
          <w:bCs/>
          <w:color w:val="000000" w:themeColor="text1"/>
        </w:rPr>
      </w:pPr>
      <w:r w:rsidRPr="00DE02D5">
        <w:rPr>
          <w:rFonts w:eastAsia="ＭＳ 明朝" w:cstheme="majorHAnsi"/>
          <w:b/>
          <w:bCs/>
          <w:color w:val="000000" w:themeColor="text1"/>
        </w:rPr>
        <w:t>Supplementary m</w:t>
      </w:r>
      <w:r w:rsidR="006316A3" w:rsidRPr="00DE02D5">
        <w:rPr>
          <w:rFonts w:eastAsia="ＭＳ 明朝" w:cstheme="majorHAnsi"/>
          <w:b/>
          <w:bCs/>
          <w:color w:val="000000" w:themeColor="text1"/>
        </w:rPr>
        <w:t>ethods</w:t>
      </w:r>
    </w:p>
    <w:p w14:paraId="7BC7530B" w14:textId="77777777" w:rsidR="004B5B19" w:rsidRPr="00DE02D5" w:rsidRDefault="004B5B19" w:rsidP="004B5B19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ＭＳ 明朝" w:hAnsi="Times New Roman" w:cs="Times New Roman"/>
          <w:b/>
          <w:bCs/>
          <w:color w:val="000000" w:themeColor="text1"/>
        </w:rPr>
      </w:pPr>
      <w:r w:rsidRPr="00DE02D5">
        <w:rPr>
          <w:rFonts w:ascii="Times New Roman" w:eastAsia="ＭＳ 明朝" w:hAnsi="Times New Roman" w:cs="Times New Roman"/>
          <w:b/>
          <w:bCs/>
          <w:color w:val="000000" w:themeColor="text1"/>
        </w:rPr>
        <w:t>KOS14 and control samples</w:t>
      </w:r>
    </w:p>
    <w:p w14:paraId="28C9DA3D" w14:textId="00E1BD32" w:rsidR="004B5B19" w:rsidRPr="00DE02D5" w:rsidRDefault="004B5B19" w:rsidP="003C3A4D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ＭＳ 明朝" w:hAnsi="Times New Roman" w:cs="Times New Roman"/>
          <w:bCs/>
          <w:color w:val="000000" w:themeColor="text1"/>
        </w:rPr>
      </w:pP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We isolated genomic DNA from peripheral blood samples of three patients </w:t>
      </w:r>
      <w:r w:rsidRPr="00DE02D5">
        <w:rPr>
          <w:rFonts w:ascii="Times New Roman" w:eastAsia="ＭＳ 明朝" w:hAnsi="Times New Roman" w:cs="Times New Roman" w:hint="eastAsia"/>
          <w:bCs/>
          <w:color w:val="000000" w:themeColor="text1"/>
        </w:rPr>
        <w:t>molecularly diagnosed</w:t>
      </w: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as KOS14 </w:t>
      </w:r>
      <w:r w:rsidR="003C3A4D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with </w:t>
      </w:r>
      <w:r w:rsidR="00792F84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an </w:t>
      </w:r>
      <w:r w:rsidR="003C3A4D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epimutation (hypermethylation) affecting the normally unmethylated IG-DMR and </w:t>
      </w:r>
      <w:r w:rsidR="003C3A4D" w:rsidRPr="00DE02D5">
        <w:rPr>
          <w:rFonts w:ascii="Times New Roman" w:eastAsia="ＭＳ 明朝" w:hAnsi="Times New Roman" w:cs="Times New Roman"/>
          <w:bCs/>
          <w:i/>
          <w:color w:val="000000" w:themeColor="text1"/>
        </w:rPr>
        <w:t>MEG3</w:t>
      </w:r>
      <w:r w:rsidR="003C3A4D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-DMR of maternal origin </w:t>
      </w: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(Patient 1, 12-month-old male; Patient 2, 1-month-old male; and Patient 3, 1-month-old female: Patient 1 was previously described </w:t>
      </w:r>
      <w:r w:rsidR="00301D76" w:rsidRPr="00DE02D5">
        <w:rPr>
          <w:rFonts w:ascii="Times New Roman" w:eastAsia="ＭＳ 明朝" w:hAnsi="Times New Roman" w:cs="Times New Roman"/>
          <w:bCs/>
          <w:color w:val="000000" w:themeColor="text1"/>
        </w:rPr>
        <w:t>[1]</w:t>
      </w: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while Patients 2 and 3 were not reported)</w:t>
      </w:r>
      <w:r w:rsidRPr="00DE02D5">
        <w:rPr>
          <w:rFonts w:ascii="Times New Roman" w:eastAsia="ＭＳ 明朝" w:hAnsi="Times New Roman" w:cs="Times New Roman" w:hint="eastAsia"/>
          <w:bCs/>
          <w:color w:val="000000" w:themeColor="text1"/>
        </w:rPr>
        <w:t>.</w:t>
      </w: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For comparison, pooled blood DNA from 10 normal control subjects (5 males and 5 females, ranging from 1 month to 6 years old) was used. Also, purchased human brain genomic DNA from a </w:t>
      </w:r>
      <w:r w:rsidRPr="00DE02D5">
        <w:rPr>
          <w:rFonts w:ascii="Times New Roman" w:eastAsia="ＭＳ 明朝" w:hAnsi="Times New Roman" w:cs="Times New Roman" w:hint="eastAsia"/>
          <w:bCs/>
          <w:color w:val="000000" w:themeColor="text1"/>
        </w:rPr>
        <w:t>41</w:t>
      </w: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>-year-old male (</w:t>
      </w:r>
      <w:proofErr w:type="spellStart"/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>BioChain</w:t>
      </w:r>
      <w:proofErr w:type="spellEnd"/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, catalogue #D1234035, lot #B801123) was analysed because brain tissue carries the highest level of </w:t>
      </w:r>
      <w:r w:rsidRPr="00DE02D5">
        <w:rPr>
          <w:rFonts w:ascii="Times New Roman" w:eastAsia="ＭＳ 明朝" w:hAnsi="Times New Roman" w:cs="Times New Roman" w:hint="eastAsia"/>
          <w:bCs/>
          <w:color w:val="000000" w:themeColor="text1"/>
        </w:rPr>
        <w:t xml:space="preserve">5hmC </w:t>
      </w: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>among all tissues analysed so far</w:t>
      </w:r>
      <w:r w:rsidR="00301D76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[2, 3]</w:t>
      </w: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, and thus the distribution of 5hmC in </w:t>
      </w:r>
      <w:bookmarkStart w:id="0" w:name="_GoBack"/>
      <w:bookmarkEnd w:id="0"/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>brain was of particular interest.</w:t>
      </w:r>
    </w:p>
    <w:p w14:paraId="62C618C5" w14:textId="77777777" w:rsidR="004B5B19" w:rsidRPr="00DE02D5" w:rsidRDefault="004B5B19" w:rsidP="004B5B19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ＭＳ 明朝" w:hAnsi="Times New Roman" w:cs="Times New Roman"/>
          <w:b/>
          <w:bCs/>
          <w:color w:val="000000" w:themeColor="text1"/>
        </w:rPr>
      </w:pPr>
    </w:p>
    <w:p w14:paraId="64B129C3" w14:textId="77777777" w:rsidR="004B5B19" w:rsidRPr="00DE02D5" w:rsidRDefault="004B5B19" w:rsidP="004B5B19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ＭＳ 明朝" w:hAnsi="Times New Roman" w:cs="Times New Roman"/>
          <w:b/>
          <w:bCs/>
          <w:color w:val="000000" w:themeColor="text1"/>
        </w:rPr>
      </w:pPr>
      <w:r w:rsidRPr="00DE02D5">
        <w:rPr>
          <w:rFonts w:ascii="Times New Roman" w:eastAsia="ＭＳ 明朝" w:hAnsi="Times New Roman" w:cs="Times New Roman"/>
          <w:b/>
          <w:bCs/>
          <w:color w:val="000000" w:themeColor="text1"/>
        </w:rPr>
        <w:t>BS/</w:t>
      </w:r>
      <w:r w:rsidRPr="00DE02D5">
        <w:rPr>
          <w:rFonts w:ascii="Times New Roman" w:eastAsia="ＭＳ 明朝" w:hAnsi="Times New Roman" w:cs="Times New Roman" w:hint="eastAsia"/>
          <w:b/>
          <w:bCs/>
          <w:color w:val="000000" w:themeColor="text1"/>
        </w:rPr>
        <w:t>o</w:t>
      </w:r>
      <w:r w:rsidRPr="00DE02D5">
        <w:rPr>
          <w:rFonts w:ascii="Times New Roman" w:eastAsia="ＭＳ 明朝" w:hAnsi="Times New Roman" w:cs="Times New Roman"/>
          <w:b/>
          <w:bCs/>
          <w:color w:val="000000" w:themeColor="text1"/>
        </w:rPr>
        <w:t>xidative BS conversion</w:t>
      </w:r>
    </w:p>
    <w:p w14:paraId="65C56A2F" w14:textId="61B370FB" w:rsidR="003E3C8E" w:rsidRPr="00DE02D5" w:rsidRDefault="004B5B19" w:rsidP="003E3C8E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ＭＳ 明朝" w:hAnsi="Times New Roman" w:cs="Times New Roman"/>
          <w:bCs/>
          <w:color w:val="000000" w:themeColor="text1"/>
        </w:rPr>
      </w:pPr>
      <w:r w:rsidRPr="00DE02D5">
        <w:rPr>
          <w:rFonts w:ascii="Times" w:eastAsia="ＭＳ 明朝" w:hAnsi="Times" w:cs="Times"/>
          <w:color w:val="000000" w:themeColor="text1"/>
          <w:kern w:val="0"/>
        </w:rPr>
        <w:t xml:space="preserve">To accurately detect and quantitate the levels of 5mC and 5hmC, we applied </w:t>
      </w:r>
      <w:r w:rsidRPr="00DE02D5">
        <w:rPr>
          <w:rFonts w:ascii="Times" w:eastAsia="ＭＳ 明朝" w:hAnsi="Times" w:cs="Times" w:hint="eastAsia"/>
          <w:bCs/>
          <w:color w:val="000000" w:themeColor="text1"/>
          <w:kern w:val="0"/>
        </w:rPr>
        <w:t>o</w:t>
      </w:r>
      <w:r w:rsidRPr="00DE02D5">
        <w:rPr>
          <w:rFonts w:ascii="Times" w:eastAsia="ＭＳ 明朝" w:hAnsi="Times" w:cs="Times"/>
          <w:bCs/>
          <w:color w:val="000000" w:themeColor="text1"/>
          <w:kern w:val="0"/>
        </w:rPr>
        <w:t>xidative BS</w:t>
      </w:r>
      <w:r w:rsidRPr="00DE02D5">
        <w:rPr>
          <w:rFonts w:ascii="Times" w:eastAsia="ＭＳ 明朝" w:hAnsi="Times" w:cs="Times"/>
          <w:color w:val="000000" w:themeColor="text1"/>
          <w:kern w:val="0"/>
        </w:rPr>
        <w:t xml:space="preserve"> (oxBS) treatment </w:t>
      </w: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according to the ‘High-input oxBS-450K protocol’ as previously </w:t>
      </w: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lastRenderedPageBreak/>
        <w:t>described</w:t>
      </w:r>
      <w:r w:rsidR="00301D76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[4]</w:t>
      </w: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. Briefly, 4 μg DNA in a total volume of 50 µl was sheared with a Bioruptor Pico (Diagenode) for 5 cycles of 30 sec on/30 sec off. 10 </w:t>
      </w:r>
      <w:proofErr w:type="spellStart"/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>μl</w:t>
      </w:r>
      <w:proofErr w:type="spellEnd"/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of sheared DNA was run on a 2% agarose gel to confirm DNA fragmentation (≤ 10 kb). The remaining fragmented DNA (40 </w:t>
      </w:r>
      <w:proofErr w:type="spellStart"/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>μ</w:t>
      </w:r>
      <w:r w:rsidRPr="00DE02D5">
        <w:rPr>
          <w:rFonts w:ascii="Times New Roman" w:eastAsia="ＭＳ 明朝" w:hAnsi="Times New Roman" w:cs="Times New Roman" w:hint="eastAsia"/>
          <w:bCs/>
          <w:color w:val="000000" w:themeColor="text1"/>
        </w:rPr>
        <w:t>l</w:t>
      </w:r>
      <w:proofErr w:type="spellEnd"/>
      <w:r w:rsidRPr="00DE02D5">
        <w:rPr>
          <w:rFonts w:ascii="Times New Roman" w:eastAsia="ＭＳ 明朝" w:hAnsi="Times New Roman" w:cs="Times New Roman" w:hint="eastAsia"/>
          <w:bCs/>
          <w:color w:val="000000" w:themeColor="text1"/>
        </w:rPr>
        <w:t xml:space="preserve">) </w:t>
      </w: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was split into 2 × 20 </w:t>
      </w:r>
      <w:proofErr w:type="spellStart"/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>μl</w:t>
      </w:r>
      <w:proofErr w:type="spellEnd"/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aliquots and purified using Agencourt AMPure XP (Beckman Coulter). Each sample was processed either through the oxBS or BS-only workflow as outlined in the TrueMethyl24® Kit User Guide (version 3.1, Cambridge </w:t>
      </w:r>
      <w:proofErr w:type="spellStart"/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>Epigenetix</w:t>
      </w:r>
      <w:proofErr w:type="spellEnd"/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). </w:t>
      </w:r>
      <w:r w:rsidR="003265C3" w:rsidRPr="00DE02D5">
        <w:rPr>
          <w:rFonts w:ascii="Times New Roman" w:eastAsia="ＭＳ 明朝" w:hAnsi="Times New Roman" w:cs="Times New Roman"/>
          <w:bCs/>
          <w:color w:val="000000" w:themeColor="text1"/>
        </w:rPr>
        <w:t>The oxBS sample was buffer-exchanged by P6 Micro Bio-Spin Columns (</w:t>
      </w:r>
      <w:proofErr w:type="spellStart"/>
      <w:r w:rsidR="003265C3" w:rsidRPr="00DE02D5">
        <w:rPr>
          <w:rFonts w:ascii="Times New Roman" w:eastAsia="ＭＳ 明朝" w:hAnsi="Times New Roman" w:cs="Times New Roman"/>
          <w:bCs/>
          <w:color w:val="000000" w:themeColor="text1"/>
        </w:rPr>
        <w:t>BioRad</w:t>
      </w:r>
      <w:proofErr w:type="spellEnd"/>
      <w:r w:rsidR="003265C3" w:rsidRPr="00DE02D5">
        <w:rPr>
          <w:rFonts w:ascii="Times New Roman" w:eastAsia="ＭＳ 明朝" w:hAnsi="Times New Roman" w:cs="Times New Roman"/>
          <w:bCs/>
          <w:color w:val="000000" w:themeColor="text1"/>
        </w:rPr>
        <w:t>) and then subject</w:t>
      </w:r>
      <w:r w:rsidR="00486D92" w:rsidRPr="00DE02D5">
        <w:rPr>
          <w:rFonts w:ascii="Times New Roman" w:eastAsia="ＭＳ 明朝" w:hAnsi="Times New Roman" w:cs="Times New Roman"/>
          <w:bCs/>
          <w:color w:val="000000" w:themeColor="text1"/>
        </w:rPr>
        <w:t>ed</w:t>
      </w:r>
      <w:r w:rsidR="003265C3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to oxidation</w:t>
      </w:r>
      <w:r w:rsidR="00486D92" w:rsidRPr="00DE02D5">
        <w:rPr>
          <w:rFonts w:ascii="Times New Roman" w:eastAsia="ＭＳ 明朝" w:hAnsi="Times New Roman" w:cs="Times New Roman"/>
          <w:bCs/>
          <w:color w:val="000000" w:themeColor="text1"/>
        </w:rPr>
        <w:t>,</w:t>
      </w:r>
      <w:r w:rsidR="003265C3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whereas the BS</w:t>
      </w:r>
      <w:r w:rsidR="0085649B" w:rsidRPr="00DE02D5">
        <w:rPr>
          <w:rFonts w:ascii="Times New Roman" w:eastAsia="ＭＳ 明朝" w:hAnsi="Times New Roman" w:cs="Times New Roman"/>
          <w:bCs/>
          <w:color w:val="000000" w:themeColor="text1"/>
        </w:rPr>
        <w:t>-only</w:t>
      </w:r>
      <w:r w:rsidR="003265C3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sample</w:t>
      </w:r>
      <w:r w:rsidR="00486D92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was subjected</w:t>
      </w:r>
      <w:r w:rsidR="00E83DB3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to mock oxidation</w:t>
      </w:r>
      <w:r w:rsidR="00E83DB3" w:rsidRPr="00DE02D5">
        <w:rPr>
          <w:rFonts w:ascii="Times New Roman" w:eastAsia="ＭＳ 明朝" w:hAnsi="Times New Roman" w:cs="Times New Roman" w:hint="eastAsia"/>
          <w:bCs/>
          <w:color w:val="000000" w:themeColor="text1"/>
        </w:rPr>
        <w:t>.</w:t>
      </w:r>
      <w:r w:rsidR="00E83DB3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</w:t>
      </w:r>
      <w:r w:rsidR="00E83DB3" w:rsidRPr="00DE02D5">
        <w:rPr>
          <w:rFonts w:ascii="Times New Roman" w:eastAsia="ＭＳ 明朝" w:hAnsi="Times New Roman" w:cs="Times New Roman" w:hint="eastAsia"/>
          <w:bCs/>
          <w:color w:val="000000" w:themeColor="text1"/>
        </w:rPr>
        <w:t>Su</w:t>
      </w:r>
      <w:r w:rsidR="00E83DB3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bsequently, both samples </w:t>
      </w:r>
      <w:r w:rsidR="007015FF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were </w:t>
      </w:r>
      <w:r w:rsidR="0085649B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treated with </w:t>
      </w:r>
      <w:r w:rsidR="00CB43B8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sodium </w:t>
      </w:r>
      <w:r w:rsidR="0085649B" w:rsidRPr="00DE02D5">
        <w:rPr>
          <w:rFonts w:ascii="Times New Roman" w:eastAsia="ＭＳ 明朝" w:hAnsi="Times New Roman" w:cs="Times New Roman"/>
          <w:bCs/>
          <w:color w:val="000000" w:themeColor="text1"/>
        </w:rPr>
        <w:t>bisulfite reagents</w:t>
      </w:r>
      <w:r w:rsidR="007015FF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and </w:t>
      </w:r>
      <w:r w:rsidR="0085649B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finally </w:t>
      </w:r>
      <w:r w:rsidR="007015FF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eluted in 20 </w:t>
      </w:r>
      <w:proofErr w:type="spellStart"/>
      <w:r w:rsidR="007015FF" w:rsidRPr="00DE02D5">
        <w:rPr>
          <w:rFonts w:ascii="Times New Roman" w:eastAsia="ＭＳ 明朝" w:hAnsi="Times New Roman" w:cs="Times New Roman"/>
          <w:bCs/>
          <w:color w:val="000000" w:themeColor="text1"/>
        </w:rPr>
        <w:t>ul</w:t>
      </w:r>
      <w:proofErr w:type="spellEnd"/>
      <w:r w:rsidR="007015FF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buffer</w:t>
      </w:r>
      <w:r w:rsidR="00E83DB3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. </w:t>
      </w: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>These procedures were repeated twice as technical replicates. Thus, in total, 4 samples (BS-1, -2, oxBS-1, and -2) were obtained from each specimen (three of</w:t>
      </w:r>
      <w:r w:rsidRPr="00DE02D5">
        <w:rPr>
          <w:rFonts w:ascii="Times New Roman" w:eastAsia="ＭＳ 明朝" w:hAnsi="Times New Roman" w:cs="Times New Roman" w:hint="eastAsia"/>
          <w:bCs/>
          <w:color w:val="000000" w:themeColor="text1"/>
        </w:rPr>
        <w:t xml:space="preserve"> </w:t>
      </w: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blood DNA from patients with KOS14, one of blood DNA from the normal control pool, and one of human adult brain DNA) for further analysis. </w:t>
      </w:r>
    </w:p>
    <w:p w14:paraId="7B9C02C4" w14:textId="3CB85C1F" w:rsidR="004B5B19" w:rsidRPr="00DE02D5" w:rsidRDefault="00773201" w:rsidP="00C44A17">
      <w:pPr>
        <w:autoSpaceDE w:val="0"/>
        <w:autoSpaceDN w:val="0"/>
        <w:adjustRightInd w:val="0"/>
        <w:spacing w:line="480" w:lineRule="auto"/>
        <w:ind w:firstLineChars="177" w:firstLine="425"/>
        <w:jc w:val="left"/>
        <w:rPr>
          <w:rFonts w:ascii="Times New Roman" w:eastAsia="ＭＳ 明朝" w:hAnsi="Times New Roman" w:cs="Times New Roman"/>
          <w:bCs/>
          <w:color w:val="000000" w:themeColor="text1"/>
        </w:rPr>
      </w:pP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To confirm </w:t>
      </w:r>
      <w:r w:rsidR="00FA5FCD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that </w:t>
      </w:r>
      <w:r w:rsidR="00FA5FCD" w:rsidRPr="00DE02D5">
        <w:rPr>
          <w:rFonts w:ascii="Times New Roman" w:eastAsia="ＭＳ 明朝" w:hAnsi="Times New Roman" w:cs="Times New Roman" w:hint="eastAsia"/>
          <w:bCs/>
          <w:color w:val="000000" w:themeColor="text1"/>
        </w:rPr>
        <w:t>BS</w:t>
      </w:r>
      <w:r w:rsidR="00FA5FCD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and oxBS conversion worked properly, </w:t>
      </w:r>
      <w:r w:rsidR="004C329D" w:rsidRPr="00DE02D5">
        <w:rPr>
          <w:rFonts w:ascii="Times New Roman" w:eastAsia="ＭＳ 明朝" w:hAnsi="Times New Roman" w:cs="Times New Roman"/>
          <w:bCs/>
          <w:color w:val="000000" w:themeColor="text1"/>
        </w:rPr>
        <w:t>we used the ‘</w:t>
      </w:r>
      <w:r w:rsidR="003E3C8E" w:rsidRPr="00DE02D5">
        <w:rPr>
          <w:rFonts w:ascii="Times New Roman" w:eastAsia="ＭＳ 明朝" w:hAnsi="Times New Roman" w:cs="Times New Roman"/>
          <w:bCs/>
          <w:color w:val="000000" w:themeColor="text1"/>
        </w:rPr>
        <w:t>Digestion Control</w:t>
      </w:r>
      <w:r w:rsidR="004C329D" w:rsidRPr="00DE02D5">
        <w:rPr>
          <w:rFonts w:ascii="Times New Roman" w:eastAsia="ＭＳ 明朝" w:hAnsi="Times New Roman" w:cs="Times New Roman"/>
          <w:bCs/>
          <w:color w:val="000000" w:themeColor="text1"/>
        </w:rPr>
        <w:t>’</w:t>
      </w:r>
      <w:r w:rsidR="003E3C8E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as a spike-in control included in th</w:t>
      </w:r>
      <w:r w:rsidR="00E83DB3" w:rsidRPr="00DE02D5">
        <w:rPr>
          <w:rFonts w:ascii="Times New Roman" w:eastAsia="ＭＳ 明朝" w:hAnsi="Times New Roman" w:cs="Times New Roman"/>
          <w:bCs/>
          <w:color w:val="000000" w:themeColor="text1"/>
        </w:rPr>
        <w:t>e</w:t>
      </w:r>
      <w:r w:rsidR="003E3C8E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</w:t>
      </w:r>
      <w:r w:rsidR="003265C3" w:rsidRPr="00DE02D5">
        <w:rPr>
          <w:rFonts w:ascii="Times New Roman" w:eastAsia="ＭＳ 明朝" w:hAnsi="Times New Roman" w:cs="Times New Roman"/>
          <w:bCs/>
          <w:color w:val="000000" w:themeColor="text1"/>
        </w:rPr>
        <w:t>kit</w:t>
      </w:r>
      <w:r w:rsidR="003E3C8E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. The Digestion Control contains a </w:t>
      </w:r>
      <w:proofErr w:type="spellStart"/>
      <w:r w:rsidR="003E3C8E" w:rsidRPr="00DE02D5">
        <w:rPr>
          <w:rFonts w:ascii="Times New Roman" w:eastAsia="ＭＳ 明朝" w:hAnsi="Times New Roman" w:cs="Times New Roman"/>
          <w:bCs/>
          <w:color w:val="000000" w:themeColor="text1"/>
        </w:rPr>
        <w:t>TaqI</w:t>
      </w:r>
      <w:proofErr w:type="spellEnd"/>
      <w:r w:rsidR="003E3C8E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</w:t>
      </w:r>
      <w:r w:rsidR="003E3C8E" w:rsidRPr="00DE02D5">
        <w:rPr>
          <w:rFonts w:ascii="Times New Roman" w:eastAsia="ＭＳ 明朝" w:hAnsi="Times New Roman" w:cs="Times New Roman"/>
          <w:bCs/>
          <w:color w:val="000000" w:themeColor="text1"/>
        </w:rPr>
        <w:lastRenderedPageBreak/>
        <w:t>restriction site (5’TCGA3’), and the cytosine within this motif is 5h</w:t>
      </w:r>
      <w:r w:rsidR="007A14F0" w:rsidRPr="00DE02D5">
        <w:rPr>
          <w:rFonts w:ascii="Times New Roman" w:eastAsia="ＭＳ 明朝" w:hAnsi="Times New Roman" w:cs="Times New Roman"/>
          <w:bCs/>
          <w:color w:val="000000" w:themeColor="text1"/>
        </w:rPr>
        <w:t>mC</w:t>
      </w:r>
      <w:r w:rsidR="003E3C8E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. Complete conversion of this base to uracil during the oxBS process will render the motif resistant to </w:t>
      </w:r>
      <w:proofErr w:type="spellStart"/>
      <w:r w:rsidR="003E3C8E" w:rsidRPr="00DE02D5">
        <w:rPr>
          <w:rFonts w:ascii="Times New Roman" w:eastAsia="ＭＳ 明朝" w:hAnsi="Times New Roman" w:cs="Times New Roman"/>
          <w:bCs/>
          <w:color w:val="000000" w:themeColor="text1"/>
        </w:rPr>
        <w:t>TaqI</w:t>
      </w:r>
      <w:proofErr w:type="spellEnd"/>
      <w:r w:rsidR="003E3C8E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digestion, while the motif will digest following incomplete conversion or an oxBS failure. In contrast, complete BS conversion never change</w:t>
      </w:r>
      <w:r w:rsidR="007A14F0" w:rsidRPr="00DE02D5">
        <w:rPr>
          <w:rFonts w:ascii="Times New Roman" w:eastAsia="ＭＳ 明朝" w:hAnsi="Times New Roman" w:cs="Times New Roman"/>
          <w:bCs/>
          <w:color w:val="000000" w:themeColor="text1"/>
        </w:rPr>
        <w:t>s</w:t>
      </w:r>
      <w:r w:rsidR="003E3C8E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the sequence of the motif, resulting in full digestion by </w:t>
      </w:r>
      <w:proofErr w:type="spellStart"/>
      <w:r w:rsidR="003E3C8E" w:rsidRPr="00DE02D5">
        <w:rPr>
          <w:rFonts w:ascii="Times New Roman" w:eastAsia="ＭＳ 明朝" w:hAnsi="Times New Roman" w:cs="Times New Roman"/>
          <w:bCs/>
          <w:color w:val="000000" w:themeColor="text1"/>
        </w:rPr>
        <w:t>TaqI</w:t>
      </w:r>
      <w:proofErr w:type="spellEnd"/>
      <w:r w:rsidR="003E3C8E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, while incomplete or failed BS conversion will yield an undigested fragment. Thus, qualitative analysis by gel electrophoresis demonstrates the extent of BS/oxBS conversion. We </w:t>
      </w:r>
      <w:r w:rsidR="007A14F0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had </w:t>
      </w:r>
      <w:r w:rsidR="003E3C8E" w:rsidRPr="00DE02D5">
        <w:rPr>
          <w:rFonts w:ascii="Times New Roman" w:eastAsia="ＭＳ 明朝" w:hAnsi="Times New Roman" w:cs="Times New Roman"/>
          <w:bCs/>
          <w:color w:val="000000" w:themeColor="text1"/>
        </w:rPr>
        <w:t>confirmed</w:t>
      </w:r>
      <w:r w:rsidR="007A14F0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that a</w:t>
      </w:r>
      <w:r w:rsidR="003E3C8E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ll samples </w:t>
      </w:r>
      <w:r w:rsidR="007A14F0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were </w:t>
      </w:r>
      <w:r w:rsidR="00A66712" w:rsidRPr="00DE02D5">
        <w:rPr>
          <w:rFonts w:ascii="Times New Roman" w:eastAsia="ＭＳ 明朝" w:hAnsi="Times New Roman" w:cs="Times New Roman"/>
          <w:bCs/>
          <w:color w:val="000000" w:themeColor="text1"/>
        </w:rPr>
        <w:t>properly</w:t>
      </w:r>
      <w:r w:rsidR="007A14F0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converted </w:t>
      </w:r>
      <w:r w:rsidR="003E3C8E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through </w:t>
      </w:r>
      <w:r w:rsidR="007A14F0" w:rsidRPr="00DE02D5">
        <w:rPr>
          <w:rFonts w:ascii="Times New Roman" w:eastAsia="ＭＳ 明朝" w:hAnsi="Times New Roman" w:cs="Times New Roman"/>
          <w:bCs/>
          <w:color w:val="000000" w:themeColor="text1"/>
        </w:rPr>
        <w:t>BS/</w:t>
      </w:r>
      <w:r w:rsidR="003E3C8E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oxBS </w:t>
      </w:r>
      <w:r w:rsidR="007A14F0" w:rsidRPr="00DE02D5">
        <w:rPr>
          <w:rFonts w:ascii="Times New Roman" w:eastAsia="ＭＳ 明朝" w:hAnsi="Times New Roman" w:cs="Times New Roman"/>
          <w:bCs/>
          <w:color w:val="000000" w:themeColor="text1"/>
        </w:rPr>
        <w:t>treatment</w:t>
      </w:r>
      <w:r w:rsidR="003E3C8E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before </w:t>
      </w:r>
      <w:r w:rsidR="00630073" w:rsidRPr="00DE02D5">
        <w:rPr>
          <w:rFonts w:ascii="Times New Roman" w:eastAsia="ＭＳ 明朝" w:hAnsi="Times New Roman" w:cs="Times New Roman"/>
          <w:bCs/>
          <w:color w:val="000000" w:themeColor="text1"/>
        </w:rPr>
        <w:t>proceeding</w:t>
      </w:r>
      <w:r w:rsidR="003E3C8E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to downstream assays</w:t>
      </w:r>
      <w:r w:rsidR="00E577DC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(</w:t>
      </w:r>
      <w:r w:rsidR="00C03BF6">
        <w:rPr>
          <w:rFonts w:ascii="Times New Roman" w:eastAsia="ＭＳ 明朝" w:hAnsi="Times New Roman" w:cs="Times New Roman"/>
          <w:bCs/>
          <w:color w:val="000000" w:themeColor="text1"/>
        </w:rPr>
        <w:t>Additional file 7</w:t>
      </w:r>
      <w:r w:rsidR="00DE02D5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: </w:t>
      </w:r>
      <w:r w:rsidR="00E577DC" w:rsidRPr="00DE02D5">
        <w:rPr>
          <w:rFonts w:ascii="Times New Roman" w:eastAsia="ＭＳ 明朝" w:hAnsi="Times New Roman" w:cs="Times New Roman"/>
          <w:bCs/>
          <w:color w:val="000000" w:themeColor="text1"/>
        </w:rPr>
        <w:t>Figure S5</w:t>
      </w:r>
      <w:r w:rsidR="007A14F0" w:rsidRPr="00DE02D5">
        <w:rPr>
          <w:rFonts w:ascii="Times New Roman" w:eastAsia="ＭＳ 明朝" w:hAnsi="Times New Roman" w:cs="Times New Roman"/>
          <w:bCs/>
          <w:color w:val="000000" w:themeColor="text1"/>
        </w:rPr>
        <w:t>)</w:t>
      </w:r>
      <w:r w:rsidR="003E3C8E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. </w:t>
      </w:r>
    </w:p>
    <w:p w14:paraId="2B230CBF" w14:textId="77777777" w:rsidR="004B5B19" w:rsidRPr="00DE02D5" w:rsidRDefault="004B5B19" w:rsidP="004B5B19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ＭＳ 明朝" w:hAnsi="Times New Roman" w:cs="Times New Roman"/>
          <w:bCs/>
          <w:color w:val="000000" w:themeColor="text1"/>
        </w:rPr>
      </w:pPr>
    </w:p>
    <w:p w14:paraId="7AACB275" w14:textId="77777777" w:rsidR="004B5B19" w:rsidRPr="00DE02D5" w:rsidRDefault="004B5B19" w:rsidP="004B5B19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ＭＳ 明朝" w:hAnsi="Times New Roman" w:cs="Times New Roman"/>
          <w:b/>
          <w:bCs/>
          <w:color w:val="000000" w:themeColor="text1"/>
        </w:rPr>
      </w:pPr>
      <w:proofErr w:type="gramStart"/>
      <w:r w:rsidRPr="00DE02D5">
        <w:rPr>
          <w:rFonts w:ascii="Times New Roman" w:eastAsia="ＭＳ 明朝" w:hAnsi="Times New Roman" w:cs="Times New Roman" w:hint="eastAsia"/>
          <w:b/>
          <w:bCs/>
          <w:color w:val="000000" w:themeColor="text1"/>
        </w:rPr>
        <w:t>oxBS</w:t>
      </w:r>
      <w:proofErr w:type="gramEnd"/>
      <w:r w:rsidRPr="00DE02D5">
        <w:rPr>
          <w:rFonts w:ascii="Times New Roman" w:eastAsia="ＭＳ 明朝" w:hAnsi="Times New Roman" w:cs="Times New Roman" w:hint="eastAsia"/>
          <w:b/>
          <w:bCs/>
          <w:color w:val="000000" w:themeColor="text1"/>
        </w:rPr>
        <w:t xml:space="preserve"> pyrosequencing</w:t>
      </w:r>
      <w:r w:rsidRPr="00DE02D5">
        <w:rPr>
          <w:rFonts w:ascii="Times New Roman" w:eastAsia="ＭＳ 明朝" w:hAnsi="Times New Roman" w:cs="Times New Roman"/>
          <w:b/>
          <w:bCs/>
          <w:color w:val="000000" w:themeColor="text1"/>
        </w:rPr>
        <w:t xml:space="preserve"> and cloning-based sequencing</w:t>
      </w:r>
    </w:p>
    <w:p w14:paraId="4E471FC0" w14:textId="3BF6740F" w:rsidR="004B5B19" w:rsidRPr="00DE02D5" w:rsidRDefault="004B5B19" w:rsidP="00BF43F3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ＭＳ 明朝" w:hAnsi="Times New Roman" w:cs="Times New Roman"/>
          <w:bCs/>
          <w:color w:val="000000" w:themeColor="text1"/>
        </w:rPr>
      </w:pP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>For pyrosequencing</w:t>
      </w:r>
      <w:r w:rsidR="00680072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for the IG-DMR and </w:t>
      </w:r>
      <w:r w:rsidR="00680072" w:rsidRPr="00DE02D5">
        <w:rPr>
          <w:rFonts w:ascii="Times New Roman" w:eastAsia="ＭＳ 明朝" w:hAnsi="Times New Roman" w:cs="Times New Roman"/>
          <w:bCs/>
          <w:i/>
          <w:color w:val="000000" w:themeColor="text1"/>
        </w:rPr>
        <w:t>MEG3</w:t>
      </w:r>
      <w:r w:rsidR="00680072" w:rsidRPr="00DE02D5">
        <w:rPr>
          <w:rFonts w:ascii="Times New Roman" w:eastAsia="ＭＳ 明朝" w:hAnsi="Times New Roman" w:cs="Times New Roman"/>
          <w:bCs/>
          <w:color w:val="000000" w:themeColor="text1"/>
        </w:rPr>
        <w:t>-DMR</w:t>
      </w:r>
      <w:r w:rsidRPr="00DE02D5">
        <w:rPr>
          <w:rFonts w:ascii="Times New Roman" w:eastAsia="ＭＳ 明朝" w:hAnsi="Times New Roman" w:cs="Times New Roman" w:hint="eastAsia"/>
          <w:bCs/>
          <w:color w:val="000000" w:themeColor="text1"/>
        </w:rPr>
        <w:t xml:space="preserve">, </w:t>
      </w: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>BS- or oxBS-treated samples were PCR-amplified using TaKaRa Ex Taq Hot Start Version (TaKaRa) with an annealing temperature of 54°</w:t>
      </w:r>
      <w:r w:rsidRPr="00DE02D5">
        <w:rPr>
          <w:rFonts w:ascii="Times New Roman" w:eastAsia="ＭＳ 明朝" w:hAnsi="Times New Roman" w:cs="Times New Roman" w:hint="eastAsia"/>
          <w:bCs/>
          <w:color w:val="000000" w:themeColor="text1"/>
        </w:rPr>
        <w:t>C</w:t>
      </w: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for 45 cycles. </w:t>
      </w:r>
      <w:r w:rsidRPr="00DE02D5">
        <w:rPr>
          <w:rFonts w:ascii="Times New Roman" w:eastAsia="ＭＳ 明朝" w:hAnsi="Times New Roman" w:cs="Times New Roman" w:hint="eastAsia"/>
          <w:bCs/>
          <w:color w:val="000000" w:themeColor="text1"/>
        </w:rPr>
        <w:t xml:space="preserve">PCR products were </w:t>
      </w: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subjected to pyrosequencing using a PyroMark Q24 pyrosequencing system (Qiagen) with the PyroMark Gold Q24 reagent kit. PyroMark Q24 software was used for data analysis. </w:t>
      </w: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lastRenderedPageBreak/>
        <w:t>This assay was repeated twice as technical replicates.</w:t>
      </w:r>
    </w:p>
    <w:p w14:paraId="1999DC4C" w14:textId="21AE65D8" w:rsidR="004B5B19" w:rsidRPr="00DE02D5" w:rsidRDefault="004B5B19" w:rsidP="004B5B19">
      <w:pPr>
        <w:autoSpaceDE w:val="0"/>
        <w:autoSpaceDN w:val="0"/>
        <w:adjustRightInd w:val="0"/>
        <w:spacing w:line="480" w:lineRule="auto"/>
        <w:ind w:firstLineChars="177" w:firstLine="425"/>
        <w:jc w:val="left"/>
        <w:rPr>
          <w:rFonts w:ascii="Times New Roman" w:eastAsia="ＭＳ 明朝" w:hAnsi="Times New Roman" w:cs="Times New Roman"/>
          <w:bCs/>
          <w:color w:val="000000" w:themeColor="text1"/>
        </w:rPr>
      </w:pP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>For cloning-based sequencing</w:t>
      </w:r>
      <w:r w:rsidR="00680072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for the IG-DMR</w:t>
      </w:r>
      <w:r w:rsidRPr="00DE02D5">
        <w:rPr>
          <w:rFonts w:ascii="Times New Roman" w:eastAsia="ＭＳ 明朝" w:hAnsi="Times New Roman" w:cs="Times New Roman" w:hint="eastAsia"/>
          <w:bCs/>
          <w:color w:val="000000" w:themeColor="text1"/>
        </w:rPr>
        <w:t>,</w:t>
      </w: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BS- or oxBS-treated samples were PCR-amplified using KAPA HiFi HotStart Uracil+ ReadyMix (KAPA Biosystems) </w:t>
      </w:r>
      <w:r w:rsidRPr="00DE02D5">
        <w:rPr>
          <w:rFonts w:ascii="Times New Roman" w:eastAsia="ＭＳ 明朝" w:hAnsi="Times New Roman" w:cs="Times New Roman"/>
          <w:bCs/>
          <w:color w:val="000000" w:themeColor="text1"/>
          <w:kern w:val="0"/>
        </w:rPr>
        <w:t>with an annealing temperature of 57°C for 35 cycles</w:t>
      </w: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>. Subsequently, PCR products were A-tailed, subcloned with</w:t>
      </w:r>
      <w:r w:rsidR="00575B53"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the</w:t>
      </w: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TOPO TA Cloning Kit (Invitrogen), and then subjected to direct sequencing on the CEQ 8000 autosequencer (Beckman Coulter). The A/G SNP included in this region was genotyped simultaneously. Primer sequences for both assays are listed in </w:t>
      </w:r>
      <w:r w:rsidR="00DE02D5" w:rsidRPr="00DE02D5">
        <w:rPr>
          <w:rFonts w:ascii="Times New Roman" w:eastAsia="ＭＳ 明朝" w:hAnsi="Times New Roman" w:cs="Times New Roman"/>
          <w:bCs/>
          <w:color w:val="000000" w:themeColor="text1"/>
        </w:rPr>
        <w:t>Additional file 8: Table S2</w:t>
      </w: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>.</w:t>
      </w:r>
    </w:p>
    <w:p w14:paraId="3EA51764" w14:textId="77777777" w:rsidR="004B5B19" w:rsidRPr="00DE02D5" w:rsidRDefault="004B5B19" w:rsidP="004B5B19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ＭＳ 明朝" w:hAnsi="Times New Roman" w:cs="Times New Roman"/>
          <w:bCs/>
          <w:color w:val="000000" w:themeColor="text1"/>
        </w:rPr>
      </w:pPr>
    </w:p>
    <w:p w14:paraId="5E7F319D" w14:textId="77777777" w:rsidR="004B5B19" w:rsidRPr="00DE02D5" w:rsidRDefault="004B5B19" w:rsidP="004B5B19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ＭＳ 明朝" w:hAnsi="Times New Roman" w:cs="Times New Roman"/>
          <w:b/>
          <w:bCs/>
          <w:color w:val="000000" w:themeColor="text1"/>
        </w:rPr>
      </w:pPr>
      <w:r w:rsidRPr="00DE02D5">
        <w:rPr>
          <w:rFonts w:ascii="Times New Roman" w:eastAsia="ＭＳ 明朝" w:hAnsi="Times New Roman" w:cs="Times New Roman" w:hint="eastAsia"/>
          <w:b/>
          <w:bCs/>
          <w:color w:val="000000" w:themeColor="text1"/>
        </w:rPr>
        <w:t>450K</w:t>
      </w:r>
      <w:r w:rsidRPr="00DE02D5">
        <w:rPr>
          <w:rFonts w:ascii="Times New Roman" w:eastAsia="ＭＳ 明朝" w:hAnsi="Times New Roman" w:cs="Times New Roman"/>
          <w:b/>
          <w:bCs/>
          <w:color w:val="000000" w:themeColor="text1"/>
        </w:rPr>
        <w:t xml:space="preserve"> BeadChip processing and data </w:t>
      </w:r>
      <w:r w:rsidRPr="00DE02D5">
        <w:rPr>
          <w:rFonts w:ascii="Times New Roman" w:eastAsia="ＭＳ 明朝" w:hAnsi="Times New Roman" w:cs="Times New Roman" w:hint="eastAsia"/>
          <w:b/>
          <w:bCs/>
          <w:color w:val="000000" w:themeColor="text1"/>
        </w:rPr>
        <w:t>analysis</w:t>
      </w:r>
    </w:p>
    <w:p w14:paraId="509F4F84" w14:textId="77777777" w:rsidR="004B5B19" w:rsidRPr="00DE02D5" w:rsidRDefault="004B5B19" w:rsidP="004B5B19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ＭＳ 明朝" w:hAnsi="Times New Roman" w:cs="Times New Roman"/>
          <w:bCs/>
          <w:color w:val="000000" w:themeColor="text1"/>
        </w:rPr>
      </w:pPr>
      <w:r w:rsidRPr="00DE02D5">
        <w:rPr>
          <w:rFonts w:ascii="Times New Roman" w:eastAsia="ＭＳ 明朝" w:hAnsi="Times New Roman" w:cs="Times New Roman" w:hint="eastAsia"/>
          <w:bCs/>
          <w:color w:val="000000" w:themeColor="text1"/>
        </w:rPr>
        <w:t>7</w:t>
      </w: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</w:t>
      </w:r>
      <w:proofErr w:type="spellStart"/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>μl</w:t>
      </w:r>
      <w:proofErr w:type="spellEnd"/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of the BS- or oxBS-treated samples was applied to an Infinium HumanMethylation450 BeadChip kit (</w:t>
      </w:r>
      <w:proofErr w:type="spellStart"/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>Illumina</w:t>
      </w:r>
      <w:proofErr w:type="spellEnd"/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). Although these samples were spread across two arrays, 4 samples (BS-1, -2, oxBS-1, and -2) derived from one specimen were input into the same array to reduce inter-array differences between samples. We applied signal background subtraction, and inter-array variation was normalized using default control probes in </w:t>
      </w:r>
      <w:proofErr w:type="spellStart"/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>GenomeStudio</w:t>
      </w:r>
      <w:proofErr w:type="spellEnd"/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software (</w:t>
      </w:r>
      <w:proofErr w:type="spellStart"/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>Illumina</w:t>
      </w:r>
      <w:proofErr w:type="spellEnd"/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). Probes that fulfilled one or </w:t>
      </w: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lastRenderedPageBreak/>
        <w:t xml:space="preserve">more of the following criteria were excluded: 1) with a detection P-value of &gt; 0.01, 2) with no signal in one or more samples analysed, and 3) containing SNPs present in &gt; 1% of the population (dbSNP137). We also excluded probes in sex chromosomes. After these </w:t>
      </w:r>
      <w:proofErr w:type="spellStart"/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>filterings</w:t>
      </w:r>
      <w:proofErr w:type="spellEnd"/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>, 431,</w:t>
      </w:r>
      <w:r w:rsidRPr="00DE02D5">
        <w:rPr>
          <w:rFonts w:ascii="Times New Roman" w:eastAsia="ＭＳ 明朝" w:hAnsi="Times New Roman" w:cs="Times New Roman" w:hint="eastAsia"/>
          <w:bCs/>
          <w:color w:val="000000" w:themeColor="text1"/>
        </w:rPr>
        <w:t>581</w:t>
      </w: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 xml:space="preserve"> probes remained and were used in subsequent analyses. </w:t>
      </w:r>
    </w:p>
    <w:p w14:paraId="0ABA61FC" w14:textId="77777777" w:rsidR="004B5B19" w:rsidRPr="00DE02D5" w:rsidRDefault="004B5B19" w:rsidP="004B5B19">
      <w:pPr>
        <w:autoSpaceDE w:val="0"/>
        <w:autoSpaceDN w:val="0"/>
        <w:adjustRightInd w:val="0"/>
        <w:spacing w:line="480" w:lineRule="auto"/>
        <w:ind w:firstLineChars="177" w:firstLine="425"/>
        <w:jc w:val="left"/>
        <w:rPr>
          <w:rFonts w:ascii="Times New Roman" w:eastAsia="ＭＳ 明朝" w:hAnsi="Times New Roman" w:cs="Times New Roman"/>
          <w:bCs/>
          <w:color w:val="000000" w:themeColor="text1"/>
        </w:rPr>
      </w:pP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>The R package (version 3.0.2) was used for statistical analyses. Correlations between replicates</w:t>
      </w:r>
      <w:r w:rsidRPr="00DE02D5">
        <w:rPr>
          <w:rFonts w:ascii="Times New Roman" w:eastAsia="ＭＳ 明朝" w:hAnsi="Times New Roman" w:cs="Times New Roman" w:hint="eastAsia"/>
          <w:bCs/>
          <w:color w:val="000000" w:themeColor="text1"/>
        </w:rPr>
        <w:t xml:space="preserve"> were analysed by </w:t>
      </w: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>Spearman's rank test. The R package ‘</w:t>
      </w:r>
      <w:proofErr w:type="spellStart"/>
      <w:r w:rsidRPr="00DE02D5">
        <w:rPr>
          <w:rFonts w:ascii="Times New Roman" w:eastAsia="ＭＳ 明朝" w:hAnsi="Times New Roman" w:cs="Times New Roman"/>
          <w:bCs/>
          <w:i/>
          <w:color w:val="000000" w:themeColor="text1"/>
        </w:rPr>
        <w:t>pvclust</w:t>
      </w:r>
      <w:proofErr w:type="spellEnd"/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>’ was used for hierarchical clustering</w:t>
      </w:r>
      <w:r w:rsidRPr="00DE02D5">
        <w:rPr>
          <w:rFonts w:ascii="Times New Roman" w:eastAsia="ＭＳ 明朝" w:hAnsi="Times New Roman" w:cs="Times New Roman" w:hint="eastAsia"/>
          <w:bCs/>
          <w:color w:val="000000" w:themeColor="text1"/>
        </w:rPr>
        <w:t xml:space="preserve"> </w:t>
      </w:r>
      <w:r w:rsidRPr="00DE02D5">
        <w:rPr>
          <w:rFonts w:ascii="Times New Roman" w:eastAsia="ＭＳ 明朝" w:hAnsi="Times New Roman" w:cs="Times New Roman"/>
          <w:bCs/>
          <w:color w:val="000000" w:themeColor="text1"/>
        </w:rPr>
        <w:t>analysis.</w:t>
      </w:r>
    </w:p>
    <w:p w14:paraId="2B4DAAA8" w14:textId="77777777" w:rsidR="00301D76" w:rsidRPr="00DE02D5" w:rsidRDefault="00301D76">
      <w:pPr>
        <w:widowControl/>
        <w:jc w:val="left"/>
        <w:rPr>
          <w:rFonts w:eastAsia="ＭＳ 明朝" w:cstheme="majorHAnsi"/>
          <w:b/>
          <w:bCs/>
          <w:color w:val="000000" w:themeColor="text1"/>
        </w:rPr>
      </w:pPr>
      <w:r w:rsidRPr="00DE02D5">
        <w:rPr>
          <w:rFonts w:eastAsia="ＭＳ 明朝" w:cstheme="majorHAnsi"/>
          <w:b/>
          <w:bCs/>
          <w:color w:val="000000" w:themeColor="text1"/>
        </w:rPr>
        <w:br w:type="page"/>
      </w:r>
    </w:p>
    <w:p w14:paraId="5D98CC04" w14:textId="77777777" w:rsidR="00301D76" w:rsidRPr="00DE02D5" w:rsidRDefault="00301D76" w:rsidP="00301D76">
      <w:pPr>
        <w:autoSpaceDE w:val="0"/>
        <w:autoSpaceDN w:val="0"/>
        <w:adjustRightInd w:val="0"/>
        <w:spacing w:line="480" w:lineRule="auto"/>
        <w:jc w:val="left"/>
        <w:rPr>
          <w:rFonts w:eastAsia="ＭＳ 明朝" w:cstheme="majorHAnsi"/>
          <w:b/>
          <w:bCs/>
          <w:color w:val="000000" w:themeColor="text1"/>
        </w:rPr>
      </w:pPr>
      <w:r w:rsidRPr="00DE02D5">
        <w:rPr>
          <w:rFonts w:eastAsia="ＭＳ 明朝" w:cstheme="majorHAnsi"/>
          <w:b/>
          <w:bCs/>
          <w:color w:val="000000" w:themeColor="text1"/>
        </w:rPr>
        <w:lastRenderedPageBreak/>
        <w:t>References</w:t>
      </w:r>
    </w:p>
    <w:p w14:paraId="49D79F40" w14:textId="77777777" w:rsidR="00301D76" w:rsidRPr="00DE02D5" w:rsidRDefault="00301D76" w:rsidP="00301D76">
      <w:pPr>
        <w:pStyle w:val="EndNoteBibliography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DE02D5">
        <w:rPr>
          <w:noProof/>
          <w:color w:val="000000" w:themeColor="text1"/>
        </w:rPr>
        <w:t>Kagami M, Sekita Y, Nishimura G, Irie M, Kato F, Okada M et al.</w:t>
      </w:r>
      <w:r w:rsidRPr="00DE02D5">
        <w:rPr>
          <w:b/>
          <w:noProof/>
          <w:color w:val="000000" w:themeColor="text1"/>
        </w:rPr>
        <w:t xml:space="preserve"> </w:t>
      </w:r>
      <w:r w:rsidRPr="00DE02D5">
        <w:rPr>
          <w:noProof/>
          <w:color w:val="000000" w:themeColor="text1"/>
        </w:rPr>
        <w:t>Deletions and epimutations affecting the human 14q32.2 imprinted region in individuals with paternal and maternal upd(14)-like phenotypes. Nat Genet. 2008;40:237-42.</w:t>
      </w:r>
    </w:p>
    <w:p w14:paraId="7005465E" w14:textId="77777777" w:rsidR="00301D76" w:rsidRPr="00DE02D5" w:rsidRDefault="00301D76" w:rsidP="00301D76">
      <w:pPr>
        <w:pStyle w:val="EndNoteBibliography"/>
        <w:numPr>
          <w:ilvl w:val="0"/>
          <w:numId w:val="1"/>
        </w:numPr>
        <w:spacing w:line="480" w:lineRule="auto"/>
        <w:rPr>
          <w:noProof/>
          <w:color w:val="000000" w:themeColor="text1"/>
        </w:rPr>
      </w:pPr>
      <w:r w:rsidRPr="00DE02D5">
        <w:rPr>
          <w:color w:val="000000" w:themeColor="text1"/>
        </w:rPr>
        <w:t xml:space="preserve">Jin SG, </w:t>
      </w:r>
      <w:proofErr w:type="spellStart"/>
      <w:r w:rsidRPr="00DE02D5">
        <w:rPr>
          <w:color w:val="000000" w:themeColor="text1"/>
        </w:rPr>
        <w:t>Kadam</w:t>
      </w:r>
      <w:proofErr w:type="spellEnd"/>
      <w:r w:rsidRPr="00DE02D5">
        <w:rPr>
          <w:color w:val="000000" w:themeColor="text1"/>
        </w:rPr>
        <w:t xml:space="preserve"> S, Pfeifer GP.</w:t>
      </w:r>
      <w:r w:rsidRPr="00DE02D5">
        <w:rPr>
          <w:b/>
          <w:color w:val="000000" w:themeColor="text1"/>
        </w:rPr>
        <w:t xml:space="preserve"> </w:t>
      </w:r>
      <w:r w:rsidRPr="00DE02D5">
        <w:rPr>
          <w:color w:val="000000" w:themeColor="text1"/>
        </w:rPr>
        <w:t>Examination of the specificity of DNA methylation profiling techniques towards 5-methylcytosine and 5-hydroxymethylcytosine. Nucleic Acids Res. 2010</w:t>
      </w:r>
      <w:proofErr w:type="gramStart"/>
      <w:r w:rsidRPr="00DE02D5">
        <w:rPr>
          <w:color w:val="000000" w:themeColor="text1"/>
        </w:rPr>
        <w:t>;38:e125</w:t>
      </w:r>
      <w:proofErr w:type="gramEnd"/>
      <w:r w:rsidRPr="00DE02D5">
        <w:rPr>
          <w:color w:val="000000" w:themeColor="text1"/>
        </w:rPr>
        <w:t>.</w:t>
      </w:r>
    </w:p>
    <w:p w14:paraId="1569887A" w14:textId="77777777" w:rsidR="00301D76" w:rsidRPr="00DE02D5" w:rsidRDefault="00301D76" w:rsidP="00301D76">
      <w:pPr>
        <w:pStyle w:val="EndNoteBibliography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DE02D5">
        <w:rPr>
          <w:noProof/>
          <w:color w:val="000000" w:themeColor="text1"/>
        </w:rPr>
        <w:t>Munzel M, Globisch D, Bruckl T, Wagner M, Welzmiller V, Michalakis S et al.</w:t>
      </w:r>
      <w:r w:rsidRPr="00DE02D5">
        <w:rPr>
          <w:b/>
          <w:noProof/>
          <w:color w:val="000000" w:themeColor="text1"/>
        </w:rPr>
        <w:t xml:space="preserve"> </w:t>
      </w:r>
      <w:r w:rsidRPr="00DE02D5">
        <w:rPr>
          <w:noProof/>
          <w:color w:val="000000" w:themeColor="text1"/>
        </w:rPr>
        <w:t>Quantification of the sixth DNA base hydroxymethylcytosine in the brain. Angew Chem Int Ed Engl. 2010;49:5375-7.</w:t>
      </w:r>
    </w:p>
    <w:p w14:paraId="0CA55B68" w14:textId="77777777" w:rsidR="00301D76" w:rsidRPr="00DE02D5" w:rsidRDefault="00301D76" w:rsidP="00301D76">
      <w:pPr>
        <w:pStyle w:val="EndNoteBibliography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DE02D5">
        <w:rPr>
          <w:noProof/>
          <w:color w:val="000000" w:themeColor="text1"/>
        </w:rPr>
        <w:t>Stewart SK, Morris TJ, Guilhamon P, Bulstrode H, Bachman M, Balasubramanian S et al.</w:t>
      </w:r>
      <w:r w:rsidRPr="00DE02D5">
        <w:rPr>
          <w:b/>
          <w:noProof/>
          <w:color w:val="000000" w:themeColor="text1"/>
        </w:rPr>
        <w:t xml:space="preserve"> </w:t>
      </w:r>
      <w:r w:rsidRPr="00DE02D5">
        <w:rPr>
          <w:noProof/>
          <w:color w:val="000000" w:themeColor="text1"/>
        </w:rPr>
        <w:t>oxBS-450K: A method for analysing hydroxymethylation using 450K BeadChips. Methods. 2014;72:9-15.</w:t>
      </w:r>
    </w:p>
    <w:sectPr w:rsidR="00301D76" w:rsidRPr="00DE02D5" w:rsidSect="00DE02D5">
      <w:headerReference w:type="even" r:id="rId8"/>
      <w:headerReference w:type="default" r:id="rId9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38C16" w14:textId="77777777" w:rsidR="00C03BF6" w:rsidRDefault="00C03BF6" w:rsidP="00680072">
      <w:r>
        <w:separator/>
      </w:r>
    </w:p>
  </w:endnote>
  <w:endnote w:type="continuationSeparator" w:id="0">
    <w:p w14:paraId="79FFBFC1" w14:textId="77777777" w:rsidR="00C03BF6" w:rsidRDefault="00C03BF6" w:rsidP="0068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CC7D0" w14:textId="77777777" w:rsidR="00C03BF6" w:rsidRDefault="00C03BF6" w:rsidP="00680072">
      <w:r>
        <w:separator/>
      </w:r>
    </w:p>
  </w:footnote>
  <w:footnote w:type="continuationSeparator" w:id="0">
    <w:p w14:paraId="0B04372C" w14:textId="77777777" w:rsidR="00C03BF6" w:rsidRDefault="00C03BF6" w:rsidP="006800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AD9F7" w14:textId="77777777" w:rsidR="00C03BF6" w:rsidRDefault="00C03BF6" w:rsidP="0068007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240F8F0" w14:textId="77777777" w:rsidR="00C03BF6" w:rsidRDefault="00C03BF6" w:rsidP="006173CC">
    <w:pPr>
      <w:pStyle w:val="a9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B47FC" w14:textId="77777777" w:rsidR="00C03BF6" w:rsidRPr="00680072" w:rsidRDefault="00C03BF6" w:rsidP="00680072">
    <w:pPr>
      <w:pStyle w:val="a9"/>
      <w:framePr w:wrap="around" w:vAnchor="text" w:hAnchor="margin" w:xAlign="right" w:y="1"/>
      <w:rPr>
        <w:rStyle w:val="ab"/>
        <w:rFonts w:ascii="Times New Roman" w:hAnsi="Times New Roman" w:cs="Times New Roman"/>
      </w:rPr>
    </w:pPr>
    <w:r w:rsidRPr="00680072">
      <w:rPr>
        <w:rStyle w:val="ab"/>
        <w:rFonts w:ascii="Times New Roman" w:hAnsi="Times New Roman" w:cs="Times New Roman"/>
      </w:rPr>
      <w:fldChar w:fldCharType="begin"/>
    </w:r>
    <w:r w:rsidRPr="00680072">
      <w:rPr>
        <w:rStyle w:val="ab"/>
        <w:rFonts w:ascii="Times New Roman" w:hAnsi="Times New Roman" w:cs="Times New Roman"/>
      </w:rPr>
      <w:instrText xml:space="preserve">PAGE  </w:instrText>
    </w:r>
    <w:r w:rsidRPr="00680072">
      <w:rPr>
        <w:rStyle w:val="ab"/>
        <w:rFonts w:ascii="Times New Roman" w:hAnsi="Times New Roman" w:cs="Times New Roman"/>
      </w:rPr>
      <w:fldChar w:fldCharType="separate"/>
    </w:r>
    <w:r w:rsidR="00702CBF">
      <w:rPr>
        <w:rStyle w:val="ab"/>
        <w:rFonts w:ascii="Times New Roman" w:hAnsi="Times New Roman" w:cs="Times New Roman"/>
        <w:noProof/>
      </w:rPr>
      <w:t>1</w:t>
    </w:r>
    <w:r w:rsidRPr="00680072">
      <w:rPr>
        <w:rStyle w:val="ab"/>
        <w:rFonts w:ascii="Times New Roman" w:hAnsi="Times New Roman" w:cs="Times New Roman"/>
      </w:rPr>
      <w:fldChar w:fldCharType="end"/>
    </w:r>
  </w:p>
  <w:p w14:paraId="406F8A59" w14:textId="77777777" w:rsidR="00C03BF6" w:rsidRDefault="00C03BF6" w:rsidP="00680072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D57A0"/>
    <w:multiLevelType w:val="hybridMultilevel"/>
    <w:tmpl w:val="BE847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19"/>
    <w:rsid w:val="00064899"/>
    <w:rsid w:val="0008381F"/>
    <w:rsid w:val="00301D76"/>
    <w:rsid w:val="003265C3"/>
    <w:rsid w:val="003C3A4D"/>
    <w:rsid w:val="003E3C8E"/>
    <w:rsid w:val="00486D92"/>
    <w:rsid w:val="004B5B19"/>
    <w:rsid w:val="004C329D"/>
    <w:rsid w:val="004E2DE1"/>
    <w:rsid w:val="00571C3B"/>
    <w:rsid w:val="00575B53"/>
    <w:rsid w:val="005E4DD1"/>
    <w:rsid w:val="006173CC"/>
    <w:rsid w:val="00630073"/>
    <w:rsid w:val="006316A3"/>
    <w:rsid w:val="00680072"/>
    <w:rsid w:val="007015FF"/>
    <w:rsid w:val="00702CBF"/>
    <w:rsid w:val="00773201"/>
    <w:rsid w:val="00792F84"/>
    <w:rsid w:val="007A14F0"/>
    <w:rsid w:val="0085649B"/>
    <w:rsid w:val="008A5319"/>
    <w:rsid w:val="00925B54"/>
    <w:rsid w:val="00996E6F"/>
    <w:rsid w:val="00A66712"/>
    <w:rsid w:val="00B33EB7"/>
    <w:rsid w:val="00B90D63"/>
    <w:rsid w:val="00BF43F3"/>
    <w:rsid w:val="00C03BF6"/>
    <w:rsid w:val="00C44A17"/>
    <w:rsid w:val="00CB43B8"/>
    <w:rsid w:val="00D017CB"/>
    <w:rsid w:val="00DE02D5"/>
    <w:rsid w:val="00DE3AAD"/>
    <w:rsid w:val="00E577DC"/>
    <w:rsid w:val="00E66CC7"/>
    <w:rsid w:val="00E81978"/>
    <w:rsid w:val="00E83DB3"/>
    <w:rsid w:val="00EE3EF8"/>
    <w:rsid w:val="00F6464F"/>
    <w:rsid w:val="00FA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0C33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B8"/>
    <w:pPr>
      <w:widowControl w:val="0"/>
      <w:jc w:val="both"/>
    </w:pPr>
    <w:rPr>
      <w:rFonts w:asciiTheme="majorHAnsi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4B5B19"/>
    <w:rPr>
      <w:sz w:val="18"/>
      <w:szCs w:val="18"/>
    </w:rPr>
  </w:style>
  <w:style w:type="paragraph" w:styleId="a4">
    <w:name w:val="annotation text"/>
    <w:basedOn w:val="a"/>
    <w:link w:val="a5"/>
    <w:unhideWhenUsed/>
    <w:rsid w:val="004B5B19"/>
    <w:pPr>
      <w:jc w:val="left"/>
    </w:pPr>
    <w:rPr>
      <w:rFonts w:ascii="Century" w:eastAsia="ＭＳ 明朝" w:hAnsi="Century" w:cs="Times New Roman"/>
      <w:sz w:val="21"/>
      <w:lang w:val="en-GB"/>
    </w:rPr>
  </w:style>
  <w:style w:type="character" w:customStyle="1" w:styleId="a5">
    <w:name w:val="コメント文字列 (文字)"/>
    <w:basedOn w:val="a0"/>
    <w:link w:val="a4"/>
    <w:rsid w:val="004B5B19"/>
    <w:rPr>
      <w:rFonts w:ascii="Century" w:eastAsia="ＭＳ 明朝" w:hAnsi="Century" w:cs="Times New Roman"/>
      <w:sz w:val="21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4B5B1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B5B19"/>
    <w:rPr>
      <w:rFonts w:ascii="ヒラギノ角ゴ ProN W3" w:eastAsia="ヒラギノ角ゴ ProN W3"/>
      <w:sz w:val="18"/>
      <w:szCs w:val="18"/>
    </w:rPr>
  </w:style>
  <w:style w:type="paragraph" w:customStyle="1" w:styleId="EndNoteBibliography">
    <w:name w:val="EndNote Bibliography"/>
    <w:basedOn w:val="a"/>
    <w:rsid w:val="00301D76"/>
    <w:pPr>
      <w:jc w:val="left"/>
    </w:pPr>
    <w:rPr>
      <w:rFonts w:ascii="Times New Roman" w:eastAsia="ＭＳ 明朝" w:hAnsi="Times New Roman" w:cs="Times New Roman"/>
      <w:lang w:val="en-GB"/>
    </w:rPr>
  </w:style>
  <w:style w:type="character" w:styleId="a8">
    <w:name w:val="line number"/>
    <w:basedOn w:val="a0"/>
    <w:uiPriority w:val="99"/>
    <w:semiHidden/>
    <w:unhideWhenUsed/>
    <w:rsid w:val="00CB43B8"/>
  </w:style>
  <w:style w:type="paragraph" w:styleId="a9">
    <w:name w:val="header"/>
    <w:basedOn w:val="a"/>
    <w:link w:val="aa"/>
    <w:uiPriority w:val="99"/>
    <w:unhideWhenUsed/>
    <w:rsid w:val="006800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0072"/>
    <w:rPr>
      <w:rFonts w:asciiTheme="majorHAnsi" w:hAnsiTheme="majorHAnsi"/>
    </w:rPr>
  </w:style>
  <w:style w:type="character" w:styleId="ab">
    <w:name w:val="page number"/>
    <w:basedOn w:val="a0"/>
    <w:uiPriority w:val="99"/>
    <w:semiHidden/>
    <w:unhideWhenUsed/>
    <w:rsid w:val="00680072"/>
  </w:style>
  <w:style w:type="paragraph" w:styleId="ac">
    <w:name w:val="footer"/>
    <w:basedOn w:val="a"/>
    <w:link w:val="ad"/>
    <w:uiPriority w:val="99"/>
    <w:unhideWhenUsed/>
    <w:rsid w:val="006800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80072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B8"/>
    <w:pPr>
      <w:widowControl w:val="0"/>
      <w:jc w:val="both"/>
    </w:pPr>
    <w:rPr>
      <w:rFonts w:asciiTheme="majorHAnsi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4B5B19"/>
    <w:rPr>
      <w:sz w:val="18"/>
      <w:szCs w:val="18"/>
    </w:rPr>
  </w:style>
  <w:style w:type="paragraph" w:styleId="a4">
    <w:name w:val="annotation text"/>
    <w:basedOn w:val="a"/>
    <w:link w:val="a5"/>
    <w:unhideWhenUsed/>
    <w:rsid w:val="004B5B19"/>
    <w:pPr>
      <w:jc w:val="left"/>
    </w:pPr>
    <w:rPr>
      <w:rFonts w:ascii="Century" w:eastAsia="ＭＳ 明朝" w:hAnsi="Century" w:cs="Times New Roman"/>
      <w:sz w:val="21"/>
      <w:lang w:val="en-GB"/>
    </w:rPr>
  </w:style>
  <w:style w:type="character" w:customStyle="1" w:styleId="a5">
    <w:name w:val="コメント文字列 (文字)"/>
    <w:basedOn w:val="a0"/>
    <w:link w:val="a4"/>
    <w:rsid w:val="004B5B19"/>
    <w:rPr>
      <w:rFonts w:ascii="Century" w:eastAsia="ＭＳ 明朝" w:hAnsi="Century" w:cs="Times New Roman"/>
      <w:sz w:val="21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4B5B1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B5B19"/>
    <w:rPr>
      <w:rFonts w:ascii="ヒラギノ角ゴ ProN W3" w:eastAsia="ヒラギノ角ゴ ProN W3"/>
      <w:sz w:val="18"/>
      <w:szCs w:val="18"/>
    </w:rPr>
  </w:style>
  <w:style w:type="paragraph" w:customStyle="1" w:styleId="EndNoteBibliography">
    <w:name w:val="EndNote Bibliography"/>
    <w:basedOn w:val="a"/>
    <w:rsid w:val="00301D76"/>
    <w:pPr>
      <w:jc w:val="left"/>
    </w:pPr>
    <w:rPr>
      <w:rFonts w:ascii="Times New Roman" w:eastAsia="ＭＳ 明朝" w:hAnsi="Times New Roman" w:cs="Times New Roman"/>
      <w:lang w:val="en-GB"/>
    </w:rPr>
  </w:style>
  <w:style w:type="character" w:styleId="a8">
    <w:name w:val="line number"/>
    <w:basedOn w:val="a0"/>
    <w:uiPriority w:val="99"/>
    <w:semiHidden/>
    <w:unhideWhenUsed/>
    <w:rsid w:val="00CB43B8"/>
  </w:style>
  <w:style w:type="paragraph" w:styleId="a9">
    <w:name w:val="header"/>
    <w:basedOn w:val="a"/>
    <w:link w:val="aa"/>
    <w:uiPriority w:val="99"/>
    <w:unhideWhenUsed/>
    <w:rsid w:val="006800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0072"/>
    <w:rPr>
      <w:rFonts w:asciiTheme="majorHAnsi" w:hAnsiTheme="majorHAnsi"/>
    </w:rPr>
  </w:style>
  <w:style w:type="character" w:styleId="ab">
    <w:name w:val="page number"/>
    <w:basedOn w:val="a0"/>
    <w:uiPriority w:val="99"/>
    <w:semiHidden/>
    <w:unhideWhenUsed/>
    <w:rsid w:val="00680072"/>
  </w:style>
  <w:style w:type="paragraph" w:styleId="ac">
    <w:name w:val="footer"/>
    <w:basedOn w:val="a"/>
    <w:link w:val="ad"/>
    <w:uiPriority w:val="99"/>
    <w:unhideWhenUsed/>
    <w:rsid w:val="006800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80072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885</Words>
  <Characters>5050</Characters>
  <Application>Microsoft Macintosh Word</Application>
  <DocSecurity>0</DocSecurity>
  <Lines>42</Lines>
  <Paragraphs>11</Paragraphs>
  <ScaleCrop>false</ScaleCrop>
  <Company>National Tokyo Medical Center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Yamazawa Kazuki</dc:creator>
  <cp:keywords/>
  <dc:description/>
  <cp:lastModifiedBy>Yamazawa Kazuki</cp:lastModifiedBy>
  <cp:revision>3</cp:revision>
  <cp:lastPrinted>2015-07-21T23:48:00Z</cp:lastPrinted>
  <dcterms:created xsi:type="dcterms:W3CDTF">2015-08-17T08:38:00Z</dcterms:created>
  <dcterms:modified xsi:type="dcterms:W3CDTF">2015-08-17T12:55:00Z</dcterms:modified>
</cp:coreProperties>
</file>