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751"/>
        <w:gridCol w:w="1222"/>
        <w:gridCol w:w="1365"/>
        <w:gridCol w:w="1335"/>
        <w:gridCol w:w="1203"/>
        <w:gridCol w:w="922"/>
        <w:gridCol w:w="1221"/>
        <w:gridCol w:w="1207"/>
        <w:gridCol w:w="1335"/>
        <w:gridCol w:w="1307"/>
        <w:gridCol w:w="1635"/>
      </w:tblGrid>
      <w:tr w:rsidR="00BE2A18" w:rsidRPr="00BE2A18" w:rsidTr="00BE2A18">
        <w:trPr>
          <w:trHeight w:val="300"/>
        </w:trPr>
        <w:tc>
          <w:tcPr>
            <w:tcW w:w="2420" w:type="dxa"/>
            <w:vMerge w:val="restart"/>
            <w:hideMark/>
          </w:tcPr>
          <w:p w:rsidR="00BE2A18" w:rsidRPr="00BE2A18" w:rsidRDefault="00BE2A18" w:rsidP="00BE2A18">
            <w:pPr>
              <w:rPr>
                <w:b/>
                <w:bCs/>
                <w:lang w:val="en-US"/>
              </w:rPr>
            </w:pPr>
            <w:r w:rsidRPr="00BE2A18">
              <w:rPr>
                <w:b/>
                <w:bCs/>
                <w:lang w:val="en-US"/>
              </w:rPr>
              <w:t>First author, year of the study</w:t>
            </w:r>
          </w:p>
        </w:tc>
        <w:tc>
          <w:tcPr>
            <w:tcW w:w="1660" w:type="dxa"/>
            <w:vMerge w:val="restart"/>
            <w:noWrap/>
            <w:hideMark/>
          </w:tcPr>
          <w:p w:rsidR="00BE2A18" w:rsidRPr="00BE2A18" w:rsidRDefault="00BE2A18">
            <w:pPr>
              <w:rPr>
                <w:b/>
                <w:bCs/>
                <w:lang w:val="en-US"/>
              </w:rPr>
            </w:pPr>
          </w:p>
        </w:tc>
        <w:tc>
          <w:tcPr>
            <w:tcW w:w="15600" w:type="dxa"/>
            <w:gridSpan w:val="9"/>
            <w:hideMark/>
          </w:tcPr>
          <w:p w:rsidR="00BE2A18" w:rsidRPr="00BE2A18" w:rsidRDefault="00BE2A18" w:rsidP="005B6C21">
            <w:pPr>
              <w:jc w:val="center"/>
              <w:rPr>
                <w:b/>
                <w:bCs/>
                <w:lang w:val="en-US"/>
              </w:rPr>
            </w:pPr>
            <w:r w:rsidRPr="00BE2A18">
              <w:rPr>
                <w:b/>
                <w:bCs/>
                <w:lang w:val="en-US"/>
              </w:rPr>
              <w:t>Quality of the studies (GRADE Scale)</w:t>
            </w:r>
          </w:p>
        </w:tc>
      </w:tr>
      <w:tr w:rsidR="00BE2A18" w:rsidRPr="00BE2A18" w:rsidTr="00BE2A18">
        <w:trPr>
          <w:trHeight w:val="300"/>
        </w:trPr>
        <w:tc>
          <w:tcPr>
            <w:tcW w:w="2420" w:type="dxa"/>
            <w:vMerge/>
            <w:hideMark/>
          </w:tcPr>
          <w:p w:rsidR="00BE2A18" w:rsidRPr="00BE2A18" w:rsidRDefault="00BE2A18">
            <w:pPr>
              <w:rPr>
                <w:b/>
                <w:bCs/>
                <w:lang w:val="en-US"/>
              </w:rPr>
            </w:pPr>
          </w:p>
        </w:tc>
        <w:tc>
          <w:tcPr>
            <w:tcW w:w="1660" w:type="dxa"/>
            <w:vMerge/>
            <w:hideMark/>
          </w:tcPr>
          <w:p w:rsidR="00BE2A18" w:rsidRPr="00BE2A18" w:rsidRDefault="00BE2A18">
            <w:pPr>
              <w:rPr>
                <w:b/>
                <w:bCs/>
                <w:lang w:val="en-US"/>
              </w:rPr>
            </w:pPr>
          </w:p>
        </w:tc>
        <w:tc>
          <w:tcPr>
            <w:tcW w:w="1867" w:type="dxa"/>
            <w:noWrap/>
            <w:hideMark/>
          </w:tcPr>
          <w:p w:rsidR="00BE2A18" w:rsidRPr="00BE2A18" w:rsidRDefault="00BE2A18" w:rsidP="00BE2A18">
            <w:pPr>
              <w:rPr>
                <w:b/>
                <w:bCs/>
              </w:rPr>
            </w:pPr>
            <w:r w:rsidRPr="00BE2A18">
              <w:rPr>
                <w:b/>
                <w:bCs/>
              </w:rPr>
              <w:t>Design</w:t>
            </w:r>
          </w:p>
        </w:tc>
        <w:tc>
          <w:tcPr>
            <w:tcW w:w="1824" w:type="dxa"/>
            <w:noWrap/>
            <w:hideMark/>
          </w:tcPr>
          <w:p w:rsidR="00BE2A18" w:rsidRPr="00BE2A18" w:rsidRDefault="00BE2A18" w:rsidP="00BE2A18">
            <w:pPr>
              <w:rPr>
                <w:b/>
                <w:bCs/>
              </w:rPr>
            </w:pPr>
            <w:proofErr w:type="spellStart"/>
            <w:r w:rsidRPr="00BE2A18">
              <w:rPr>
                <w:b/>
                <w:bCs/>
              </w:rPr>
              <w:t>Risk</w:t>
            </w:r>
            <w:proofErr w:type="spellEnd"/>
            <w:r w:rsidRPr="00BE2A18">
              <w:rPr>
                <w:b/>
                <w:bCs/>
              </w:rPr>
              <w:t xml:space="preserve"> of </w:t>
            </w:r>
            <w:proofErr w:type="spellStart"/>
            <w:r w:rsidRPr="00BE2A18">
              <w:rPr>
                <w:b/>
                <w:bCs/>
              </w:rPr>
              <w:t>Bias</w:t>
            </w:r>
            <w:proofErr w:type="spellEnd"/>
          </w:p>
        </w:tc>
        <w:tc>
          <w:tcPr>
            <w:tcW w:w="1619" w:type="dxa"/>
            <w:noWrap/>
            <w:hideMark/>
          </w:tcPr>
          <w:p w:rsidR="00BE2A18" w:rsidRPr="00BE2A18" w:rsidRDefault="00BE2A18" w:rsidP="00BE2A18">
            <w:pPr>
              <w:rPr>
                <w:b/>
                <w:bCs/>
              </w:rPr>
            </w:pPr>
            <w:proofErr w:type="spellStart"/>
            <w:r w:rsidRPr="00BE2A18">
              <w:rPr>
                <w:b/>
                <w:bCs/>
              </w:rPr>
              <w:t>Consistency</w:t>
            </w:r>
            <w:proofErr w:type="spellEnd"/>
          </w:p>
        </w:tc>
        <w:tc>
          <w:tcPr>
            <w:tcW w:w="1230" w:type="dxa"/>
            <w:noWrap/>
            <w:hideMark/>
          </w:tcPr>
          <w:p w:rsidR="00BE2A18" w:rsidRPr="00BE2A18" w:rsidRDefault="00BE2A18" w:rsidP="00BE2A18">
            <w:pPr>
              <w:rPr>
                <w:b/>
                <w:bCs/>
              </w:rPr>
            </w:pPr>
            <w:proofErr w:type="spellStart"/>
            <w:r w:rsidRPr="00BE2A18">
              <w:rPr>
                <w:b/>
                <w:bCs/>
              </w:rPr>
              <w:t>Directness</w:t>
            </w:r>
            <w:proofErr w:type="spellEnd"/>
          </w:p>
        </w:tc>
        <w:tc>
          <w:tcPr>
            <w:tcW w:w="1558" w:type="dxa"/>
            <w:noWrap/>
            <w:hideMark/>
          </w:tcPr>
          <w:p w:rsidR="00BE2A18" w:rsidRPr="00BE2A18" w:rsidRDefault="00BE2A18" w:rsidP="00BE2A18">
            <w:pPr>
              <w:rPr>
                <w:b/>
                <w:bCs/>
              </w:rPr>
            </w:pPr>
            <w:r w:rsidRPr="00BE2A18">
              <w:rPr>
                <w:b/>
                <w:bCs/>
              </w:rPr>
              <w:t>Precision</w:t>
            </w:r>
            <w:bookmarkStart w:id="0" w:name="_GoBack"/>
            <w:bookmarkEnd w:id="0"/>
          </w:p>
        </w:tc>
        <w:tc>
          <w:tcPr>
            <w:tcW w:w="1640" w:type="dxa"/>
            <w:noWrap/>
            <w:hideMark/>
          </w:tcPr>
          <w:p w:rsidR="00BE2A18" w:rsidRPr="00BE2A18" w:rsidRDefault="00BE2A18" w:rsidP="00BE2A18">
            <w:pPr>
              <w:rPr>
                <w:b/>
                <w:bCs/>
              </w:rPr>
            </w:pPr>
            <w:proofErr w:type="spellStart"/>
            <w:r w:rsidRPr="00BE2A18">
              <w:rPr>
                <w:b/>
                <w:bCs/>
              </w:rPr>
              <w:t>Publication</w:t>
            </w:r>
            <w:proofErr w:type="spellEnd"/>
            <w:r w:rsidRPr="00BE2A18">
              <w:rPr>
                <w:b/>
                <w:bCs/>
              </w:rPr>
              <w:t xml:space="preserve"> </w:t>
            </w:r>
            <w:proofErr w:type="spellStart"/>
            <w:r w:rsidRPr="00BE2A18">
              <w:rPr>
                <w:b/>
                <w:bCs/>
              </w:rPr>
              <w:t>bias</w:t>
            </w:r>
            <w:proofErr w:type="spellEnd"/>
          </w:p>
        </w:tc>
        <w:tc>
          <w:tcPr>
            <w:tcW w:w="1824" w:type="dxa"/>
            <w:noWrap/>
            <w:hideMark/>
          </w:tcPr>
          <w:p w:rsidR="00BE2A18" w:rsidRPr="00BE2A18" w:rsidRDefault="00BE2A18" w:rsidP="00BE2A18">
            <w:pPr>
              <w:rPr>
                <w:b/>
                <w:bCs/>
              </w:rPr>
            </w:pPr>
            <w:proofErr w:type="spellStart"/>
            <w:r w:rsidRPr="00BE2A18">
              <w:rPr>
                <w:b/>
                <w:bCs/>
              </w:rPr>
              <w:t>Effect</w:t>
            </w:r>
            <w:proofErr w:type="spellEnd"/>
          </w:p>
        </w:tc>
        <w:tc>
          <w:tcPr>
            <w:tcW w:w="1783" w:type="dxa"/>
            <w:noWrap/>
            <w:hideMark/>
          </w:tcPr>
          <w:p w:rsidR="00BE2A18" w:rsidRPr="00BE2A18" w:rsidRDefault="00BE2A18" w:rsidP="00BE2A18">
            <w:pPr>
              <w:rPr>
                <w:b/>
                <w:bCs/>
              </w:rPr>
            </w:pPr>
            <w:r w:rsidRPr="00BE2A18">
              <w:rPr>
                <w:b/>
                <w:bCs/>
              </w:rPr>
              <w:t>Dose-</w:t>
            </w:r>
            <w:proofErr w:type="spellStart"/>
            <w:r w:rsidRPr="00BE2A18">
              <w:rPr>
                <w:b/>
                <w:bCs/>
              </w:rPr>
              <w:t>Response</w:t>
            </w:r>
            <w:proofErr w:type="spellEnd"/>
          </w:p>
        </w:tc>
        <w:tc>
          <w:tcPr>
            <w:tcW w:w="2255" w:type="dxa"/>
            <w:noWrap/>
            <w:hideMark/>
          </w:tcPr>
          <w:p w:rsidR="00BE2A18" w:rsidRPr="00BE2A18" w:rsidRDefault="00BE2A18" w:rsidP="00BE2A18">
            <w:pPr>
              <w:rPr>
                <w:b/>
                <w:bCs/>
              </w:rPr>
            </w:pPr>
            <w:proofErr w:type="spellStart"/>
            <w:r w:rsidRPr="00BE2A18">
              <w:rPr>
                <w:b/>
                <w:bCs/>
              </w:rPr>
              <w:t>Residual</w:t>
            </w:r>
            <w:proofErr w:type="spellEnd"/>
            <w:r w:rsidRPr="00BE2A18">
              <w:rPr>
                <w:b/>
                <w:bCs/>
              </w:rPr>
              <w:t xml:space="preserve"> </w:t>
            </w:r>
            <w:proofErr w:type="spellStart"/>
            <w:r w:rsidRPr="00BE2A18">
              <w:rPr>
                <w:b/>
                <w:bCs/>
              </w:rPr>
              <w:t>confounding</w:t>
            </w:r>
            <w:proofErr w:type="spellEnd"/>
          </w:p>
        </w:tc>
      </w:tr>
      <w:tr w:rsidR="00BE2A18" w:rsidRPr="00BE2A18" w:rsidTr="00BE2A18">
        <w:trPr>
          <w:trHeight w:val="900"/>
        </w:trPr>
        <w:tc>
          <w:tcPr>
            <w:tcW w:w="2420" w:type="dxa"/>
            <w:vMerge w:val="restart"/>
            <w:hideMark/>
          </w:tcPr>
          <w:p w:rsidR="00BE2A18" w:rsidRPr="00BE2A18" w:rsidRDefault="00BE2A18" w:rsidP="00BE2A18">
            <w:proofErr w:type="spellStart"/>
            <w:r w:rsidRPr="00BE2A18">
              <w:t>Hannan</w:t>
            </w:r>
            <w:proofErr w:type="spellEnd"/>
            <w:r w:rsidRPr="00BE2A18">
              <w:t xml:space="preserve"> et al, 1994</w:t>
            </w:r>
            <w:r>
              <w:t xml:space="preserve"> </w:t>
            </w:r>
            <w:r>
              <w:fldChar w:fldCharType="begin" w:fldLock="1"/>
            </w:r>
            <w:r>
              <w:instrText>ADDIN CSL_CITATION { "citationItems" : [ { "id" : "ITEM-1", "itemData" : { "DOI" : "10.1016/0003-4975(94)91726-4", "ISSN" : "00034975", "PMID" : "7979781", "abstract" : "This study examined changes in the risk-adjusted mortality associated with coronary artery bypass grafting procedures performed in New York State during the first 4 years of New York's Cardiac Surgery Reporting System (1989 to 1992). To track performance over time, surgeons and hospitals were subdivided into three groups on the basis of their performance in 1989. The risk-adjusted mortality for each of the three groups was computed for 1992 and compared with their 1989 mortality. The results indicate that all groups of providers exhibited large reductions in the risk-adjusted mortalities, with the groups that showed the highest initial mortalities manifesting the most improvement. However, the group rankings remained the same in 1992 as they were in 1989. For example, when the hospital groups were based on the terciles of risk-adjusted mortality observed in 1989, the risk-adjusted mortality decreased from 2.72% to 2.19% for group 1, from 4.24% to 2.51% for group 2, and from 7.12% to 2.77% for group 3. Notably, the risk-adjusted mortalities of the three groups were all significantly different from one another in 1989, but were not significantly different from one another in 1992. Another interesting finding was that the volume of operations performed by the various provider groups did not change substantially in the 4-year period. ?? 1994.", "author" : [ { "dropping-particle" : "", "family" : "Hannan", "given" : "Edward L.", "non-dropping-particle" : "", "parse-names" : false, "suffix" : "" }, { "dropping-particle" : "", "family" : "Kumar", "given" : "Dinesh", "non-dropping-particle" : "", "parse-names" : false, "suffix" : "" }, { "dropping-particle" : "", "family" : "Racz", "given" : "Michael", "non-dropping-particle" : "", "parse-names" : false, "suffix" : "" }, { "dropping-particle" : "", "family" : "Siu", "given" : "Albert L.", "non-dropping-particle" : "", "parse-names" : false, "suffix" : "" }, { "dropping-particle" : "", "family" : "Chassin", "given" : "Mark R.", "non-dropping-particle" : "", "parse-names" : false, "suffix" : "" } ], "container-title" : "The Annals of Thoracic Surgery", "id" : "ITEM-1", "issue" : "6", "issued" : { "date-parts" : [ [ "1994" ] ] }, "page" : "1852-1857", "publisher" : "The Society of Thoracic Surgeons", "title" : "New York state's cardiac surgery reporting system: Four years later", "type" : "article-journal", "volume" : "58" }, "uris" : [ "http://www.mendeley.com/documents/?uuid=c49f802a-43a5-48a3-b913-f4f0d8e2da2d" ] } ], "mendeley" : { "formattedCitation" : "(1)", "plainTextFormattedCitation" : "(1)", "previouslyFormattedCitation" : "(1)" }, "properties" : { "noteIndex" : 0 }, "schema" : "https://github.com/citation-style-language/schema/raw/master/csl-citation.json" }</w:instrText>
            </w:r>
            <w:r>
              <w:fldChar w:fldCharType="separate"/>
            </w:r>
            <w:r w:rsidRPr="00BE2A18">
              <w:rPr>
                <w:noProof/>
              </w:rPr>
              <w:t>(1)</w:t>
            </w:r>
            <w:r>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 xml:space="preserve">Small (some </w:t>
            </w:r>
            <w:proofErr w:type="spellStart"/>
            <w:r w:rsidRPr="00BE2A18">
              <w:t>statistically</w:t>
            </w:r>
            <w:proofErr w:type="spellEnd"/>
            <w:r w:rsidRPr="00BE2A18">
              <w:t xml:space="preserve"> </w:t>
            </w:r>
            <w:proofErr w:type="spellStart"/>
            <w:r w:rsidRPr="00BE2A18">
              <w:t>significant</w:t>
            </w:r>
            <w:proofErr w:type="spellEnd"/>
            <w:r w:rsidRPr="00BE2A18">
              <w:t>)</w:t>
            </w:r>
          </w:p>
        </w:tc>
        <w:tc>
          <w:tcPr>
            <w:tcW w:w="1783" w:type="dxa"/>
            <w:hideMark/>
          </w:tcPr>
          <w:p w:rsidR="00BE2A18" w:rsidRPr="00BE2A18" w:rsidRDefault="00BE2A18" w:rsidP="00BE2A18">
            <w:proofErr w:type="spellStart"/>
            <w:r w:rsidRPr="00BE2A18">
              <w:t>Minimal</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hideMark/>
          </w:tcPr>
          <w:p w:rsidR="00BE2A18" w:rsidRPr="00BE2A18" w:rsidRDefault="00BE2A18" w:rsidP="00BE2A18">
            <w:proofErr w:type="spellStart"/>
            <w:r w:rsidRPr="00BE2A18">
              <w:t>Dziuban</w:t>
            </w:r>
            <w:proofErr w:type="spellEnd"/>
            <w:r w:rsidRPr="00BE2A18">
              <w:t xml:space="preserve"> et al, 1994</w:t>
            </w:r>
            <w:r>
              <w:t xml:space="preserve"> </w:t>
            </w:r>
            <w:r>
              <w:fldChar w:fldCharType="begin" w:fldLock="1"/>
            </w:r>
            <w:r w:rsidR="00A30BA9">
              <w:instrText>ADDIN CSL_CITATION { "citationItems" : [ { "id" : "ITEM-1", "itemData" : { "DOI" : "10.1016/0003-4975(94)91730-2", "ISSN" : "0003-4975", "PMID" : "7979785", "abstract" : "In New York State, a risk-adjusted outcomes system has been used by the Department of Health to monitor all cardiac operations since January 1989. Hospital-specific and physician-specific results are published annually. In this report we describe the experience of one hospital in New York State whose results showed a higher than expected surgical mortality. Staff reactions were initially skeptical, and case reviews found no quality-of-care problems. However, a different approach using statistical analysis of the detailed case-specific outcomes data was more revealing. The excess mortality was localized to patients having high-acuity, emergency coronary artery bypass grafting, particularly those who had suffered a preoperative acute myocardial infarction less than 6 hours before, those who were in shock, or those who were in a hemodynamically unstable condition. The staff responded with a focused effort to optimize the management of these patients, resulting in zero mortality for emergency coronary artery bypass grafting during the following year. In the process, staff from all departments joined together in a more collaborative approach to the cardiac surgery program. Outcomes data can be useful for effecting program improvement if comparable norms and open access for flexible analysis are available.", "author" : [ { "dropping-particle" : "", "family" : "Dziuban", "given" : "Stanley W.", "non-dropping-particle" : "", "parse-names" : false, "suffix" : "" }, { "dropping-particle" : "", "family" : "McIlduff", "given" : "Joseph B.", "non-dropping-particle" : "", "parse-names" : false, "suffix" : "" }, { "dropping-particle" : "", "family" : "Miller", "given" : "Stuart J.", "non-dropping-particle" : "", "parse-names" : false, "suffix" : "" }, { "dropping-particle" : "", "family" : "Dal Col", "given" : "R H", "non-dropping-particle" : "", "parse-names" : false, "suffix" : "" } ], "container-title" : "The Annals of thoracic surgery", "id" : "ITEM-1", "issue" : "6", "issued" : { "date-parts" : [ [ "1994", "12" ] ] }, "page" : "1871-6", "publisher" : "The Society of Thoracic Surgeons", "title" : "How a New York cardiac surgery program uses outcomes data.", "type" : "article-journal", "volume" : "58" }, "uris" : [ "http://www.mendeley.com/documents/?uuid=879bb369-089f-46c8-856b-416ae79d5cc9" ] } ], "mendeley" : { "formattedCitation" : "(2)", "plainTextFormattedCitation" : "(2)", "previouslyFormattedCitation" : "(2)" }, "properties" : { "noteIndex" : 0 }, "schema" : "https://github.com/citation-style-language/schema/raw/master/csl-citation.json" }</w:instrText>
            </w:r>
            <w:r>
              <w:fldChar w:fldCharType="separate"/>
            </w:r>
            <w:r w:rsidRPr="00BE2A18">
              <w:rPr>
                <w:noProof/>
              </w:rPr>
              <w:t>(2)</w:t>
            </w:r>
            <w:r>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proofErr w:type="spellStart"/>
            <w:r w:rsidRPr="00BE2A18">
              <w:t>Indirect</w:t>
            </w:r>
            <w:proofErr w:type="spellEnd"/>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w:t>
            </w:r>
          </w:p>
        </w:tc>
        <w:tc>
          <w:tcPr>
            <w:tcW w:w="1783" w:type="dxa"/>
            <w:hideMark/>
          </w:tcPr>
          <w:p w:rsidR="00BE2A18" w:rsidRPr="00BE2A18" w:rsidRDefault="00BE2A18" w:rsidP="00BE2A18">
            <w:proofErr w:type="spellStart"/>
            <w:r w:rsidRPr="00BE2A18">
              <w:t>Not</w:t>
            </w:r>
            <w:proofErr w:type="spellEnd"/>
            <w:r w:rsidRPr="00BE2A18">
              <w:t xml:space="preserve"> </w:t>
            </w:r>
            <w:proofErr w:type="spellStart"/>
            <w:r w:rsidRPr="00BE2A18">
              <w:t>shown</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hideMark/>
          </w:tcPr>
          <w:p w:rsidR="00BE2A18" w:rsidRPr="00BE2A18" w:rsidRDefault="00BE2A18" w:rsidP="00BE2A18">
            <w:proofErr w:type="spellStart"/>
            <w:r w:rsidRPr="00BE2A18">
              <w:t>Rosenthal</w:t>
            </w:r>
            <w:proofErr w:type="spellEnd"/>
            <w:r w:rsidRPr="00BE2A18">
              <w:t xml:space="preserve"> et al, 1997</w:t>
            </w:r>
            <w:r>
              <w:t xml:space="preserve"> </w:t>
            </w:r>
            <w:r w:rsidR="00A30BA9">
              <w:fldChar w:fldCharType="begin" w:fldLock="1"/>
            </w:r>
            <w:r w:rsidR="00A30BA9">
              <w:instrText>ADDIN CSL_CITATION { "citationItems" : [ { "id" : "ITEM-1", "itemData" : { "DOI" : "10.1177/0885713X9701200204", "ISSN" : "1062-8606", "PMID" : "9161057", "abstract" : "To determine changes in hospital mortality that occurred in association with the dissemination of data by a regional initiative to profile hospital performance, we conducted a retrospective cohort study of patients admitted before and subsequent to dissemination of comparative data in 1992. The analysis included 101,060 consecutive eligible discharges from 30 hospitals in Northeast Ohio with eight diagnoses: acute myocardial infarction, congestive heart failure (CHF), obstructive airway disease, gastrointestinal hemorrhage, pneumonia, stroke, coronary artery bypass surgery, and lower bowel resection. Baseline (1991, N = 35,629) mortality rates were compared to rates during three subsequent periods (July-December 1992, N = 20,392; January-June 1993, N = 23,070; and July-December 1993, N = 21,969). Mortality rates were risk-adjusted using validated multivariable models based on data abstracted from patient's medical records. For all conditions, risk-adjusted mortality declined from a baseline rate of 7.5% to rates of 6.8%, 6.8%, and 6.5%, respectively, during the three subsequent periods. Using weighted linear regression analysis to estimate trends across periods, declines in mortality rates were significant for CHF (0.50% per period; P = 0.002) and pneumonia (0.38% per period; P = 0.03). We conclude that hospital mortality declined in association with the dissemination of comparative data. Although changes in hospital care were not directly examined, the results suggest that initiatives to examine provider performance may have a beneficial impact on quality of care.", "author" : [ { "dropping-particle" : "", "family" : "Rosenthal", "given" : "G. E.", "non-dropping-particle" : "", "parse-names" : false, "suffix" : "" }, { "dropping-particle" : "", "family" : "Quinn", "given" : "L.", "non-dropping-particle" : "", "parse-names" : false, "suffix" : "" }, { "dropping-particle" : "", "family" : "Harper", "given" : "D. L.", "non-dropping-particle" : "", "parse-names" : false, "suffix" : "" } ], "container-title" : "American journal of medical quality : the official journal of the American College of Medical Quality", "id" : "ITEM-1", "issue" : "2", "issued" : { "date-parts" : [ [ "1997", "1" ] ] }, "page" : "103-12", "title" : "Declines in hospital mortality associated with a regional initiative to measure hospital performance.", "type" : "article-journal", "volume" : "12" }, "uris" : [ "http://www.mendeley.com/documents/?uuid=f6d976f4-a2c6-4795-ad5d-c5ea4c9663c9" ] } ], "mendeley" : { "formattedCitation" : "(3)", "plainTextFormattedCitation" : "(3)", "previouslyFormattedCitation" : "(3)" }, "properties" : { "noteIndex" : 0 }, "schema" : "https://github.com/citation-style-language/schema/raw/master/csl-citation.json" }</w:instrText>
            </w:r>
            <w:r w:rsidR="00A30BA9">
              <w:fldChar w:fldCharType="separate"/>
            </w:r>
            <w:r w:rsidR="00A30BA9" w:rsidRPr="00A30BA9">
              <w:rPr>
                <w:noProof/>
              </w:rPr>
              <w:t>(3)</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proofErr w:type="spellStart"/>
            <w:r w:rsidRPr="00BE2A18">
              <w:t>Indirect</w:t>
            </w:r>
            <w:proofErr w:type="spellEnd"/>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 xml:space="preserve">Small (some </w:t>
            </w:r>
            <w:proofErr w:type="spellStart"/>
            <w:r w:rsidRPr="00BE2A18">
              <w:t>statistically</w:t>
            </w:r>
            <w:proofErr w:type="spellEnd"/>
            <w:r w:rsidRPr="00BE2A18">
              <w:t xml:space="preserve"> </w:t>
            </w:r>
            <w:proofErr w:type="spellStart"/>
            <w:r w:rsidRPr="00BE2A18">
              <w:t>significant</w:t>
            </w:r>
            <w:proofErr w:type="spellEnd"/>
            <w:r w:rsidRPr="00BE2A18">
              <w:t>)</w:t>
            </w:r>
          </w:p>
        </w:tc>
        <w:tc>
          <w:tcPr>
            <w:tcW w:w="1783" w:type="dxa"/>
            <w:hideMark/>
          </w:tcPr>
          <w:p w:rsidR="00BE2A18" w:rsidRPr="00BE2A18" w:rsidRDefault="00BE2A18" w:rsidP="00BE2A18">
            <w:proofErr w:type="spellStart"/>
            <w:r w:rsidRPr="00BE2A18">
              <w:t>Not</w:t>
            </w:r>
            <w:proofErr w:type="spellEnd"/>
            <w:r w:rsidRPr="00BE2A18">
              <w:t xml:space="preserve"> </w:t>
            </w:r>
            <w:proofErr w:type="spellStart"/>
            <w:r w:rsidRPr="00BE2A18">
              <w:t>shown</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hideMark/>
          </w:tcPr>
          <w:p w:rsidR="00BE2A18" w:rsidRPr="00BE2A18" w:rsidRDefault="00BE2A18" w:rsidP="00BE2A18">
            <w:proofErr w:type="spellStart"/>
            <w:r w:rsidRPr="00315540">
              <w:t>Peterson</w:t>
            </w:r>
            <w:proofErr w:type="spellEnd"/>
            <w:r w:rsidRPr="00315540">
              <w:t xml:space="preserve"> et al, 1998</w:t>
            </w:r>
            <w:r w:rsidR="00A30BA9" w:rsidRPr="00315540">
              <w:t xml:space="preserve"> </w:t>
            </w:r>
            <w:r w:rsidR="00315540">
              <w:fldChar w:fldCharType="begin" w:fldLock="1"/>
            </w:r>
            <w:r w:rsidR="00315540">
              <w:instrText>ADDIN CSL_CITATION { "citationItems" : [ { "id" : "ITEM-1", "itemData" : { "ISSN" : "0735-1097", "PMID" : "9768723", "abstract" : "OBJECTIVE: The aim of this study was to examine the effects of provider profiling on bypass surgery access and outcomes in elderly patients in New York. BACKGROUND: Since 1989, New York (NY) has compiled provider-specific bypass surgery mortality reports. While some have proposed that \"provider profiling\" has led to lower surgical mortality rates, critics have suggested that such programs lower in-state procedural access (increasing out-of-state transfers) without improving patient outcomes. METHODS: Using national Medicare data, we examined trends in the percentages of NY residents aged 65 years or older receiving out-of-state bypass surgery between 1987 and 1992 (before and after program initiation). We also examined in-state procedure use among elderly myocardial infarction patients during this period. Finally, we compared trends in surgical outcomes in NY Medicare patients with those for the rest of the nation. RESULTS: Between 1987 and 1992, the percentage of NY residents receiving bypass out-of-state actually declined (from 12.5% to 11.3%, p &lt; 0.01 for trend). An elderly patient's likelihood for bypass following myocardial infarction in NY increased significantly since the program's initiation. Between 1987 and 1992, unadjusted 30-day mortality rates following bypass declined by 33% in NY Medicare patients compared with a 19% decline nationwide (p &lt; 0.001). As a result of this improvement, NY had the lowest risk-adjusted bypass mortality rate of any state in 1992. CONCLUSIONS: We found no evidence that NY's provider profiling limited procedure access in NY's elderly or increased out-of-state transfers. Despite an increasing preoperative risk profile, procedural outcomes in NY improved significantly faster than the national average.", "author" : [ { "dropping-particle" : "", "family" : "Peterson", "given" : "Eric D", "non-dropping-particle" : "", "parse-names" : false, "suffix" : "" }, { "dropping-particle" : "", "family" : "DeLong", "given" : "E R", "non-dropping-particle" : "", "parse-names" : false, "suffix" : "" }, { "dropping-particle" : "", "family" : "Jollis", "given" : "James G", "non-dropping-particle" : "", "parse-names" : false, "suffix" : "" }, { "dropping-particle" : "", "family" : "Muhlbaier", "given" : "Lawrence H", "non-dropping-particle" : "", "parse-names" : false, "suffix" : "" }, { "dropping-particle" : "", "family" : "Mark", "given" : "Daniel B", "non-dropping-particle" : "", "parse-names" : false, "suffix" : "" } ], "container-title" : "Journal of the American College of Cardiology", "id" : "ITEM-1", "issue" : "4", "issued" : { "date-parts" : [ [ "1998", "10" ] ] }, "page" : "993-9", "title" : "The effects of New York's bypass surgery provider profiling on access to care and patient outcomes in the elderly.", "type" : "article-journal", "volume" : "32" }, "uris" : [ "http://www.mendeley.com/documents/?uuid=09fdbd4a-56f9-4f34-8fe2-2549d0cb036e" ] } ], "mendeley" : { "formattedCitation" : "(4)", "plainTextFormattedCitation" : "(4)", "previouslyFormattedCitation" : "(4)" }, "properties" : { "noteIndex" : 0 }, "schema" : "https://github.com/citation-style-language/schema/raw/master/csl-citation.json" }</w:instrText>
            </w:r>
            <w:r w:rsidR="00315540">
              <w:fldChar w:fldCharType="separate"/>
            </w:r>
            <w:r w:rsidR="00315540" w:rsidRPr="00315540">
              <w:rPr>
                <w:noProof/>
              </w:rPr>
              <w:t>(4)</w:t>
            </w:r>
            <w:r w:rsidR="00315540">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 xml:space="preserve">Small (some </w:t>
            </w:r>
            <w:proofErr w:type="spellStart"/>
            <w:r w:rsidRPr="00BE2A18">
              <w:t>statistically</w:t>
            </w:r>
            <w:proofErr w:type="spellEnd"/>
            <w:r w:rsidRPr="00BE2A18">
              <w:t xml:space="preserve"> </w:t>
            </w:r>
            <w:proofErr w:type="spellStart"/>
            <w:r w:rsidRPr="00BE2A18">
              <w:t>significant</w:t>
            </w:r>
            <w:proofErr w:type="spellEnd"/>
            <w:r w:rsidRPr="00BE2A18">
              <w:t>)</w:t>
            </w:r>
          </w:p>
        </w:tc>
        <w:tc>
          <w:tcPr>
            <w:tcW w:w="1783" w:type="dxa"/>
            <w:hideMark/>
          </w:tcPr>
          <w:p w:rsidR="00BE2A18" w:rsidRPr="00BE2A18" w:rsidRDefault="00BE2A18" w:rsidP="00BE2A18">
            <w:r w:rsidRPr="00BE2A18">
              <w:t>Small</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600"/>
        </w:trPr>
        <w:tc>
          <w:tcPr>
            <w:tcW w:w="2420" w:type="dxa"/>
            <w:vMerge w:val="restart"/>
            <w:noWrap/>
            <w:hideMark/>
          </w:tcPr>
          <w:p w:rsidR="00BE2A18" w:rsidRPr="00BE2A18" w:rsidRDefault="00BE2A18" w:rsidP="00BE2A18">
            <w:proofErr w:type="spellStart"/>
            <w:r w:rsidRPr="00BE2A18">
              <w:t>Chassin</w:t>
            </w:r>
            <w:proofErr w:type="spellEnd"/>
            <w:r w:rsidRPr="00BE2A18">
              <w:t>, 2002</w:t>
            </w:r>
            <w:r w:rsidR="00A30BA9">
              <w:t xml:space="preserve"> </w:t>
            </w:r>
            <w:r w:rsidR="00A30BA9">
              <w:fldChar w:fldCharType="begin" w:fldLock="1"/>
            </w:r>
            <w:r w:rsidR="00315540">
              <w:instrText>ADDIN CSL_CITATION { "citationItems" : [ { "id" : "ITEM-1", "itemData" : { "DOI" : "10.1377/hlthaff.21.4.40", "ISBN" : "0278-2715", "ISSN" : "02782715", "PMID" : "12117152", "abstract" : "Since 1989 the New York State Department of Health has published annual data on risk-adjusted mortality following coronary artery bypass graft surgery by hospital and surgeon. It was the first such program in the nation and is now the most long-lived. Many hospitals were prompted by the data to improve their cardiac surgery programs, and statewide mortality fell substantially as a result. This paper examines what physicians and hospitals did in response to the data, how the market reacted, and whether this approach to quality measurement and improvement could be used more widely.", "author" : [ { "dropping-particle" : "", "family" : "Chassin", "given" : "Mark R.", "non-dropping-particle" : "", "parse-names" : false, "suffix" : "" } ], "container-title" : "Health Affairs", "id" : "ITEM-1", "issue" : "4", "issued" : { "date-parts" : [ [ "2002" ] ] }, "page" : "40-51", "title" : "Achieving and sustaining improved quality: Lessons from New York state and cardiac surgery", "type" : "article-journal", "volume" : "21" }, "uris" : [ "http://www.mendeley.com/documents/?uuid=1cc4d30c-c15a-46b2-ac7b-1a943185380e" ] } ], "mendeley" : { "formattedCitation" : "(5)", "plainTextFormattedCitation" : "(5)", "previouslyFormattedCitation" : "(5)" }, "properties" : { "noteIndex" : 0 }, "schema" : "https://github.com/citation-style-language/schema/raw/master/csl-citation.json" }</w:instrText>
            </w:r>
            <w:r w:rsidR="00A30BA9">
              <w:fldChar w:fldCharType="separate"/>
            </w:r>
            <w:r w:rsidR="00315540" w:rsidRPr="00315540">
              <w:rPr>
                <w:noProof/>
              </w:rPr>
              <w:t>(5)</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Moderate</w:t>
            </w:r>
          </w:p>
        </w:tc>
        <w:tc>
          <w:tcPr>
            <w:tcW w:w="1783" w:type="dxa"/>
            <w:hideMark/>
          </w:tcPr>
          <w:p w:rsidR="00BE2A18" w:rsidRPr="00BE2A18" w:rsidRDefault="00BE2A18" w:rsidP="00BE2A18">
            <w:r w:rsidRPr="00BE2A18">
              <w:t>Small</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600"/>
        </w:trPr>
        <w:tc>
          <w:tcPr>
            <w:tcW w:w="2420" w:type="dxa"/>
            <w:vMerge w:val="restart"/>
            <w:noWrap/>
            <w:hideMark/>
          </w:tcPr>
          <w:p w:rsidR="00BE2A18" w:rsidRPr="00BE2A18" w:rsidRDefault="00BE2A18" w:rsidP="00BE2A18">
            <w:proofErr w:type="spellStart"/>
            <w:r w:rsidRPr="00BE2A18">
              <w:t>Clough</w:t>
            </w:r>
            <w:proofErr w:type="spellEnd"/>
            <w:r w:rsidRPr="00BE2A18">
              <w:t xml:space="preserve"> et al, 2002</w:t>
            </w:r>
            <w:r w:rsidR="00A30BA9">
              <w:t xml:space="preserve"> </w:t>
            </w:r>
            <w:r w:rsidR="00A30BA9">
              <w:fldChar w:fldCharType="begin" w:fldLock="1"/>
            </w:r>
            <w:r w:rsidR="00315540">
              <w:instrText>ADDIN CSL_CITATION { "citationItems" : [ { "id" : "ITEM-1", "itemData" : { "DOI" : "10.1177/106286060201700202", "ISSN" : "1062-8606", "PMID" : "11941994", "abstract" : "The Cleveland Health Quality Choice (CHQC) project was previously suggested to have been responsible for declines in inpatient mortality in Cleveland hospitals during the first years of the project (1992-1993). We sought to (a) verify this decline in mortality and (b) better understand its possible relationship to CHQC. We employed regression analysis to compare mortality rate trends for Cleveland versus the rest of Ohio using Ohio Hospital Association inpatient mortality data. We found that the rate of decline in mortality in Cleveland (-.218% per 6 months; 95% confidence limits, -.278% to -.159% per 6 months) was statistically indistinguishable from that in the rest of the state (-.188% per 6 months; 95% confidence limits, -.234% to -.143% per 6 months) (P = .35). We could not demonstrate a significant beneficial effect of the CHQC project on hospital mortality in Cleveland. Inpatient mortality was simultaneously declining at a statistically indistinguishable rate throughout the state.", "author" : [ { "dropping-particle" : "", "family" : "Clough", "given" : "John D.", "non-dropping-particle" : "", "parse-names" : false, "suffix" : "" }, { "dropping-particle" : "", "family" : "Engler", "given" : "David", "non-dropping-particle" : "", "parse-names" : false, "suffix" : "" }, { "dropping-particle" : "", "family" : "Snow", "given" : "Richard", "non-dropping-particle" : "", "parse-names" : false, "suffix" : "" }, { "dropping-particle" : "", "family" : "Canuto", "given" : "Phillip E.", "non-dropping-particle" : "", "parse-names" : false, "suffix" : "" } ], "container-title" : "American journal of medical quality : the official journal of the American College of Medical Quality", "id" : "ITEM-1", "issue" : "2", "issued" : { "date-parts" : [ [ "2002" ] ] }, "page" : "47-55", "title" : "Lack of relationship between the Cleveland Health Quality Choice project and decreased inpatient mortality in Cleveland.", "type" : "article-journal", "volume" : "17" }, "uris" : [ "http://www.mendeley.com/documents/?uuid=a4bbf04f-f20a-43cf-b6f2-0ed9fb5ea502" ] } ], "mendeley" : { "formattedCitation" : "(6)", "plainTextFormattedCitation" : "(6)", "previouslyFormattedCitation" : "(6)" }, "properties" : { "noteIndex" : 0 }, "schema" : "https://github.com/citation-style-language/schema/raw/master/csl-citation.json" }</w:instrText>
            </w:r>
            <w:r w:rsidR="00A30BA9">
              <w:fldChar w:fldCharType="separate"/>
            </w:r>
            <w:r w:rsidR="00315540" w:rsidRPr="00315540">
              <w:rPr>
                <w:noProof/>
              </w:rPr>
              <w:t>(6)</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w:t>
            </w:r>
          </w:p>
        </w:tc>
        <w:tc>
          <w:tcPr>
            <w:tcW w:w="1783" w:type="dxa"/>
            <w:hideMark/>
          </w:tcPr>
          <w:p w:rsidR="00BE2A18" w:rsidRPr="00BE2A18" w:rsidRDefault="00BE2A18" w:rsidP="00BE2A18">
            <w:proofErr w:type="spellStart"/>
            <w:r w:rsidRPr="00BE2A18">
              <w:t>Very</w:t>
            </w:r>
            <w:proofErr w:type="spellEnd"/>
            <w:r w:rsidRPr="00BE2A18">
              <w:t xml:space="preserve"> </w:t>
            </w:r>
            <w:proofErr w:type="spellStart"/>
            <w:r w:rsidRPr="00BE2A18">
              <w:t>minimal</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r w:rsidRPr="00BE2A18">
              <w:lastRenderedPageBreak/>
              <w:t>Baker et al, 2002</w:t>
            </w:r>
            <w:r w:rsidR="00A30BA9">
              <w:t xml:space="preserve"> </w:t>
            </w:r>
            <w:r w:rsidR="00A30BA9">
              <w:fldChar w:fldCharType="begin" w:fldLock="1"/>
            </w:r>
            <w:r w:rsidR="00315540">
              <w:instrText>ADDIN CSL_CITATION { "citationItems" : [ { "id" : "ITEM-1", "itemData" : { "DOI" : "10.1097/01.MLR.0000027342.91069.F8", "ISBN" : "0025-7079 (Print)\\r0025-7079 (Linking)", "ISSN" : "0025-7079", "PMID" : "12395022", "abstract" : "BACKGROUND: It is unclear whether publicly reporting hospitals' risk-adjusted mortality leads to improvements in outcomes. OBJECTIVES: To examine mortality trends during a period (1991-1997) when the Cleveland Health Quality Choice program was operational. RESEARCH DESIGN: Time series. SUBJECTS: Medicare patients hospitalized with acute myocardial infarction (AMI; n = 10,439), congestive heart failure (CHF; n = 23,505), gastrointestinal hemorrhage (GIH; n = 11,088), chronic obstructive pulmonary disease (COPD; n = 8495), pneumonia (n = 23,719), or stroke (n = 14,293). MEASURES: Risk-adjusted in-hospital mortality, early postdischarge mortality (between discharge and 30 days after admission), and 30-day mortality. RESULTS: Risk-adjusted in-hospital mortality declined significantly for all conditions except stroke and GIH, with absolute declines ranging from -2.1% for COPD to -4.8% for pneumonia. However, the mortality rate in the early postdischarge period rose significantly for all conditions except COPD, with increases ranging from 1.4% for GIH to 3.8% for stroke. As a consequence, the 30-day mortality declined significantly only for CHF (absolute decline 1.4%, 95% CI, -2.5 to -0.1%) and COPD (absolute decline 1.6%, 95% CI, -2.8-0.0%). For stroke, risk-adjusted 30-day mortality actually increased by 4.3% (95% CI, 1.8-7.1%). CONCLUSION: During Cleveland's experiment with hospital report cards, deaths shifted from in hospital to the period immediately after discharge with little or no net reduction in 30-day mortality for most conditions. Hospital profiling remains an unproven strategy for improving outcomes of care for medical conditions. Using in-hospital mortality rates to monitor trends in outcomes for hospitalized patients may lead to spurious conclusions.", "author" : [ { "dropping-particle" : "", "family" : "Baker", "given" : "David W", "non-dropping-particle" : "", "parse-names" : false, "suffix" : "" }, { "dropping-particle" : "", "family" : "Einstadter", "given" : "Doug", "non-dropping-particle" : "", "parse-names" : false, "suffix" : "" }, { "dropping-particle" : "", "family" : "Thomas", "given" : "Charles L", "non-dropping-particle" : "", "parse-names" : false, "suffix" : "" }, { "dropping-particle" : "", "family" : "Husak", "given" : "Scott S", "non-dropping-particle" : "", "parse-names" : false, "suffix" : "" }, { "dropping-particle" : "", "family" : "Gordon", "given" : "Nahida H", "non-dropping-particle" : "", "parse-names" : false, "suffix" : "" }, { "dropping-particle" : "", "family" : "Cebul", "given" : "Randall D", "non-dropping-particle" : "", "parse-names" : false, "suffix" : "" } ], "container-title" : "Medical care", "id" : "ITEM-1", "issue" : "10", "issued" : { "date-parts" : [ [ "2002" ] ] }, "page" : "879-90", "title" : "Mortality trends during a program that publicly reported hospital performance.", "type" : "article-journal", "volume" : "40" }, "uris" : [ "http://www.mendeley.com/documents/?uuid=a3938f03-22c7-41c7-b827-e33a90b732b3" ] } ], "mendeley" : { "formattedCitation" : "(7)", "plainTextFormattedCitation" : "(7)", "previouslyFormattedCitation" : "(7)" }, "properties" : { "noteIndex" : 0 }, "schema" : "https://github.com/citation-style-language/schema/raw/master/csl-citation.json" }</w:instrText>
            </w:r>
            <w:r w:rsidR="00A30BA9">
              <w:fldChar w:fldCharType="separate"/>
            </w:r>
            <w:r w:rsidR="00315540" w:rsidRPr="00315540">
              <w:rPr>
                <w:noProof/>
              </w:rPr>
              <w:t>(7)</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 (</w:t>
            </w:r>
            <w:proofErr w:type="spellStart"/>
            <w:r w:rsidRPr="00BE2A18">
              <w:t>few</w:t>
            </w:r>
            <w:proofErr w:type="spellEnd"/>
            <w:r w:rsidRPr="00BE2A18">
              <w:t xml:space="preserve"> </w:t>
            </w:r>
            <w:proofErr w:type="spellStart"/>
            <w:r w:rsidRPr="00BE2A18">
              <w:t>statistically</w:t>
            </w:r>
            <w:proofErr w:type="spellEnd"/>
            <w:r w:rsidRPr="00BE2A18">
              <w:t xml:space="preserve"> </w:t>
            </w:r>
            <w:proofErr w:type="spellStart"/>
            <w:r w:rsidRPr="00BE2A18">
              <w:t>significant</w:t>
            </w:r>
            <w:proofErr w:type="spellEnd"/>
            <w:r w:rsidRPr="00BE2A18">
              <w:t>)</w:t>
            </w:r>
          </w:p>
        </w:tc>
        <w:tc>
          <w:tcPr>
            <w:tcW w:w="1783" w:type="dxa"/>
            <w:hideMark/>
          </w:tcPr>
          <w:p w:rsidR="00BE2A18" w:rsidRPr="00BE2A18" w:rsidRDefault="00BE2A18" w:rsidP="00BE2A18">
            <w:r w:rsidRPr="00BE2A18">
              <w:t>None</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315540" w:rsidRDefault="00BE2A18" w:rsidP="00BE2A18">
            <w:pPr>
              <w:rPr>
                <w:lang w:val="en-US"/>
              </w:rPr>
            </w:pPr>
            <w:r w:rsidRPr="00BE2A18">
              <w:t>Baker et al, 2003</w:t>
            </w:r>
            <w:r w:rsidR="00A30BA9">
              <w:t xml:space="preserve"> </w:t>
            </w:r>
            <w:r w:rsidR="00A30BA9">
              <w:fldChar w:fldCharType="begin" w:fldLock="1"/>
            </w:r>
            <w:r w:rsidR="00315540">
              <w:instrText>ADDIN CSL_CITATION { "citationItems" : [ { "id" : "ITEM-1", "itemData" : { "DOI" : "10.1097/01.MLR.0000064640.66138.9A", "ISSN" : "0025-7079", "PMID" : "12773839", "abstract" : "BACKGROUND: It is unclear whether publicly reporting hospitals' risk-adjusted mortality affects market share and mortality at outlier hospitals. OBJECTIVES: To examine hospitals' market share and risk-adjusted mortality from 1991 to 1997 at hospitals participating in Cleveland Health Quality Choice (CHQC). RESEARCH DESIGN: Time series. SUBJECTS: Changes in market share were examined for all patients hospitalized with acute myocardial infarction, heart failure, gastrointestinal hemorrhage, obstructive pulmonary disease, pneumonia, or stroke at all 30 nonfederal hospitals in Northeast Ohio. Patients insured by Medicare were used to examine changes in mortality. MEASURES: Trends in market share (proportion of patients with the target conditions discharged from a given hospital) and risk-adjusted 30-day mortality. RESULTS: CHQC identified several hospitals with consistently higher than expected mortality. The five hospitals with the highest mortality tended to lose market share (mean change -0.6%, 95% CI -1.9-0.6), but this was not significant. The only outlier hospital with a large decline in market share had declining volume for 2 years before being declared an outlier. Risk-adjusted mortality declined only slightly at hospitals classified by us as \"below average\" (-0.8%; 95% CI, 2.9-1.8%) or \"worst\" (-0.4%; 95% CI -2.3-1.7). However, risk-adjusted mortality at one hospital changed from consistently above expected to consistently below expected shortly after first being declared an outlier. CONCLUSION: Despite CHQC's strengths, identifying hospitals with higher than expected mortality did not adversely affect their market share or, with one exception, lead to improved outcomes. This failure may have resulted from consumer disinterest or difficulty interpreting CHQC reports, unwillingness of businesses to create incentives targeted to hospitals' performance, and hospitals' inability to develop effective quality improvement programs.", "author" : [ { "dropping-part</w:instrText>
            </w:r>
            <w:r w:rsidR="00315540" w:rsidRPr="00315540">
              <w:rPr>
                <w:lang w:val="en-US"/>
              </w:rPr>
              <w:instrText>icle" : "", "family" : "Baker", "given" : "David W", "non-dropping-particle" : "", "parse-names" : false, "suffix" : "" }, { "dropping-particle" : "", "family" : "Einstadter", "given" : "Doug", "non-dropping-particle" : "", "parse-names" : false, "suffix" : "" }, { "dropping-particle" : "", "family" : "Thomas", "given" : "Charles", "non-dropping-particle" : "", "parse-names" : false, "suffix" : "" }, { "dropping-particle" : "", "family" : "Husak", "given" : "Scott", "non-dropping-particle" : "", "parse-names" : false, "suffix" : "" }, { "dropping-particle" : "", "family" : "Gordon", "given" : "Nahida H", "non-dropping-particle" : "", "parse-names" : false, "suffix" : "" }, { "dropping-particle" : "", "family" : "Cebul", "given" : "Randall D", "non-dropping-particle" : "", "parse-names" : false, "suffix" : "" } ], "container-title" : "Medical care", "id" : "ITEM-1", "issue" : "6", "issued" : { "date-parts" : [ [ "2003", "6" ] ] }, "page" : "729-40", "title" : "The effect of publicly reporting hospital performance on market share and risk-adjusted mortality at high-mortality hospitals.", "type" : "article-journal", "volume" : "41" }, "uris" : [ "http://www.mendeley.com/documents/?uuid=458e4dbb-a82e-4d58-b9e2-b980aec66aa8" ] } ], "mendeley" : { "formattedCitation" : "(8)", "plainTextFormattedCitation" : "(8)", "previouslyFormattedCitation" : "(8)" }, "properties" : { "noteIndex" : 0 }, "schema" : "https://github.com/citation-style-language/schema/raw/master/csl-citation.json" }</w:instrText>
            </w:r>
            <w:r w:rsidR="00A30BA9">
              <w:fldChar w:fldCharType="separate"/>
            </w:r>
            <w:r w:rsidR="00315540" w:rsidRPr="00315540">
              <w:rPr>
                <w:noProof/>
                <w:lang w:val="en-US"/>
              </w:rPr>
              <w:t>(8)</w:t>
            </w:r>
            <w:r w:rsidR="00A30BA9">
              <w:fldChar w:fldCharType="end"/>
            </w:r>
          </w:p>
        </w:tc>
        <w:tc>
          <w:tcPr>
            <w:tcW w:w="1660" w:type="dxa"/>
            <w:noWrap/>
            <w:hideMark/>
          </w:tcPr>
          <w:p w:rsidR="00BE2A18" w:rsidRPr="00315540" w:rsidRDefault="00BE2A18">
            <w:pPr>
              <w:rPr>
                <w:b/>
                <w:bCs/>
                <w:lang w:val="en-US"/>
              </w:rPr>
            </w:pPr>
            <w:r w:rsidRPr="00315540">
              <w:rPr>
                <w:b/>
                <w:bCs/>
                <w:lang w:val="en-US"/>
              </w:rPr>
              <w:t>Characteristic</w:t>
            </w:r>
          </w:p>
        </w:tc>
        <w:tc>
          <w:tcPr>
            <w:tcW w:w="1867" w:type="dxa"/>
            <w:noWrap/>
            <w:hideMark/>
          </w:tcPr>
          <w:p w:rsidR="00BE2A18" w:rsidRPr="00315540" w:rsidRDefault="00BE2A18" w:rsidP="00BE2A18">
            <w:pPr>
              <w:rPr>
                <w:lang w:val="en-US"/>
              </w:rPr>
            </w:pPr>
            <w:r w:rsidRPr="00315540">
              <w:rPr>
                <w:lang w:val="en-US"/>
              </w:rPr>
              <w:t>Observational study</w:t>
            </w:r>
          </w:p>
        </w:tc>
        <w:tc>
          <w:tcPr>
            <w:tcW w:w="1824" w:type="dxa"/>
            <w:hideMark/>
          </w:tcPr>
          <w:p w:rsidR="00BE2A18" w:rsidRPr="00315540" w:rsidRDefault="00BE2A18" w:rsidP="00BE2A18">
            <w:pPr>
              <w:rPr>
                <w:lang w:val="en-US"/>
              </w:rPr>
            </w:pPr>
            <w:r w:rsidRPr="00315540">
              <w:rPr>
                <w:lang w:val="en-US"/>
              </w:rPr>
              <w:t>Minimal</w:t>
            </w:r>
          </w:p>
        </w:tc>
        <w:tc>
          <w:tcPr>
            <w:tcW w:w="1619" w:type="dxa"/>
            <w:hideMark/>
          </w:tcPr>
          <w:p w:rsidR="00BE2A18" w:rsidRPr="00315540" w:rsidRDefault="00BE2A18" w:rsidP="00BE2A18">
            <w:pPr>
              <w:rPr>
                <w:lang w:val="en-US"/>
              </w:rPr>
            </w:pPr>
            <w:r w:rsidRPr="00315540">
              <w:rPr>
                <w:lang w:val="en-US"/>
              </w:rPr>
              <w:t>Consistent</w:t>
            </w:r>
          </w:p>
        </w:tc>
        <w:tc>
          <w:tcPr>
            <w:tcW w:w="1230" w:type="dxa"/>
            <w:hideMark/>
          </w:tcPr>
          <w:p w:rsidR="00BE2A18" w:rsidRPr="00315540" w:rsidRDefault="00BE2A18" w:rsidP="00BE2A18">
            <w:pPr>
              <w:rPr>
                <w:lang w:val="en-US"/>
              </w:rPr>
            </w:pPr>
            <w:r w:rsidRPr="00315540">
              <w:rPr>
                <w:lang w:val="en-US"/>
              </w:rPr>
              <w:t>Direct</w:t>
            </w:r>
          </w:p>
        </w:tc>
        <w:tc>
          <w:tcPr>
            <w:tcW w:w="1558" w:type="dxa"/>
            <w:hideMark/>
          </w:tcPr>
          <w:p w:rsidR="00BE2A18" w:rsidRPr="00315540" w:rsidRDefault="00BE2A18" w:rsidP="00BE2A18">
            <w:pPr>
              <w:rPr>
                <w:lang w:val="en-US"/>
              </w:rPr>
            </w:pPr>
            <w:r w:rsidRPr="00315540">
              <w:rPr>
                <w:lang w:val="en-US"/>
              </w:rPr>
              <w:t>Precise</w:t>
            </w:r>
          </w:p>
        </w:tc>
        <w:tc>
          <w:tcPr>
            <w:tcW w:w="1640" w:type="dxa"/>
            <w:hideMark/>
          </w:tcPr>
          <w:p w:rsidR="00BE2A18" w:rsidRPr="00315540" w:rsidRDefault="00BE2A18" w:rsidP="00BE2A18">
            <w:pPr>
              <w:rPr>
                <w:lang w:val="en-US"/>
              </w:rPr>
            </w:pPr>
            <w:r w:rsidRPr="00315540">
              <w:rPr>
                <w:lang w:val="en-US"/>
              </w:rPr>
              <w:t>Not likely</w:t>
            </w:r>
          </w:p>
        </w:tc>
        <w:tc>
          <w:tcPr>
            <w:tcW w:w="1824" w:type="dxa"/>
            <w:hideMark/>
          </w:tcPr>
          <w:p w:rsidR="00BE2A18" w:rsidRPr="00315540" w:rsidRDefault="00BE2A18" w:rsidP="00BE2A18">
            <w:pPr>
              <w:rPr>
                <w:lang w:val="en-US"/>
              </w:rPr>
            </w:pPr>
            <w:r w:rsidRPr="00315540">
              <w:rPr>
                <w:lang w:val="en-US"/>
              </w:rPr>
              <w:t>Small (few statistically significant)</w:t>
            </w:r>
          </w:p>
        </w:tc>
        <w:tc>
          <w:tcPr>
            <w:tcW w:w="1783" w:type="dxa"/>
            <w:hideMark/>
          </w:tcPr>
          <w:p w:rsidR="00BE2A18" w:rsidRPr="00315540" w:rsidRDefault="00BE2A18" w:rsidP="00BE2A18">
            <w:pPr>
              <w:rPr>
                <w:lang w:val="en-US"/>
              </w:rPr>
            </w:pPr>
            <w:r w:rsidRPr="00315540">
              <w:rPr>
                <w:lang w:val="en-US"/>
              </w:rPr>
              <w:t xml:space="preserve">Small </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315540"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315540" w:rsidRDefault="00BE2A18">
            <w:pPr>
              <w:rPr>
                <w:b/>
                <w:bCs/>
                <w:lang w:val="en-US"/>
              </w:rPr>
            </w:pPr>
            <w:r w:rsidRPr="00315540">
              <w:rPr>
                <w:b/>
                <w:bCs/>
                <w:lang w:val="en-US"/>
              </w:rPr>
              <w:t>Effect on quality</w:t>
            </w:r>
          </w:p>
        </w:tc>
        <w:tc>
          <w:tcPr>
            <w:tcW w:w="1867" w:type="dxa"/>
            <w:noWrap/>
            <w:hideMark/>
          </w:tcPr>
          <w:p w:rsidR="00BE2A18" w:rsidRPr="00315540" w:rsidRDefault="00BE2A18" w:rsidP="00BE2A18">
            <w:pPr>
              <w:rPr>
                <w:lang w:val="en-US"/>
              </w:rPr>
            </w:pPr>
            <w:r w:rsidRPr="00315540">
              <w:rPr>
                <w:lang w:val="en-US"/>
              </w:rPr>
              <w:t>Low</w:t>
            </w:r>
          </w:p>
        </w:tc>
        <w:tc>
          <w:tcPr>
            <w:tcW w:w="1824" w:type="dxa"/>
            <w:hideMark/>
          </w:tcPr>
          <w:p w:rsidR="00BE2A18" w:rsidRPr="00315540" w:rsidRDefault="00BE2A18" w:rsidP="00BE2A18">
            <w:pPr>
              <w:rPr>
                <w:lang w:val="en-US"/>
              </w:rPr>
            </w:pPr>
            <w:r w:rsidRPr="00315540">
              <w:rPr>
                <w:lang w:val="en-US"/>
              </w:rPr>
              <w:t>No change</w:t>
            </w:r>
          </w:p>
        </w:tc>
        <w:tc>
          <w:tcPr>
            <w:tcW w:w="1619" w:type="dxa"/>
            <w:hideMark/>
          </w:tcPr>
          <w:p w:rsidR="00BE2A18" w:rsidRPr="00315540" w:rsidRDefault="00BE2A18" w:rsidP="00BE2A18">
            <w:pPr>
              <w:rPr>
                <w:lang w:val="en-US"/>
              </w:rPr>
            </w:pPr>
            <w:r w:rsidRPr="00315540">
              <w:rPr>
                <w:lang w:val="en-US"/>
              </w:rPr>
              <w:t>No change</w:t>
            </w:r>
          </w:p>
        </w:tc>
        <w:tc>
          <w:tcPr>
            <w:tcW w:w="1230" w:type="dxa"/>
            <w:hideMark/>
          </w:tcPr>
          <w:p w:rsidR="00BE2A18" w:rsidRPr="00315540" w:rsidRDefault="00BE2A18" w:rsidP="00BE2A18">
            <w:pPr>
              <w:rPr>
                <w:lang w:val="en-US"/>
              </w:rPr>
            </w:pPr>
            <w:r w:rsidRPr="00315540">
              <w:rPr>
                <w:lang w:val="en-US"/>
              </w:rPr>
              <w:t>No change</w:t>
            </w:r>
          </w:p>
        </w:tc>
        <w:tc>
          <w:tcPr>
            <w:tcW w:w="1558" w:type="dxa"/>
            <w:hideMark/>
          </w:tcPr>
          <w:p w:rsidR="00BE2A18" w:rsidRPr="00315540" w:rsidRDefault="00BE2A18" w:rsidP="00BE2A18">
            <w:pPr>
              <w:rPr>
                <w:lang w:val="en-US"/>
              </w:rPr>
            </w:pPr>
            <w:r w:rsidRPr="00315540">
              <w:rPr>
                <w:lang w:val="en-US"/>
              </w:rPr>
              <w:t>No change</w:t>
            </w:r>
          </w:p>
        </w:tc>
        <w:tc>
          <w:tcPr>
            <w:tcW w:w="1640" w:type="dxa"/>
            <w:hideMark/>
          </w:tcPr>
          <w:p w:rsidR="00BE2A18" w:rsidRPr="00315540" w:rsidRDefault="00BE2A18" w:rsidP="00BE2A18">
            <w:pPr>
              <w:rPr>
                <w:lang w:val="en-US"/>
              </w:rPr>
            </w:pPr>
            <w:r w:rsidRPr="00315540">
              <w:rPr>
                <w:lang w:val="en-US"/>
              </w:rPr>
              <w:t>No change</w:t>
            </w:r>
          </w:p>
        </w:tc>
        <w:tc>
          <w:tcPr>
            <w:tcW w:w="1824" w:type="dxa"/>
            <w:hideMark/>
          </w:tcPr>
          <w:p w:rsidR="00BE2A18" w:rsidRPr="00315540" w:rsidRDefault="00BE2A18" w:rsidP="00BE2A18">
            <w:pPr>
              <w:rPr>
                <w:lang w:val="en-US"/>
              </w:rPr>
            </w:pPr>
            <w:r w:rsidRPr="00315540">
              <w:rPr>
                <w:lang w:val="en-US"/>
              </w:rPr>
              <w:t>No change</w:t>
            </w:r>
          </w:p>
        </w:tc>
        <w:tc>
          <w:tcPr>
            <w:tcW w:w="1783" w:type="dxa"/>
            <w:hideMark/>
          </w:tcPr>
          <w:p w:rsidR="00BE2A18" w:rsidRPr="00315540" w:rsidRDefault="00BE2A18" w:rsidP="00BE2A18">
            <w:pPr>
              <w:rPr>
                <w:lang w:val="en-US"/>
              </w:rPr>
            </w:pPr>
            <w:r w:rsidRPr="00315540">
              <w:rPr>
                <w:lang w:val="en-US"/>
              </w:rPr>
              <w:t>No change</w:t>
            </w:r>
          </w:p>
        </w:tc>
        <w:tc>
          <w:tcPr>
            <w:tcW w:w="2255" w:type="dxa"/>
            <w:hideMark/>
          </w:tcPr>
          <w:p w:rsidR="00BE2A18" w:rsidRPr="00315540" w:rsidRDefault="00BE2A18" w:rsidP="00BE2A18">
            <w:pPr>
              <w:rPr>
                <w:lang w:val="en-US"/>
              </w:rPr>
            </w:pPr>
            <w:r w:rsidRPr="00315540">
              <w:rPr>
                <w:lang w:val="en-US"/>
              </w:rPr>
              <w:t>No change</w:t>
            </w:r>
          </w:p>
        </w:tc>
      </w:tr>
      <w:tr w:rsidR="00BE2A18" w:rsidRPr="00BE2A18" w:rsidTr="00BE2A18">
        <w:trPr>
          <w:trHeight w:val="900"/>
        </w:trPr>
        <w:tc>
          <w:tcPr>
            <w:tcW w:w="2420" w:type="dxa"/>
            <w:vMerge w:val="restart"/>
            <w:noWrap/>
            <w:hideMark/>
          </w:tcPr>
          <w:p w:rsidR="00BE2A18" w:rsidRPr="00BE2A18" w:rsidRDefault="00BE2A18" w:rsidP="00BE2A18">
            <w:r w:rsidRPr="00315540">
              <w:rPr>
                <w:lang w:val="en-US"/>
              </w:rPr>
              <w:t>Dranove et al, 2003</w:t>
            </w:r>
            <w:r w:rsidR="00A30BA9" w:rsidRPr="00315540">
              <w:rPr>
                <w:lang w:val="en-US"/>
              </w:rPr>
              <w:t xml:space="preserve"> </w:t>
            </w:r>
            <w:r w:rsidR="00A30BA9">
              <w:fldChar w:fldCharType="begin" w:fldLock="1"/>
            </w:r>
            <w:r w:rsidR="00315540" w:rsidRPr="00315540">
              <w:rPr>
                <w:lang w:val="en-US"/>
              </w:rPr>
              <w:instrText>ADDIN CSL_CITATION { "citationItems" : [ { "id" : "ITEM-1", "itemData" : { "DOI" : "10.1086/374180", "ISBN" : "0022-3808", "ISSN" : "0022-3808", "abstract" : "Health care report cards\u2014public disclosure of patient health out- comes at the level of the individual physician or hospital or both\u2014may address important informational asymmetries in markets for health care, but they may also give doctors and hospitals incentives to decline to treat more difficult, severely ill patients. Whether report cards are good for patients and for society depends on whether their financial and health benefits outweigh their costs in terms of the quantity, quality, and appropriateness of medical treatment that they induce. Using national data on Medicare patients at risk for cardiac surgery, we find that cardiac surgery report cards in New York and Pennsylvania led both to selection behavior by providers and to improved matching of patients with hospitals. On net, this led to higher levels of resource use and to worse health outcomes, particularly for sicker patients.We conclude that, at least in the short run, these report cards decreased patient and social welfare.", "author" : [ { "dropping-p</w:instrText>
            </w:r>
            <w:r w:rsidR="00315540">
              <w:instrText>article" : "", "family" : "Dranove", "given" : "David", "non-dropping-particle" : "", "parse-names" : false, "suffix" : "" }, { "dropping-particle" : "", "family" : "Kessler", "given" : "Daniel", "non-dropping-particle" : "", "parse-names" : false, "suffix" : "" }, { "dropping-particle" : "", "family" : "McClellan", "given" : "Mark", "non-dropping-particle" : "", "parse-names" : false, "suffix" : "" }, { "dropping-particle" : "", "family" : "Satterthwaite", "given" : "Mark", "non-dropping-particle" : "", "parse-names" : false, "suffix" : "" } ], "container-title" : "Journal of Political Economy", "id" : "ITEM-1", "issue" : "3", "issued" : { "date-parts" : [ [ "2003" ] ] }, "page" : "555-588", "title" : "Is More Information Better? The Effects of \"Report Cards\" on Health Care Providers", "type" : "article-journal", "volume" : "111" }, "uris" : [ "http://www.mendeley.com/documents/?uuid=8883db30-4896-406e-978a-a5d9bff19026" ] } ], "mendeley" : { "formattedCitation" : "(9)", "plainTextFormattedCitation" : "(9)", "previouslyFormattedCitation" : "(9)" }, "properties" : { "noteIndex" : 0 }, "schema" : "https://github.com/citation-style-language/schema/raw/master/csl-citation.json" }</w:instrText>
            </w:r>
            <w:r w:rsidR="00A30BA9">
              <w:fldChar w:fldCharType="separate"/>
            </w:r>
            <w:r w:rsidR="00315540" w:rsidRPr="00315540">
              <w:rPr>
                <w:noProof/>
              </w:rPr>
              <w:t>(9)</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r w:rsidRPr="00BE2A18">
              <w:t xml:space="preserve"> (</w:t>
            </w:r>
            <w:proofErr w:type="spellStart"/>
            <w:r w:rsidRPr="00BE2A18">
              <w:t>inconsistencies</w:t>
            </w:r>
            <w:proofErr w:type="spellEnd"/>
            <w:r w:rsidRPr="00BE2A18">
              <w:t xml:space="preserve"> </w:t>
            </w:r>
            <w:proofErr w:type="spellStart"/>
            <w:r w:rsidRPr="00BE2A18">
              <w:t>explained</w:t>
            </w:r>
            <w:proofErr w:type="spellEnd"/>
            <w:r w:rsidRPr="00BE2A18">
              <w:t>)</w:t>
            </w:r>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w:t>
            </w:r>
          </w:p>
        </w:tc>
        <w:tc>
          <w:tcPr>
            <w:tcW w:w="1783" w:type="dxa"/>
            <w:hideMark/>
          </w:tcPr>
          <w:p w:rsidR="00BE2A18" w:rsidRPr="00BE2A18" w:rsidRDefault="00BE2A18" w:rsidP="00BE2A18">
            <w:r w:rsidRPr="00BE2A18">
              <w:t>Moderate</w:t>
            </w:r>
          </w:p>
        </w:tc>
        <w:tc>
          <w:tcPr>
            <w:tcW w:w="2255" w:type="dxa"/>
            <w:hideMark/>
          </w:tcPr>
          <w:p w:rsidR="00BE2A18" w:rsidRPr="00BE2A18" w:rsidRDefault="00BE2A18" w:rsidP="00BE2A18">
            <w:r w:rsidRPr="00BE2A18">
              <w:t xml:space="preserve">Some </w:t>
            </w:r>
            <w:proofErr w:type="spellStart"/>
            <w:r w:rsidRPr="00BE2A18">
              <w:t>potential</w:t>
            </w:r>
            <w:proofErr w:type="spellEnd"/>
          </w:p>
        </w:tc>
      </w:tr>
      <w:tr w:rsidR="00BE2A18" w:rsidRPr="00BE2A18" w:rsidTr="00BE2A18">
        <w:trPr>
          <w:trHeight w:val="300"/>
        </w:trPr>
        <w:tc>
          <w:tcPr>
            <w:tcW w:w="2420" w:type="dxa"/>
            <w:vMerge/>
            <w:hideMark/>
          </w:tcPr>
          <w:p w:rsidR="00BE2A18" w:rsidRPr="00BE2A18" w:rsidRDefault="00BE2A18"/>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proofErr w:type="spellStart"/>
            <w:r w:rsidRPr="00BE2A18">
              <w:t>Increase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t>Moscucci</w:t>
            </w:r>
            <w:proofErr w:type="spellEnd"/>
            <w:r w:rsidRPr="00BE2A18">
              <w:t xml:space="preserve"> et al, 2005</w:t>
            </w:r>
            <w:r w:rsidR="00A30BA9">
              <w:t xml:space="preserve"> </w:t>
            </w:r>
            <w:r w:rsidR="00A30BA9">
              <w:fldChar w:fldCharType="begin" w:fldLock="1"/>
            </w:r>
            <w:r w:rsidR="00315540">
              <w:instrText>ADDIN CSL_CITATION { "citationItems" : [ { "id" : "ITEM-1", "itemData" : { "DOI" : "10.1016/j.jacc.2005.01.055", "ISSN" : "0735-1097", "PMID" : "15936602", "abstract" : "OBJECTIVES: The purpose of this research was to determine the potential effect of public reporting on case selection for percutaneous coronary intervention (PCI). BACKGROUND: Previous studies have suggested that public reporting of coronary artery bypass graft surgery (CABG) mortality might result in case selection bias and in denial of care to or out migration of high-risk patients. The potential effect of public reporting on case selection for PCI is unknown. METHODS: We compared demographics, indications, and outcomes of 11,374 patients included in a multicenter (eight hospitals) PCI database in Michigan where no public reporting is present, with 69,048 patients in a statewide (34 hospitals) PCI database in New York, where public reporting is present. The primary end point was in-hospital mortality. RESULTS: Patients in Michigan more frequently underwent PCI for acute myocardial infarction (14.4% vs. 8.7%, p &lt; 0.0001) and cardiogenic shock (2.56% vs. 0.38%, p &lt; 0.0001) than those in New York. The Michigan cohort also had a higher prevalence of congestive heart failure and extracardiac vascular disease. The unadjusted in-hospital mortality rate was significantly lower in New York than in Michigan (0.83% vs. 1.54%, p &lt; 0.0001; odds ratio [OR] 0.54, 95% confidence interval [CI] 0.45 to 0.63). However, after adjustment for comorbidities, there was no significant difference in mortality between the two groups (adjusted OR 1.05, 95% CI 0.84 to 1.31, p = 0.70, c-statistic 0.88). CONCLUSIONS: There are significant differences in case mix between patients undergoing PCI in Michigan and New York that result in marked differences in unadjusted mortality rates. A propensity in New York toward not intervening on higher-risk patients because of fear of public reporting of high mortality rates is a possible explanation for these differences.", "author" : [ { "dropping-particle" : "", "family" : "Moscucci", "given" : "Mauro", "non-dropping-particle" : "", "parse-names" : false, "suffix" : "" }, { "dropping-particle" : "", "family" : "Eagle", "given" : "Kim a", "non-dropping-particle" : "", "parse-names" : false, "suffix" : "" }, { "dropping-particle" : "", "family" : "Share", "given" : "David", "non-dropping-particle" : "", "parse-names" : false, "suffix" : "" }, { "dropping-particle" : "", "family" : "Smith", "given" : "Dean", "non-dropping-particle" : "", "parse-names" : false, "suffix" : "" }, { "dropping-particle" : "", "family" : "Franco", "given" : "Anthony C", "non-dropping-particle" : "De", "parse-names" : false, "suffix" : "" }, { "dropping-particle" : "", "family" : "O'Donnell", "given" : "Michael", "non-dropping-particle" : "", "parse-names" : false, "suffix" : "" }, { "dropping-particle" : "", "family" : "Kline-Rogers", "given" : "Eva", "non-dropping-particle" : "", "parse-names" : false, "suffix" : "" }, { "dropping-particle" : "", "family" : "Jani", "given" : "Sandeep M", "non-dropping-particle" : "", "parse-names" : false, "suffix" : "" }, { "dropping-particle" : "", "family" : "Brown", "given" : "David L", "non-dropping-particle" : "", "parse-names" : false, "suffix" : "" } ], "container-title" : "Journal of the American College of Cardiology", "id" : "ITEM-1", "issue" : "11", "issued" : { "date-parts" : [ [ "2005", "6" ] ] }, "page" : "1759-65", "title" : "Public reporting and case selection for percutaneous coronary interventions: an analysis from two large multicenter percutaneous coronary intervention databases.", "type" : "article-journal", "volume" : "45" }, "uris" : [ "http://www.mendeley.com/documents/?uuid=a7804f82-405d-4fba-90f8-1246c9fb3305" ] } ], "mendeley" : { "formattedCitation" : "(10)", "plainTextFormattedCitation" : "(10)", "previouslyFormattedCitation" : "(10)" }, "properties" : { "noteIndex" : 0 }, "schema" : "https://github.com/citation-style-language/schema/raw/master/csl-citation.json" }</w:instrText>
            </w:r>
            <w:r w:rsidR="00A30BA9">
              <w:fldChar w:fldCharType="separate"/>
            </w:r>
            <w:r w:rsidR="00315540" w:rsidRPr="00315540">
              <w:rPr>
                <w:noProof/>
              </w:rPr>
              <w:t>(10)</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r w:rsidRPr="00BE2A18">
              <w:t xml:space="preserve">Multiple </w:t>
            </w:r>
            <w:proofErr w:type="spellStart"/>
            <w:r w:rsidRPr="00BE2A18">
              <w:t>sources</w:t>
            </w:r>
            <w:proofErr w:type="spellEnd"/>
            <w:r w:rsidRPr="00BE2A18">
              <w:t xml:space="preserve"> </w:t>
            </w:r>
            <w:proofErr w:type="spellStart"/>
            <w:r w:rsidRPr="00BE2A18">
              <w:t>identified</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 xml:space="preserve">Some </w:t>
            </w:r>
            <w:proofErr w:type="spellStart"/>
            <w:r w:rsidRPr="00BE2A18">
              <w:t>statistically</w:t>
            </w:r>
            <w:proofErr w:type="spellEnd"/>
            <w:r w:rsidRPr="00BE2A18">
              <w:t xml:space="preserve"> </w:t>
            </w:r>
            <w:proofErr w:type="spellStart"/>
            <w:r w:rsidRPr="00BE2A18">
              <w:t>significant</w:t>
            </w:r>
            <w:proofErr w:type="spellEnd"/>
          </w:p>
        </w:tc>
        <w:tc>
          <w:tcPr>
            <w:tcW w:w="1783" w:type="dxa"/>
            <w:hideMark/>
          </w:tcPr>
          <w:p w:rsidR="00BE2A18" w:rsidRPr="00BE2A18" w:rsidRDefault="00BE2A18" w:rsidP="00BE2A18">
            <w:proofErr w:type="spellStart"/>
            <w:r w:rsidRPr="00BE2A18">
              <w:t>Not</w:t>
            </w:r>
            <w:proofErr w:type="spellEnd"/>
            <w:r w:rsidRPr="00BE2A18">
              <w:t xml:space="preserve"> </w:t>
            </w:r>
            <w:proofErr w:type="spellStart"/>
            <w:r w:rsidRPr="00BE2A18">
              <w:t>shown</w:t>
            </w:r>
            <w:proofErr w:type="spellEnd"/>
          </w:p>
        </w:tc>
        <w:tc>
          <w:tcPr>
            <w:tcW w:w="2255" w:type="dxa"/>
            <w:hideMark/>
          </w:tcPr>
          <w:p w:rsidR="00BE2A18" w:rsidRPr="00BE2A18" w:rsidRDefault="00BE2A18" w:rsidP="00BE2A18">
            <w:pPr>
              <w:rPr>
                <w:lang w:val="en-US"/>
              </w:rPr>
            </w:pPr>
            <w:r w:rsidRPr="00BE2A18">
              <w:rPr>
                <w:lang w:val="en-US"/>
              </w:rPr>
              <w:t>Potential to increase or decrease</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proofErr w:type="spellStart"/>
            <w:r w:rsidRPr="00BE2A18">
              <w:t>Decrease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315540" w:rsidTr="00BE2A18">
        <w:trPr>
          <w:trHeight w:val="600"/>
        </w:trPr>
        <w:tc>
          <w:tcPr>
            <w:tcW w:w="2420" w:type="dxa"/>
            <w:vMerge w:val="restart"/>
            <w:noWrap/>
            <w:hideMark/>
          </w:tcPr>
          <w:p w:rsidR="00BE2A18" w:rsidRPr="00315540" w:rsidRDefault="00BE2A18" w:rsidP="00BE2A18">
            <w:pPr>
              <w:rPr>
                <w:lang w:val="en-US"/>
              </w:rPr>
            </w:pPr>
            <w:r w:rsidRPr="00BE2A18">
              <w:t>Carey et al., 2006</w:t>
            </w:r>
            <w:r w:rsidR="00A30BA9">
              <w:t xml:space="preserve"> </w:t>
            </w:r>
            <w:r w:rsidR="00A30BA9">
              <w:fldChar w:fldCharType="begin" w:fldLock="1"/>
            </w:r>
            <w:r w:rsidR="00315540">
              <w:instrText>ADDIN CSL_CITATION { "citationItems" : [ { "id" : "ITEM-1", "itemData" : { "ISBN" : "0003-1348", "ISSN" : "00031348", "PMID" : "17058749", "abstract" : "Mandatory public reporting of cardiac surgery outcomes in California was instituted in 2003. To study the impact of the program, the outcomes of coronary artery bypass graft (CABG), valve, and percutaneous coronary intervention (PCI) procedures performed after January 1, 2003 were compared with previous years using the Patient Discharge Database (PDD) of the Office of Statewide Health Planning and Development. Risk-adjusted in-hospital mortality for CABG, CABG plus valve or aneurysm, and valve procedures decreased during 2003 and 2004 compared with 1998 through 2002, and PCI mortality remained unchanged. The average annual procedural volume per hospital decreased 25 per cent (232% +/- 205% to 173% +/- 157%) for CABG and 18 per cent (310% +/- 278% to 253% +/- 235%) for all cardiac surgeries, whereas PCI increased 12 per cent (433% +/- 277% to 492% +/- 356%). During 2003 and 2004, less than one-half of the 120 hospitals performed 200 or more cardiac surgeries per year, and only 25 performed 300 or more. Higher CABG mortality was observed primarily in low-volume programs, but the relationship of volume to risk-adjusted mortality was not significant for any surgical group or for PCI. Identification of outlier status was facilitated by use of 30-day posthospital outcomes (death or reoperation) in addition to in-hospital mortality. This study suggests t</w:instrText>
            </w:r>
            <w:r w:rsidR="00315540" w:rsidRPr="00315540">
              <w:rPr>
                <w:lang w:val="en-US"/>
              </w:rPr>
              <w:instrText>hat the introduction of a mandatory cardiac surgery reporting program in California was associated with improved outcomes.", "author" : [ { "dropping-particle" : "", "family" : "Carey", "given" : "Joseph S.", "non-dropping-particle" : "", "parse-names" : false, "suffix" : "" }, { "dropping-particle" : "", "family" : "Danielsen", "given" : "Beate", "non-dropping-particle" : "", "parse-names" : false, "suffix" : "" }, { "dropping-particle" : "", "family" : "Junod", "given" : "Forrest L.", "non-dropping-particle" : "", "parse-names" : false, "suffix" : "" }, { "dropping-particle" : "", "family" : "Rossiter", "given" : "Stephen J.", "non-dropping-particle" : "", "parse-names" : false, "suffix" : "" }, { "dropping-particle" : "", "family" : "Stabile", "given" : "Bruce E.", "non-dropping-particle" : "", "parse-names" : false, "suffix" : "" } ], "container-title" : "American Surgeon", "id" : "ITEM-1", "issue" : "10", "issued" : { "date-parts" : [ [ "2006" ] ] }, "page" : "978-983", "title" : "The California cardiac surgery and intervention project: Evolution of a public reporting program", "type" : "article-journal", "volume" : "72" }, "uris" : [ "http://www.mendeley.com/documents/?uuid=b11f4756-e154-42d7-83b6-4a84bac6a4c7" ] } ], "mendeley" : { "formattedCitation" : "(11)", "plainTextFormattedCitation" : "(11)", "previouslyFormattedCitation" : "(11)" }, "properties" : { "noteIndex" : 0 }, "schema" : "https://github.com/citation-style-language/schema/raw/master/csl-citation.json" }</w:instrText>
            </w:r>
            <w:r w:rsidR="00A30BA9">
              <w:fldChar w:fldCharType="separate"/>
            </w:r>
            <w:r w:rsidR="00315540" w:rsidRPr="00315540">
              <w:rPr>
                <w:noProof/>
                <w:lang w:val="en-US"/>
              </w:rPr>
              <w:t>(11)</w:t>
            </w:r>
            <w:r w:rsidR="00A30BA9">
              <w:fldChar w:fldCharType="end"/>
            </w:r>
          </w:p>
        </w:tc>
        <w:tc>
          <w:tcPr>
            <w:tcW w:w="1660" w:type="dxa"/>
            <w:noWrap/>
            <w:hideMark/>
          </w:tcPr>
          <w:p w:rsidR="00BE2A18" w:rsidRPr="00315540" w:rsidRDefault="00BE2A18">
            <w:pPr>
              <w:rPr>
                <w:b/>
                <w:bCs/>
                <w:lang w:val="en-US"/>
              </w:rPr>
            </w:pPr>
            <w:r w:rsidRPr="00315540">
              <w:rPr>
                <w:b/>
                <w:bCs/>
                <w:lang w:val="en-US"/>
              </w:rPr>
              <w:t>Characteristic</w:t>
            </w:r>
          </w:p>
        </w:tc>
        <w:tc>
          <w:tcPr>
            <w:tcW w:w="1867" w:type="dxa"/>
            <w:noWrap/>
            <w:hideMark/>
          </w:tcPr>
          <w:p w:rsidR="00BE2A18" w:rsidRPr="00315540" w:rsidRDefault="00BE2A18" w:rsidP="00BE2A18">
            <w:pPr>
              <w:rPr>
                <w:lang w:val="en-US"/>
              </w:rPr>
            </w:pPr>
            <w:r w:rsidRPr="00315540">
              <w:rPr>
                <w:lang w:val="en-US"/>
              </w:rPr>
              <w:t>Observational study</w:t>
            </w:r>
          </w:p>
        </w:tc>
        <w:tc>
          <w:tcPr>
            <w:tcW w:w="1824" w:type="dxa"/>
            <w:hideMark/>
          </w:tcPr>
          <w:p w:rsidR="00BE2A18" w:rsidRPr="00315540" w:rsidRDefault="00BE2A18" w:rsidP="00BE2A18">
            <w:pPr>
              <w:rPr>
                <w:lang w:val="en-US"/>
              </w:rPr>
            </w:pPr>
            <w:r w:rsidRPr="00315540">
              <w:rPr>
                <w:lang w:val="en-US"/>
              </w:rPr>
              <w:t>Minimal</w:t>
            </w:r>
          </w:p>
        </w:tc>
        <w:tc>
          <w:tcPr>
            <w:tcW w:w="1619" w:type="dxa"/>
            <w:hideMark/>
          </w:tcPr>
          <w:p w:rsidR="00BE2A18" w:rsidRPr="00315540" w:rsidRDefault="00BE2A18" w:rsidP="00BE2A18">
            <w:pPr>
              <w:rPr>
                <w:lang w:val="en-US"/>
              </w:rPr>
            </w:pPr>
            <w:r w:rsidRPr="00315540">
              <w:rPr>
                <w:lang w:val="en-US"/>
              </w:rPr>
              <w:t>consistent</w:t>
            </w:r>
          </w:p>
        </w:tc>
        <w:tc>
          <w:tcPr>
            <w:tcW w:w="1230" w:type="dxa"/>
            <w:hideMark/>
          </w:tcPr>
          <w:p w:rsidR="00BE2A18" w:rsidRPr="00315540" w:rsidRDefault="00BE2A18" w:rsidP="00BE2A18">
            <w:pPr>
              <w:rPr>
                <w:lang w:val="en-US"/>
              </w:rPr>
            </w:pPr>
            <w:r w:rsidRPr="00315540">
              <w:rPr>
                <w:lang w:val="en-US"/>
              </w:rPr>
              <w:t>Direct</w:t>
            </w:r>
          </w:p>
        </w:tc>
        <w:tc>
          <w:tcPr>
            <w:tcW w:w="1558" w:type="dxa"/>
            <w:hideMark/>
          </w:tcPr>
          <w:p w:rsidR="00BE2A18" w:rsidRPr="00315540" w:rsidRDefault="00BE2A18" w:rsidP="00BE2A18">
            <w:pPr>
              <w:rPr>
                <w:lang w:val="en-US"/>
              </w:rPr>
            </w:pPr>
            <w:r w:rsidRPr="00315540">
              <w:rPr>
                <w:lang w:val="en-US"/>
              </w:rPr>
              <w:t>Precise</w:t>
            </w:r>
          </w:p>
        </w:tc>
        <w:tc>
          <w:tcPr>
            <w:tcW w:w="1640" w:type="dxa"/>
            <w:hideMark/>
          </w:tcPr>
          <w:p w:rsidR="00BE2A18" w:rsidRPr="00315540" w:rsidRDefault="00BE2A18" w:rsidP="00BE2A18">
            <w:pPr>
              <w:rPr>
                <w:lang w:val="en-US"/>
              </w:rPr>
            </w:pPr>
            <w:r w:rsidRPr="00315540">
              <w:rPr>
                <w:lang w:val="en-US"/>
              </w:rPr>
              <w:t>Not likely</w:t>
            </w:r>
          </w:p>
        </w:tc>
        <w:tc>
          <w:tcPr>
            <w:tcW w:w="1824" w:type="dxa"/>
            <w:hideMark/>
          </w:tcPr>
          <w:p w:rsidR="00BE2A18" w:rsidRPr="00315540" w:rsidRDefault="00BE2A18" w:rsidP="00BE2A18">
            <w:pPr>
              <w:rPr>
                <w:lang w:val="en-US"/>
              </w:rPr>
            </w:pPr>
            <w:r w:rsidRPr="00315540">
              <w:rPr>
                <w:lang w:val="en-US"/>
              </w:rPr>
              <w:t>Small</w:t>
            </w:r>
          </w:p>
        </w:tc>
        <w:tc>
          <w:tcPr>
            <w:tcW w:w="1783" w:type="dxa"/>
            <w:hideMark/>
          </w:tcPr>
          <w:p w:rsidR="00BE2A18" w:rsidRPr="00315540" w:rsidRDefault="00BE2A18" w:rsidP="00BE2A18">
            <w:pPr>
              <w:rPr>
                <w:lang w:val="en-US"/>
              </w:rPr>
            </w:pPr>
            <w:r w:rsidRPr="00315540">
              <w:rPr>
                <w:lang w:val="en-US"/>
              </w:rPr>
              <w:t>Association suggested</w:t>
            </w:r>
          </w:p>
        </w:tc>
        <w:tc>
          <w:tcPr>
            <w:tcW w:w="2255" w:type="dxa"/>
            <w:hideMark/>
          </w:tcPr>
          <w:p w:rsidR="00BE2A18" w:rsidRPr="00315540" w:rsidRDefault="00BE2A18" w:rsidP="00BE2A18">
            <w:pPr>
              <w:rPr>
                <w:lang w:val="en-US"/>
              </w:rPr>
            </w:pPr>
            <w:r w:rsidRPr="00315540">
              <w:rPr>
                <w:lang w:val="en-US"/>
              </w:rPr>
              <w:t>None</w:t>
            </w:r>
          </w:p>
        </w:tc>
      </w:tr>
      <w:tr w:rsidR="00BE2A18" w:rsidRPr="00315540" w:rsidTr="00BE2A18">
        <w:trPr>
          <w:trHeight w:val="300"/>
        </w:trPr>
        <w:tc>
          <w:tcPr>
            <w:tcW w:w="2420" w:type="dxa"/>
            <w:vMerge/>
            <w:hideMark/>
          </w:tcPr>
          <w:p w:rsidR="00BE2A18" w:rsidRPr="00315540" w:rsidRDefault="00BE2A18">
            <w:pPr>
              <w:rPr>
                <w:lang w:val="en-US"/>
              </w:rPr>
            </w:pPr>
          </w:p>
        </w:tc>
        <w:tc>
          <w:tcPr>
            <w:tcW w:w="1660" w:type="dxa"/>
            <w:noWrap/>
            <w:hideMark/>
          </w:tcPr>
          <w:p w:rsidR="00BE2A18" w:rsidRPr="00315540" w:rsidRDefault="00BE2A18">
            <w:pPr>
              <w:rPr>
                <w:b/>
                <w:bCs/>
                <w:lang w:val="en-US"/>
              </w:rPr>
            </w:pPr>
            <w:r w:rsidRPr="00315540">
              <w:rPr>
                <w:b/>
                <w:bCs/>
                <w:lang w:val="en-US"/>
              </w:rPr>
              <w:t>Effect on quality</w:t>
            </w:r>
          </w:p>
        </w:tc>
        <w:tc>
          <w:tcPr>
            <w:tcW w:w="1867" w:type="dxa"/>
            <w:noWrap/>
            <w:hideMark/>
          </w:tcPr>
          <w:p w:rsidR="00BE2A18" w:rsidRPr="00315540" w:rsidRDefault="00BE2A18" w:rsidP="00BE2A18">
            <w:pPr>
              <w:rPr>
                <w:lang w:val="en-US"/>
              </w:rPr>
            </w:pPr>
            <w:r w:rsidRPr="00315540">
              <w:rPr>
                <w:lang w:val="en-US"/>
              </w:rPr>
              <w:t>Low</w:t>
            </w:r>
          </w:p>
        </w:tc>
        <w:tc>
          <w:tcPr>
            <w:tcW w:w="1824" w:type="dxa"/>
            <w:hideMark/>
          </w:tcPr>
          <w:p w:rsidR="00BE2A18" w:rsidRPr="00315540" w:rsidRDefault="00BE2A18" w:rsidP="00BE2A18">
            <w:pPr>
              <w:rPr>
                <w:lang w:val="en-US"/>
              </w:rPr>
            </w:pPr>
            <w:r w:rsidRPr="00315540">
              <w:rPr>
                <w:lang w:val="en-US"/>
              </w:rPr>
              <w:t>No change</w:t>
            </w:r>
          </w:p>
        </w:tc>
        <w:tc>
          <w:tcPr>
            <w:tcW w:w="1619" w:type="dxa"/>
            <w:hideMark/>
          </w:tcPr>
          <w:p w:rsidR="00BE2A18" w:rsidRPr="00315540" w:rsidRDefault="00BE2A18" w:rsidP="00BE2A18">
            <w:pPr>
              <w:rPr>
                <w:lang w:val="en-US"/>
              </w:rPr>
            </w:pPr>
            <w:r w:rsidRPr="00315540">
              <w:rPr>
                <w:lang w:val="en-US"/>
              </w:rPr>
              <w:t>No change</w:t>
            </w:r>
          </w:p>
        </w:tc>
        <w:tc>
          <w:tcPr>
            <w:tcW w:w="1230" w:type="dxa"/>
            <w:hideMark/>
          </w:tcPr>
          <w:p w:rsidR="00BE2A18" w:rsidRPr="00315540" w:rsidRDefault="00BE2A18" w:rsidP="00BE2A18">
            <w:pPr>
              <w:rPr>
                <w:lang w:val="en-US"/>
              </w:rPr>
            </w:pPr>
            <w:r w:rsidRPr="00315540">
              <w:rPr>
                <w:lang w:val="en-US"/>
              </w:rPr>
              <w:t>No change</w:t>
            </w:r>
          </w:p>
        </w:tc>
        <w:tc>
          <w:tcPr>
            <w:tcW w:w="1558" w:type="dxa"/>
            <w:hideMark/>
          </w:tcPr>
          <w:p w:rsidR="00BE2A18" w:rsidRPr="00315540" w:rsidRDefault="00BE2A18" w:rsidP="00BE2A18">
            <w:pPr>
              <w:rPr>
                <w:lang w:val="en-US"/>
              </w:rPr>
            </w:pPr>
            <w:r w:rsidRPr="00315540">
              <w:rPr>
                <w:lang w:val="en-US"/>
              </w:rPr>
              <w:t>No change</w:t>
            </w:r>
          </w:p>
        </w:tc>
        <w:tc>
          <w:tcPr>
            <w:tcW w:w="1640" w:type="dxa"/>
            <w:hideMark/>
          </w:tcPr>
          <w:p w:rsidR="00BE2A18" w:rsidRPr="00315540" w:rsidRDefault="00BE2A18" w:rsidP="00BE2A18">
            <w:pPr>
              <w:rPr>
                <w:lang w:val="en-US"/>
              </w:rPr>
            </w:pPr>
            <w:r w:rsidRPr="00315540">
              <w:rPr>
                <w:lang w:val="en-US"/>
              </w:rPr>
              <w:t>No change</w:t>
            </w:r>
          </w:p>
        </w:tc>
        <w:tc>
          <w:tcPr>
            <w:tcW w:w="1824" w:type="dxa"/>
            <w:hideMark/>
          </w:tcPr>
          <w:p w:rsidR="00BE2A18" w:rsidRPr="00315540" w:rsidRDefault="00BE2A18" w:rsidP="00BE2A18">
            <w:pPr>
              <w:rPr>
                <w:lang w:val="en-US"/>
              </w:rPr>
            </w:pPr>
            <w:r w:rsidRPr="00315540">
              <w:rPr>
                <w:lang w:val="en-US"/>
              </w:rPr>
              <w:t>No change</w:t>
            </w:r>
          </w:p>
        </w:tc>
        <w:tc>
          <w:tcPr>
            <w:tcW w:w="1783" w:type="dxa"/>
            <w:hideMark/>
          </w:tcPr>
          <w:p w:rsidR="00BE2A18" w:rsidRPr="00315540" w:rsidRDefault="00BE2A18" w:rsidP="00BE2A18">
            <w:pPr>
              <w:rPr>
                <w:lang w:val="en-US"/>
              </w:rPr>
            </w:pPr>
            <w:r w:rsidRPr="00315540">
              <w:rPr>
                <w:lang w:val="en-US"/>
              </w:rPr>
              <w:t>Increase</w:t>
            </w:r>
          </w:p>
        </w:tc>
        <w:tc>
          <w:tcPr>
            <w:tcW w:w="2255" w:type="dxa"/>
            <w:hideMark/>
          </w:tcPr>
          <w:p w:rsidR="00BE2A18" w:rsidRPr="00315540" w:rsidRDefault="00BE2A18" w:rsidP="00BE2A18">
            <w:pPr>
              <w:rPr>
                <w:lang w:val="en-US"/>
              </w:rPr>
            </w:pPr>
            <w:r w:rsidRPr="00315540">
              <w:rPr>
                <w:lang w:val="en-US"/>
              </w:rPr>
              <w:t>No change</w:t>
            </w:r>
          </w:p>
        </w:tc>
      </w:tr>
      <w:tr w:rsidR="00BE2A18" w:rsidRPr="00315540" w:rsidTr="00BE2A18">
        <w:trPr>
          <w:trHeight w:val="300"/>
        </w:trPr>
        <w:tc>
          <w:tcPr>
            <w:tcW w:w="2420" w:type="dxa"/>
            <w:vMerge w:val="restart"/>
            <w:noWrap/>
            <w:hideMark/>
          </w:tcPr>
          <w:p w:rsidR="00BE2A18" w:rsidRPr="00315540" w:rsidRDefault="00BE2A18" w:rsidP="00BE2A18">
            <w:pPr>
              <w:rPr>
                <w:lang w:val="en-US"/>
              </w:rPr>
            </w:pPr>
            <w:r w:rsidRPr="00315540">
              <w:rPr>
                <w:lang w:val="en-US"/>
              </w:rPr>
              <w:t>Guru et al, 2006</w:t>
            </w:r>
            <w:r w:rsidR="00A30BA9" w:rsidRPr="00315540">
              <w:rPr>
                <w:lang w:val="en-US"/>
              </w:rPr>
              <w:t xml:space="preserve"> </w:t>
            </w:r>
            <w:r w:rsidR="00A30BA9">
              <w:fldChar w:fldCharType="begin" w:fldLock="1"/>
            </w:r>
            <w:r w:rsidR="00315540" w:rsidRPr="00315540">
              <w:rPr>
                <w:lang w:val="en-US"/>
              </w:rPr>
              <w:instrText>ADDIN CSL_CITATION { "citationItems" : [ { "id" : "ITEM-1", "itemData" : { "DOI" : "10.1016/j.ahj.2005.10.026", "ISBN" : "0002-8703", "ISSN" : "00028703", "PMID" : "16923433", "abstract" : "Background: In the past 11 years, Ontario has generated institution-level performance report cards on outcomes of coronary artery bypass graft (CABG) surgery. The objective of this study was to evaluate the differences in patient characteristics and outcomes observed during the transition from no reporting to confidential, and ultimately public performance report cards for CABG surgery in a public health system. Methods: We used clinical and administrative data to assess crude, expected, and risk-adjusted 30-day mortality rates after isolated CABG surgery in Ontario for 67 693 patients from September 1, 1991, to March 31, 2002. Confidence intervals on relative mortality reductions were determined by bootstrapping. We compared 30-day mortality trends to a control outcome (risk-adjusted 30-day all-cause readmission). We analyzed inhospital mortality trends for Ontario compared with the rest of Canada for the period from 1992 to 1998. Results: The risk-adjusted 30-day mortality rate decreased 29% (95% CI 21-39) from the era of no reporting (1991-1993) to c</w:instrText>
            </w:r>
            <w:r w:rsidR="00315540">
              <w:instrText>onfidential reporting (1994-1998). There was no further decrease with public reporting (1999-2001). The control outcome of 30-day readmission did not decrease across reporting eras. Inhospital mortality fell significantly faster in Ontario during the period of confidential reporting than in other parts of Canada. Conclusion: Ontario CABG mortality outcomes improved sharply after provider results were confidentially disclosed at an institutional level. No such changes were seen for nondisclosed outcomes or regions outside Ontario. Further public reporting of outcomes had no discernible impact on performance. These results are consistent with the hypothesis that confidential disclosure of outcomes was sufficient to accelerate quality improvement in a public system with little competition for patients between hospitals. ?? 2006.", "author" : [ { "dropping-particle" : "", "family" : "Guru", "given" : "Veena", "non-dropping-particle" : "", "parse-names" : false, "suffix" : "" }, { "dr</w:instrText>
            </w:r>
            <w:r w:rsidR="00315540" w:rsidRPr="00315540">
              <w:rPr>
                <w:lang w:val="en-US"/>
              </w:rPr>
              <w:instrText>opping-particle" : "", "family" : "Fremes", "given" : "Stephen E.", "non-dropping-particle" : "", "parse-names" : false, "suffix" : "" }, { "dropping-particle" : "", "family" : "Naylor", "given" : "C. David", "non-dropping-particle" : "", "parse-names" : false, "suffix" : "" }, { "dropping-particle" : "", "family" : "Austin", "given" : "Peter C.", "non-dropping-particle" : "", "parse-names" : false, "suffix" : "" }, { "dropping-particle" : "", "family" : "Shrive", "given" : "Fiona M.", "non-dropping-particle" : "", "parse-names" : false, "suffix" : "" }, { "dropping-particle" : "", "family" : "Ghali", "given" : "William A.", "non-dropping-particle" : "", "parse-names" : false, "suffix" : "" }, { "dropping-particle" : "V.", "family" : "Tu", "given" : "Jack", "non-dropping-particle" : "", "parse-names" : false, "suffix" : "" } ], "container-title" : "American Heart Journal", "id" : "ITEM-1", "issue" : "3", "issued" : { "date-parts" : [ [ "2006" ] ] }, "page" : "573-578", "title" : "Public versus private institutional performance reporting: What is mandatory for quality improvement?", "type" : "article-journal", "volume" : "152" }, "uris" : [ "http://www.mendeley.com/documents/?uuid=8e73604c-1575-41e8-bc54-b7efafcdc760" ] } ], "mendeley" : { "formattedCitation" : "(12)", "plainTextFormattedCitation" : "(12)", "previouslyFormattedCitation" : "(12)" }, "properties" : { "noteIndex" : 0 }, "schema" : "https://github.com/citation-style-language/schema/raw/master/csl-citation.json" }</w:instrText>
            </w:r>
            <w:r w:rsidR="00A30BA9">
              <w:fldChar w:fldCharType="separate"/>
            </w:r>
            <w:r w:rsidR="00315540" w:rsidRPr="00315540">
              <w:rPr>
                <w:noProof/>
                <w:lang w:val="en-US"/>
              </w:rPr>
              <w:t>(12)</w:t>
            </w:r>
            <w:r w:rsidR="00A30BA9">
              <w:fldChar w:fldCharType="end"/>
            </w:r>
          </w:p>
        </w:tc>
        <w:tc>
          <w:tcPr>
            <w:tcW w:w="1660" w:type="dxa"/>
            <w:noWrap/>
            <w:hideMark/>
          </w:tcPr>
          <w:p w:rsidR="00BE2A18" w:rsidRPr="00315540" w:rsidRDefault="00BE2A18">
            <w:pPr>
              <w:rPr>
                <w:b/>
                <w:bCs/>
                <w:lang w:val="en-US"/>
              </w:rPr>
            </w:pPr>
            <w:r w:rsidRPr="00315540">
              <w:rPr>
                <w:b/>
                <w:bCs/>
                <w:lang w:val="en-US"/>
              </w:rPr>
              <w:t>Characteristic</w:t>
            </w:r>
          </w:p>
        </w:tc>
        <w:tc>
          <w:tcPr>
            <w:tcW w:w="1867" w:type="dxa"/>
            <w:noWrap/>
            <w:hideMark/>
          </w:tcPr>
          <w:p w:rsidR="00BE2A18" w:rsidRPr="00315540" w:rsidRDefault="00BE2A18" w:rsidP="00BE2A18">
            <w:pPr>
              <w:rPr>
                <w:lang w:val="en-US"/>
              </w:rPr>
            </w:pPr>
            <w:r w:rsidRPr="00315540">
              <w:rPr>
                <w:lang w:val="en-US"/>
              </w:rPr>
              <w:t>Observational study</w:t>
            </w:r>
          </w:p>
        </w:tc>
        <w:tc>
          <w:tcPr>
            <w:tcW w:w="1824" w:type="dxa"/>
            <w:hideMark/>
          </w:tcPr>
          <w:p w:rsidR="00BE2A18" w:rsidRPr="00315540" w:rsidRDefault="00BE2A18" w:rsidP="00BE2A18">
            <w:pPr>
              <w:rPr>
                <w:lang w:val="en-US"/>
              </w:rPr>
            </w:pPr>
            <w:r w:rsidRPr="00315540">
              <w:rPr>
                <w:lang w:val="en-US"/>
              </w:rPr>
              <w:t>Minimal</w:t>
            </w:r>
          </w:p>
        </w:tc>
        <w:tc>
          <w:tcPr>
            <w:tcW w:w="1619" w:type="dxa"/>
            <w:hideMark/>
          </w:tcPr>
          <w:p w:rsidR="00BE2A18" w:rsidRPr="00315540" w:rsidRDefault="00BE2A18" w:rsidP="00BE2A18">
            <w:pPr>
              <w:rPr>
                <w:lang w:val="en-US"/>
              </w:rPr>
            </w:pPr>
            <w:r w:rsidRPr="00315540">
              <w:rPr>
                <w:lang w:val="en-US"/>
              </w:rPr>
              <w:t>consistent</w:t>
            </w:r>
          </w:p>
        </w:tc>
        <w:tc>
          <w:tcPr>
            <w:tcW w:w="1230" w:type="dxa"/>
            <w:hideMark/>
          </w:tcPr>
          <w:p w:rsidR="00BE2A18" w:rsidRPr="00315540" w:rsidRDefault="00BE2A18" w:rsidP="00BE2A18">
            <w:pPr>
              <w:rPr>
                <w:lang w:val="en-US"/>
              </w:rPr>
            </w:pPr>
            <w:r w:rsidRPr="00315540">
              <w:rPr>
                <w:lang w:val="en-US"/>
              </w:rPr>
              <w:t>Direct</w:t>
            </w:r>
          </w:p>
        </w:tc>
        <w:tc>
          <w:tcPr>
            <w:tcW w:w="1558" w:type="dxa"/>
            <w:hideMark/>
          </w:tcPr>
          <w:p w:rsidR="00BE2A18" w:rsidRPr="00315540" w:rsidRDefault="00BE2A18" w:rsidP="00BE2A18">
            <w:pPr>
              <w:rPr>
                <w:lang w:val="en-US"/>
              </w:rPr>
            </w:pPr>
            <w:r w:rsidRPr="00315540">
              <w:rPr>
                <w:lang w:val="en-US"/>
              </w:rPr>
              <w:t>Precise</w:t>
            </w:r>
          </w:p>
        </w:tc>
        <w:tc>
          <w:tcPr>
            <w:tcW w:w="1640" w:type="dxa"/>
            <w:hideMark/>
          </w:tcPr>
          <w:p w:rsidR="00BE2A18" w:rsidRPr="00315540" w:rsidRDefault="00BE2A18" w:rsidP="00BE2A18">
            <w:pPr>
              <w:rPr>
                <w:lang w:val="en-US"/>
              </w:rPr>
            </w:pPr>
            <w:r w:rsidRPr="00315540">
              <w:rPr>
                <w:lang w:val="en-US"/>
              </w:rPr>
              <w:t>Not likely</w:t>
            </w:r>
          </w:p>
        </w:tc>
        <w:tc>
          <w:tcPr>
            <w:tcW w:w="1824" w:type="dxa"/>
            <w:hideMark/>
          </w:tcPr>
          <w:p w:rsidR="00BE2A18" w:rsidRPr="00315540" w:rsidRDefault="00BE2A18" w:rsidP="00BE2A18">
            <w:pPr>
              <w:rPr>
                <w:lang w:val="en-US"/>
              </w:rPr>
            </w:pPr>
            <w:r w:rsidRPr="00315540">
              <w:rPr>
                <w:lang w:val="en-US"/>
              </w:rPr>
              <w:t>Small</w:t>
            </w:r>
          </w:p>
        </w:tc>
        <w:tc>
          <w:tcPr>
            <w:tcW w:w="1783" w:type="dxa"/>
            <w:hideMark/>
          </w:tcPr>
          <w:p w:rsidR="00BE2A18" w:rsidRPr="00315540" w:rsidRDefault="00BE2A18" w:rsidP="00BE2A18">
            <w:pPr>
              <w:rPr>
                <w:lang w:val="en-US"/>
              </w:rPr>
            </w:pPr>
            <w:r w:rsidRPr="00315540">
              <w:rPr>
                <w:lang w:val="en-US"/>
              </w:rPr>
              <w:t>Nearly none</w:t>
            </w:r>
          </w:p>
        </w:tc>
        <w:tc>
          <w:tcPr>
            <w:tcW w:w="2255" w:type="dxa"/>
            <w:hideMark/>
          </w:tcPr>
          <w:p w:rsidR="00BE2A18" w:rsidRPr="00315540" w:rsidRDefault="00BE2A18" w:rsidP="00BE2A18">
            <w:pPr>
              <w:rPr>
                <w:lang w:val="en-US"/>
              </w:rPr>
            </w:pPr>
            <w:r w:rsidRPr="00315540">
              <w:rPr>
                <w:lang w:val="en-US"/>
              </w:rPr>
              <w:t>Minimal</w:t>
            </w:r>
          </w:p>
        </w:tc>
      </w:tr>
      <w:tr w:rsidR="00BE2A18" w:rsidRPr="00315540" w:rsidTr="00BE2A18">
        <w:trPr>
          <w:trHeight w:val="300"/>
        </w:trPr>
        <w:tc>
          <w:tcPr>
            <w:tcW w:w="2420" w:type="dxa"/>
            <w:vMerge/>
            <w:hideMark/>
          </w:tcPr>
          <w:p w:rsidR="00BE2A18" w:rsidRPr="00315540" w:rsidRDefault="00BE2A18">
            <w:pPr>
              <w:rPr>
                <w:lang w:val="en-US"/>
              </w:rPr>
            </w:pPr>
          </w:p>
        </w:tc>
        <w:tc>
          <w:tcPr>
            <w:tcW w:w="1660" w:type="dxa"/>
            <w:noWrap/>
            <w:hideMark/>
          </w:tcPr>
          <w:p w:rsidR="00BE2A18" w:rsidRPr="00315540" w:rsidRDefault="00BE2A18">
            <w:pPr>
              <w:rPr>
                <w:b/>
                <w:bCs/>
                <w:lang w:val="en-US"/>
              </w:rPr>
            </w:pPr>
            <w:r w:rsidRPr="00315540">
              <w:rPr>
                <w:b/>
                <w:bCs/>
                <w:lang w:val="en-US"/>
              </w:rPr>
              <w:t>Effect on quality</w:t>
            </w:r>
          </w:p>
        </w:tc>
        <w:tc>
          <w:tcPr>
            <w:tcW w:w="1867" w:type="dxa"/>
            <w:noWrap/>
            <w:hideMark/>
          </w:tcPr>
          <w:p w:rsidR="00BE2A18" w:rsidRPr="00315540" w:rsidRDefault="00BE2A18" w:rsidP="00BE2A18">
            <w:pPr>
              <w:rPr>
                <w:lang w:val="en-US"/>
              </w:rPr>
            </w:pPr>
            <w:r w:rsidRPr="00315540">
              <w:rPr>
                <w:lang w:val="en-US"/>
              </w:rPr>
              <w:t>Low</w:t>
            </w:r>
          </w:p>
        </w:tc>
        <w:tc>
          <w:tcPr>
            <w:tcW w:w="1824" w:type="dxa"/>
            <w:hideMark/>
          </w:tcPr>
          <w:p w:rsidR="00BE2A18" w:rsidRPr="00315540" w:rsidRDefault="00BE2A18" w:rsidP="00BE2A18">
            <w:pPr>
              <w:rPr>
                <w:lang w:val="en-US"/>
              </w:rPr>
            </w:pPr>
            <w:r w:rsidRPr="00315540">
              <w:rPr>
                <w:lang w:val="en-US"/>
              </w:rPr>
              <w:t>No change</w:t>
            </w:r>
          </w:p>
        </w:tc>
        <w:tc>
          <w:tcPr>
            <w:tcW w:w="1619" w:type="dxa"/>
            <w:hideMark/>
          </w:tcPr>
          <w:p w:rsidR="00BE2A18" w:rsidRPr="00315540" w:rsidRDefault="00BE2A18" w:rsidP="00BE2A18">
            <w:pPr>
              <w:rPr>
                <w:lang w:val="en-US"/>
              </w:rPr>
            </w:pPr>
            <w:r w:rsidRPr="00315540">
              <w:rPr>
                <w:lang w:val="en-US"/>
              </w:rPr>
              <w:t>No change</w:t>
            </w:r>
          </w:p>
        </w:tc>
        <w:tc>
          <w:tcPr>
            <w:tcW w:w="1230" w:type="dxa"/>
            <w:hideMark/>
          </w:tcPr>
          <w:p w:rsidR="00BE2A18" w:rsidRPr="00315540" w:rsidRDefault="00BE2A18" w:rsidP="00BE2A18">
            <w:pPr>
              <w:rPr>
                <w:lang w:val="en-US"/>
              </w:rPr>
            </w:pPr>
            <w:r w:rsidRPr="00315540">
              <w:rPr>
                <w:lang w:val="en-US"/>
              </w:rPr>
              <w:t>No change</w:t>
            </w:r>
          </w:p>
        </w:tc>
        <w:tc>
          <w:tcPr>
            <w:tcW w:w="1558" w:type="dxa"/>
            <w:hideMark/>
          </w:tcPr>
          <w:p w:rsidR="00BE2A18" w:rsidRPr="00315540" w:rsidRDefault="00BE2A18" w:rsidP="00BE2A18">
            <w:pPr>
              <w:rPr>
                <w:lang w:val="en-US"/>
              </w:rPr>
            </w:pPr>
            <w:r w:rsidRPr="00315540">
              <w:rPr>
                <w:lang w:val="en-US"/>
              </w:rPr>
              <w:t>No change</w:t>
            </w:r>
          </w:p>
        </w:tc>
        <w:tc>
          <w:tcPr>
            <w:tcW w:w="1640" w:type="dxa"/>
            <w:hideMark/>
          </w:tcPr>
          <w:p w:rsidR="00BE2A18" w:rsidRPr="00315540" w:rsidRDefault="00BE2A18" w:rsidP="00BE2A18">
            <w:pPr>
              <w:rPr>
                <w:lang w:val="en-US"/>
              </w:rPr>
            </w:pPr>
            <w:r w:rsidRPr="00315540">
              <w:rPr>
                <w:lang w:val="en-US"/>
              </w:rPr>
              <w:t>No change</w:t>
            </w:r>
          </w:p>
        </w:tc>
        <w:tc>
          <w:tcPr>
            <w:tcW w:w="1824" w:type="dxa"/>
            <w:hideMark/>
          </w:tcPr>
          <w:p w:rsidR="00BE2A18" w:rsidRPr="00315540" w:rsidRDefault="00BE2A18" w:rsidP="00BE2A18">
            <w:pPr>
              <w:rPr>
                <w:lang w:val="en-US"/>
              </w:rPr>
            </w:pPr>
            <w:r w:rsidRPr="00315540">
              <w:rPr>
                <w:lang w:val="en-US"/>
              </w:rPr>
              <w:t>No change</w:t>
            </w:r>
          </w:p>
        </w:tc>
        <w:tc>
          <w:tcPr>
            <w:tcW w:w="1783" w:type="dxa"/>
            <w:hideMark/>
          </w:tcPr>
          <w:p w:rsidR="00BE2A18" w:rsidRPr="00315540" w:rsidRDefault="00BE2A18" w:rsidP="00BE2A18">
            <w:pPr>
              <w:rPr>
                <w:lang w:val="en-US"/>
              </w:rPr>
            </w:pPr>
            <w:r w:rsidRPr="00315540">
              <w:rPr>
                <w:lang w:val="en-US"/>
              </w:rPr>
              <w:t>No change</w:t>
            </w:r>
          </w:p>
        </w:tc>
        <w:tc>
          <w:tcPr>
            <w:tcW w:w="2255" w:type="dxa"/>
            <w:hideMark/>
          </w:tcPr>
          <w:p w:rsidR="00BE2A18" w:rsidRPr="00315540" w:rsidRDefault="00BE2A18" w:rsidP="00BE2A18">
            <w:pPr>
              <w:rPr>
                <w:lang w:val="en-US"/>
              </w:rPr>
            </w:pPr>
            <w:r w:rsidRPr="00315540">
              <w:rPr>
                <w:lang w:val="en-US"/>
              </w:rPr>
              <w:t>No change</w:t>
            </w:r>
          </w:p>
        </w:tc>
      </w:tr>
      <w:tr w:rsidR="00BE2A18" w:rsidRPr="00BE2A18" w:rsidTr="00BE2A18">
        <w:trPr>
          <w:trHeight w:val="900"/>
        </w:trPr>
        <w:tc>
          <w:tcPr>
            <w:tcW w:w="2420" w:type="dxa"/>
            <w:vMerge w:val="restart"/>
            <w:noWrap/>
            <w:hideMark/>
          </w:tcPr>
          <w:p w:rsidR="00BE2A18" w:rsidRPr="00BE2A18" w:rsidRDefault="00BE2A18" w:rsidP="00BE2A18">
            <w:r w:rsidRPr="00315540">
              <w:rPr>
                <w:lang w:val="en-US"/>
              </w:rPr>
              <w:t>Jha et al, 2006</w:t>
            </w:r>
            <w:r w:rsidR="00A30BA9" w:rsidRPr="00315540">
              <w:rPr>
                <w:lang w:val="en-US"/>
              </w:rPr>
              <w:t xml:space="preserve"> </w:t>
            </w:r>
            <w:r w:rsidR="00A30BA9">
              <w:fldChar w:fldCharType="begin" w:fldLock="1"/>
            </w:r>
            <w:r w:rsidR="00315540" w:rsidRPr="00315540">
              <w:rPr>
                <w:lang w:val="en-US"/>
              </w:rPr>
              <w:instrText>ADDIN CSL_CITATION { "citationItems" : [ { "id" : "ITEM-1", "itemData" : { "DOI" : "10.1377/hlthaff.25.3.844", "ISBN" : "0278-2715", "ISSN" : "02782715", "PMID" : "16684751", "abstract" : "We examined the impact of New York State's public reporting system for coronary artery bypass surgery fifteen years after its launch. We found that users who picked a top-performing hospital or surgeon from the latest available report had approximately half the chance of dying as did those who picked a hospital or surgeon from the bottom quartile. Nevertheless, performance was not associated with a subsequent change in market share. Surgeons with the highest mortality rates were much more likely than other surgeons to retire or leave practice after the release of each report card.", "author" : [ { "dropping-particle" : "", "family" : "Jha", "given" : "Ashish K.", "non-dropping-particle" : "", "parse-names" : false, "suffix" : "" }, { "dropping-particle" : "", "family" : "Epstein", "given" : "Arnold M.", "non-dropping-particle" : "", "parse-names" : false, "suffix" : "" } ], "container-title" : "Health Affairs", "id" : "ITEM-1", "issue" : "3", "issued" : { "date-parts" : [ [ "2006" ] ] }, "page" : "844-855", "title" : "The predictive accuracy of the New York Sta</w:instrText>
            </w:r>
            <w:r w:rsidR="00315540">
              <w:instrText>te coronary artery bypass surgery report-card system", "type" : "article-journal", "volume" : "25" }, "uris" : [ "http://www.mendeley.com/documents/?uuid=f9b2726b-9885-49af-a492-b1a9e39c5051" ] } ], "mendeley" : { "formattedCitation" : "(13)", "plainTextFormattedCitation" : "(13)", "previouslyFormattedCitation" : "(13)" }, "properties" : { "noteIndex" : 0 }, "schema" : "https://github.com/citation-style-language/schema/raw/master/csl-citation.json" }</w:instrText>
            </w:r>
            <w:r w:rsidR="00A30BA9">
              <w:fldChar w:fldCharType="separate"/>
            </w:r>
            <w:r w:rsidR="00315540" w:rsidRPr="00315540">
              <w:rPr>
                <w:noProof/>
              </w:rPr>
              <w:t>(13)</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pPr>
              <w:rPr>
                <w:lang w:val="en-US"/>
              </w:rPr>
            </w:pPr>
            <w:r w:rsidRPr="00BE2A18">
              <w:rPr>
                <w:lang w:val="en-US"/>
              </w:rPr>
              <w:t xml:space="preserve">Slightly less precise (small </w:t>
            </w:r>
            <w:r w:rsidRPr="00BE2A18">
              <w:rPr>
                <w:lang w:val="en-US"/>
              </w:rPr>
              <w:lastRenderedPageBreak/>
              <w:t>numbers)</w:t>
            </w:r>
          </w:p>
        </w:tc>
        <w:tc>
          <w:tcPr>
            <w:tcW w:w="1640" w:type="dxa"/>
            <w:hideMark/>
          </w:tcPr>
          <w:p w:rsidR="00BE2A18" w:rsidRPr="00BE2A18" w:rsidRDefault="00BE2A18" w:rsidP="00BE2A18">
            <w:proofErr w:type="spellStart"/>
            <w:r w:rsidRPr="00BE2A18">
              <w:lastRenderedPageBreak/>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w:t>
            </w:r>
          </w:p>
        </w:tc>
        <w:tc>
          <w:tcPr>
            <w:tcW w:w="1783" w:type="dxa"/>
            <w:hideMark/>
          </w:tcPr>
          <w:p w:rsidR="00BE2A18" w:rsidRPr="00BE2A18" w:rsidRDefault="00BE2A18" w:rsidP="00BE2A18">
            <w:proofErr w:type="spellStart"/>
            <w:r w:rsidRPr="00BE2A18">
              <w:t>Not</w:t>
            </w:r>
            <w:proofErr w:type="spellEnd"/>
            <w:r w:rsidRPr="00BE2A18">
              <w:t xml:space="preserve"> </w:t>
            </w:r>
            <w:proofErr w:type="spellStart"/>
            <w:r w:rsidRPr="00BE2A18">
              <w:t>significant</w:t>
            </w:r>
            <w:proofErr w:type="spellEnd"/>
          </w:p>
        </w:tc>
        <w:tc>
          <w:tcPr>
            <w:tcW w:w="2255" w:type="dxa"/>
            <w:hideMark/>
          </w:tcPr>
          <w:p w:rsidR="00BE2A18" w:rsidRPr="00BE2A18" w:rsidRDefault="00BE2A18" w:rsidP="00BE2A18">
            <w:pPr>
              <w:rPr>
                <w:lang w:val="en-US"/>
              </w:rPr>
            </w:pPr>
            <w:r w:rsidRPr="00BE2A18">
              <w:rPr>
                <w:lang w:val="en-US"/>
              </w:rPr>
              <w:t>Potential to increase or decrease</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proofErr w:type="spellStart"/>
            <w:r w:rsidRPr="00BE2A18">
              <w:t>Decrease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proofErr w:type="spellStart"/>
            <w:r w:rsidRPr="00BE2A18">
              <w:t>Increase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t>Hollenbeak</w:t>
            </w:r>
            <w:proofErr w:type="spellEnd"/>
            <w:r w:rsidRPr="00BE2A18">
              <w:t xml:space="preserve"> et al, 2008</w:t>
            </w:r>
            <w:r w:rsidR="00A30BA9">
              <w:t xml:space="preserve"> </w:t>
            </w:r>
            <w:r w:rsidR="00A30BA9">
              <w:fldChar w:fldCharType="begin" w:fldLock="1"/>
            </w:r>
            <w:r w:rsidR="00315540">
              <w:instrText>ADDIN CSL_CITATION { "citationItems" : [ { "id" : "ITEM-1", "itemData" : { "DOI" : "10.1177/1062860608318451", "ISBN" : "1062860608", "ISSN" : "1062-8606", "author" : [ { "dropping-particle" : "", "family" : "Hollenbeak", "given" : "Christopher S", "non-dropping-particle" : "", "parse-names" : false, "suffix" : "" }, { "dropping-particle" : "", "family" : "Gorton", "given" : "Christopher P", "non-dropping-particle" : "", "parse-names" : false, "suffix" : "" }, { "dropping-particle" : "", "family" : "Tabak", "given" : "Ying P", "non-dropping-particle" : "", "parse-names" : false, "suffix" : "" }, { "dropping-particle" : "", "family" : "Jones", "given" : "Jayne L", "non-dropping-particle" : "", "parse-names" : false, "suffix" : "" }, { "dropping-particle" : "", "family" : "Milstein", "given" : "Arnold", "non-dropping-particle" : "", "parse-names" : false, "suffix" : "" }, { "dropping-particle" : "", "family" : "Richard", "given" : "S", "non-dropping-particle" : "", "parse-names" : false, "suffix" : "" }, { "dropping-particle" : "", "family" : "Johannes", "given" : "Richard S", "non-dropping-particle" : "", "parse-names" : false, "suffix" : "" } ], "id" : "ITEM-1", "issued" : { "date-parts" : [ [ "2008" ] ] }, "title" : "Reductions in Mortality Associated Hospital Outcomes", "type" : "article-journal" }, "uris" : [ "http://www.mendeley.com/documents/?uuid=ac6ea9e3-6874-4627-a374-46767bd2ee42" ] } ], "mendeley" : { "formattedCitation" : "(14)", "plainTextFormattedCitation" : "(14)", "previouslyFormattedCitation" : "(14)" }, "properties" : { "noteIndex" : 0 }, "schema" : "https://github.com/citation-style-language/schema/raw/master/csl-citation.json" }</w:instrText>
            </w:r>
            <w:r w:rsidR="00A30BA9">
              <w:fldChar w:fldCharType="separate"/>
            </w:r>
            <w:r w:rsidR="00315540" w:rsidRPr="00315540">
              <w:rPr>
                <w:noProof/>
              </w:rPr>
              <w:t>(14)</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w:t>
            </w:r>
          </w:p>
        </w:tc>
        <w:tc>
          <w:tcPr>
            <w:tcW w:w="1783" w:type="dxa"/>
            <w:hideMark/>
          </w:tcPr>
          <w:p w:rsidR="00BE2A18" w:rsidRPr="00BE2A18" w:rsidRDefault="00BE2A18" w:rsidP="00BE2A18">
            <w:r w:rsidRPr="00BE2A18">
              <w:t>Small</w:t>
            </w:r>
          </w:p>
        </w:tc>
        <w:tc>
          <w:tcPr>
            <w:tcW w:w="2255" w:type="dxa"/>
            <w:hideMark/>
          </w:tcPr>
          <w:p w:rsidR="00BE2A18" w:rsidRPr="00BE2A18" w:rsidRDefault="00BE2A18" w:rsidP="00BE2A18">
            <w:pPr>
              <w:rPr>
                <w:lang w:val="en-US"/>
              </w:rPr>
            </w:pPr>
            <w:r w:rsidRPr="00BE2A18">
              <w:rPr>
                <w:lang w:val="en-US"/>
              </w:rPr>
              <w:t>Potential to increase or decrease</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proofErr w:type="spellStart"/>
            <w:r w:rsidRPr="00BE2A18">
              <w:t>Increase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1800"/>
        </w:trPr>
        <w:tc>
          <w:tcPr>
            <w:tcW w:w="2420" w:type="dxa"/>
            <w:vMerge w:val="restart"/>
            <w:noWrap/>
            <w:hideMark/>
          </w:tcPr>
          <w:p w:rsidR="00BE2A18" w:rsidRPr="00BE2A18" w:rsidRDefault="00BE2A18" w:rsidP="00BE2A18">
            <w:r w:rsidRPr="00BE2A18">
              <w:t>Ryan, 2009</w:t>
            </w:r>
            <w:r w:rsidR="00A30BA9">
              <w:t xml:space="preserve"> </w:t>
            </w:r>
            <w:r w:rsidR="00A30BA9">
              <w:fldChar w:fldCharType="begin" w:fldLock="1"/>
            </w:r>
            <w:r w:rsidR="00315540">
              <w:instrText>ADDIN CSL_CITATION { "citationItems" : [ { "id" : "ITEM-1", "itemData" : { "DOI" : "10.1111/j.1475-6773.2009.00956.x", "ISSN" : "1475-6773", "PMID" : "19674427", "abstract" : "OBJECTIVE: To evaluate the effects of the Premier Inc. and Centers for Medicare and Medicaid Services Hospital Quality Incentive Demonstration (PHQID), a public quality reporting and pay-for-performance (P4P) program, on Medicare patient mortality, cost, and outlier classification. DATA SOURCES: The 2000-2006 Medicare inpatient claims, Medicare denominator files, and Medicare Provider of Service files. STUDY DESIGN: Panel data econometric methods are applied to a retrospective cohort of 11,232,452 admissions from 6,713,928 patients with principal diagnoses of acute myocardial infarction (AMI), heart failure, pneumonia, or a coronary-artery bypass grafting (CABG) procedure from 3,570 acute care hospitals between 2000 and 2006. Three estimators are used to evaluate the effects of the PHQID on risk-adjusted (RA) mortality, cost, and outlier classification in the presence of unobserved selection, resulting from the PHQID being voluntary: fixed effects (FE), FE estimated in the subset of hospitals eligible for the PHQID, and difference-in-difference-in-differences. DATA EXTRACTION METHODS: Data were obtained from CMS. Principal Findings. This analysis found no evidence that the PHQID had a significant effect on RA 30-day mortality or RA 60-day cost for AMI, heart failure, pneumonia, or CABG and weak evidence that the PHQID increased RA outlier classification for heart failure and pneumonia. CONCLUSIONS: By not reducing mortality or cost growth, this study suggests that the PHQID has made little impact on the value of inpatient care purchased by Medicare.", "author" : [ { "dropping-particle" : "", "family" : "Ryan", "given" : "Andrew M", "non-dropping-particle" : "", "parse-names" : false, "suffix" : "" } ], "container-title" : "Health services research", "id" : "ITEM-1", "issue" : "3", "issued" : { "date-parts" : [ [ "2009", "6" ] ] }, "page" : "821-42", "title" : "Effects of the Premier Hospital Quality Incentive Demonstration on Medicare patient mortality and cost.", "type" : "article-journal", "volume" : "44" }, "uris" : [ "http://www.mendeley.com/documents/?uuid=aca18000-7a2c-4f15-8fb1-38f256315f3e" ] } ], "mendeley" : { "formattedCitation" : "(15)", "plainTextFormattedCitation" : "(15)", "previouslyFormattedCitation" : "(15)" }, "properties" : { "noteIndex" : 0 }, "schema" : "https://github.com/citation-style-language/schema/raw/master/csl-citation.json" }</w:instrText>
            </w:r>
            <w:r w:rsidR="00A30BA9">
              <w:fldChar w:fldCharType="separate"/>
            </w:r>
            <w:r w:rsidR="00315540" w:rsidRPr="00315540">
              <w:rPr>
                <w:noProof/>
              </w:rPr>
              <w:t>(15)</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r w:rsidRPr="00BE2A18">
              <w:t xml:space="preserve">Small </w:t>
            </w:r>
            <w:proofErr w:type="spellStart"/>
            <w:r w:rsidRPr="00BE2A18">
              <w:t>potential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pPr>
              <w:rPr>
                <w:lang w:val="en-US"/>
              </w:rPr>
            </w:pPr>
            <w:r w:rsidRPr="00BE2A18">
              <w:rPr>
                <w:lang w:val="en-US"/>
              </w:rPr>
              <w:t>Slightly less precise (limited amount of patient/hospital data)</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None</w:t>
            </w:r>
          </w:p>
        </w:tc>
        <w:tc>
          <w:tcPr>
            <w:tcW w:w="1783" w:type="dxa"/>
            <w:hideMark/>
          </w:tcPr>
          <w:p w:rsidR="00BE2A18" w:rsidRPr="00BE2A18" w:rsidRDefault="00BE2A18" w:rsidP="00BE2A18">
            <w:r w:rsidRPr="00BE2A18">
              <w:t>None</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proofErr w:type="spellStart"/>
            <w:r w:rsidRPr="00BE2A18">
              <w:t>Decrease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t>Friedberg</w:t>
            </w:r>
            <w:proofErr w:type="spellEnd"/>
            <w:r w:rsidRPr="00BE2A18">
              <w:t xml:space="preserve"> et al, 2009</w:t>
            </w:r>
            <w:r w:rsidR="00A30BA9">
              <w:t xml:space="preserve"> </w:t>
            </w:r>
            <w:r w:rsidR="00A30BA9">
              <w:fldChar w:fldCharType="begin" w:fldLock="1"/>
            </w:r>
            <w:r w:rsidR="00315540">
              <w:instrText>ADDIN CSL_CITATION { "citationItems" : [ { "id" : "ITEM-1", "itemData" : { "DOI" : "11051 [pii]", "ISBN" : "1936-2692 (Electronic)", "ISSN" : "10880224", "PMID" : "19284811", "abstract" : "OBJECTIVE: To determine whether publicly reporting hospital scores on antibiotic timing in pneumonia (percentage of patients with pneumonia receiving antibiotics within 4 hours) has led to unintended adverse consequences for patients. STUDY DESIGN: Retrospective analyses of 13,042 emergency department (ED) visits by adult patients with respiratory symptoms in the National Hospital Ambulatory Medical Care Survey, 2001-2005. METHODS: Rates of pneumonia diagnosis, antibiotic use, and waiting times to see a physician were compared before and after public reporting, using a nationally representative hospital sample. These outcomes also were compared between hospitals with different antibiotic timing scores. RESULTS: There were no differences in rates of pneumonia diagnosis (10% vs 11% of all ED visits, P = .72) or antibiotic administration (34% vs 35%, P = .21) before and after antibiotic timing score reporting. Mean waiting times to be seen by a physician increased similarly for patients with and without respiratory symptoms (11-minute vs 6-minute increase, respectively; P = .29). After adjustment for confounders, hospitals with higher 2005 antibiotic timing scores had shorter mean waiting times for all patients, but there were no significant score-related trends for rates of pneumonia diagnosis or antibiotic use. CONCLUSION: Despite concerns, public reporting of hospital antibiotic timing scores has not led to increased pneumonia diagnosis, antibiotic use, or a change in patient prioritization.", "author" : [ { "dropping-particle" : "", "family" : "Friedberg", "given" : "Mark W.", "non-dropping-particle" : "", "parse-names" : false, "suffix" : "" }, { "dropping-particle" : "", "family" : "Mehrotra", "given" : "Ateev", "non-dropping-particle" : "", "parse-names" : false, "suffix" : "" }, { "dropping-particle" : "", "family" : "Linder", "given" : "Jeffrey A.", "non-dropping-particle" : "", "parse-names" : false, "suffix" : "" } ], "container-title" : "American Journal of Managed Care", "id" : "ITEM-1", "issue" : "2", "issued" : { "date-parts" : [ [ "2009" ] ] }, "page" : "137-144", "title" : "Reporting hospitals' antibiotic timing in pneumonia: adverse consequences for patients?", "type" : "article-journal", "volume" : "15" }, "uris" : [ "http://www.mendeley.com/documents/?uuid=1994e776-1db0-4697-9091-3f56d873351f" ] } ], "mendeley" : { "formattedCitation" : "(16)", "plainTextFormattedCitation" : "(16)", "previouslyFormattedCitation" : "(16)" }, "properties" : { "noteIndex" : 0 }, "schema" : "https://github.com/citation-style-language/schema/raw/master/csl-citation.json" }</w:instrText>
            </w:r>
            <w:r w:rsidR="00A30BA9">
              <w:fldChar w:fldCharType="separate"/>
            </w:r>
            <w:r w:rsidR="00315540" w:rsidRPr="00315540">
              <w:rPr>
                <w:noProof/>
              </w:rPr>
              <w:t>(16)</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proofErr w:type="spellStart"/>
            <w:r w:rsidRPr="00BE2A18">
              <w:t>very</w:t>
            </w:r>
            <w:proofErr w:type="spellEnd"/>
            <w:r w:rsidRPr="00BE2A18">
              <w:t xml:space="preserve"> </w:t>
            </w:r>
            <w:proofErr w:type="spellStart"/>
            <w:r w:rsidRPr="00BE2A18">
              <w:t>minimal</w:t>
            </w:r>
            <w:proofErr w:type="spellEnd"/>
          </w:p>
        </w:tc>
        <w:tc>
          <w:tcPr>
            <w:tcW w:w="1783" w:type="dxa"/>
            <w:hideMark/>
          </w:tcPr>
          <w:p w:rsidR="00BE2A18" w:rsidRPr="00BE2A18" w:rsidRDefault="00BE2A18" w:rsidP="00BE2A18">
            <w:proofErr w:type="spellStart"/>
            <w:r w:rsidRPr="00BE2A18">
              <w:t>Nearly</w:t>
            </w:r>
            <w:proofErr w:type="spellEnd"/>
            <w:r w:rsidRPr="00BE2A18">
              <w:t xml:space="preserve"> none</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t>Werner</w:t>
            </w:r>
            <w:proofErr w:type="spellEnd"/>
            <w:r w:rsidRPr="00BE2A18">
              <w:t xml:space="preserve"> et al, 2010</w:t>
            </w:r>
            <w:r w:rsidR="00A30BA9">
              <w:t xml:space="preserve"> </w:t>
            </w:r>
            <w:r w:rsidR="00A30BA9">
              <w:fldChar w:fldCharType="begin" w:fldLock="1"/>
            </w:r>
            <w:r w:rsidR="00315540">
              <w:instrText>ADDIN CSL_CITATION { "citationItems" : [ { "id" : "ITEM-1", "itemData" : { "DOI" : "10.1377/hlthaff.2008.0770", "ISBN" : "1544-5208 (Electronic)\\r0278-2715 (Linking)", "ISSN" : "02782715", "PMID" : "20606180", "abstract" : "The Centers for Medicare and Medicaid Services publicly reports so-called process performance at all U.S. hospitals, such as whether certain recommended treatments are given to specific types of patients. We examined whether hospital performance on key process indicators improved during the three years since this reporting began. We also studied whether or not these changes improved patient outcomes or yielded other quality improvements, such as reduced hospital readmission rates. We found that, from 2004 to 2006, hospital process performance improved and was associated with better patient and quality outcomes. Most notably, for acute myocardial infarction, performance improvements were associated with declines in mortality rates, lengths-of-stay, and readmission rates. Although we cannot conclude that public reporting caused the improvement in processes or outcomes, these results are encouraging, since improving process performance may improve quality more broadly.", "author" : [ { "dropping-particle" : "", "family" : "Werner", "given" : "Rachel M.", "non-dropping-particle" : "", "parse-names" : false, "suffix" : "" }, { "dropping-particle" : "", "family" : "Bradlow", "given" : "Eric T.", "non-dropping-particle" : "", "parse-names" : false, "suffix" : "" } ], "container-title" : "Health Affairs", "id" : "ITEM-1", "issue" : "7", "issued" : { "date-parts" : [ [ "2010" ] ] }, "page" : "1319-1324", "title" : "Public reporting on hospital process improvements is linked to better patient outcomes", "type" : "article-journal", "volume" : "29" }, "uris" : [ "http://www.mendeley.com/documents/?uuid=0ce2736e-8b01-442b-b450-c1dcd4f834d4" ] } ], "mendeley" : { "formattedCitation" : "(17)", "plainTextFormattedCitation" : "(17)", "previouslyFormattedCitation" : "(17)" }, "properties" : { "noteIndex" : 0 }, "schema" : "https://github.com/citation-style-language/schema/raw/master/csl-citation.json" }</w:instrText>
            </w:r>
            <w:r w:rsidR="00A30BA9">
              <w:fldChar w:fldCharType="separate"/>
            </w:r>
            <w:r w:rsidR="00315540" w:rsidRPr="00315540">
              <w:rPr>
                <w:noProof/>
              </w:rPr>
              <w:t>(17)</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 (</w:t>
            </w:r>
            <w:proofErr w:type="spellStart"/>
            <w:r w:rsidRPr="00BE2A18">
              <w:t>Modest</w:t>
            </w:r>
            <w:proofErr w:type="spellEnd"/>
            <w:r w:rsidRPr="00BE2A18">
              <w:t>)</w:t>
            </w:r>
          </w:p>
        </w:tc>
        <w:tc>
          <w:tcPr>
            <w:tcW w:w="1783" w:type="dxa"/>
            <w:hideMark/>
          </w:tcPr>
          <w:p w:rsidR="00BE2A18" w:rsidRPr="00BE2A18" w:rsidRDefault="00BE2A18" w:rsidP="00BE2A18">
            <w:proofErr w:type="spellStart"/>
            <w:r w:rsidRPr="00BE2A18">
              <w:t>Not</w:t>
            </w:r>
            <w:proofErr w:type="spellEnd"/>
            <w:r w:rsidRPr="00BE2A18">
              <w:t xml:space="preserve"> </w:t>
            </w:r>
            <w:proofErr w:type="spellStart"/>
            <w:r w:rsidRPr="00BE2A18">
              <w:t>significant</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r w:rsidRPr="00BE2A18">
              <w:t>Li et al, 2010</w:t>
            </w:r>
            <w:r w:rsidR="00A30BA9">
              <w:t xml:space="preserve"> </w:t>
            </w:r>
            <w:r w:rsidR="00A30BA9">
              <w:fldChar w:fldCharType="begin" w:fldLock="1"/>
            </w:r>
            <w:r w:rsidR="00315540">
              <w:instrText>ADDIN CSL_CITATION { "citationItems" : [ { "id" : "ITEM-1", "itemData" : { "DOI" : "10.1016/j.athoracsur.2009.12.073", "ISSN" : "1552-6259", "PMID" : "20338320", "abstract" : "BACKGROUND: California launched the coronary artery bypass graft surgery (CABG) Outcomes Reporting Program in 2003 for all nonfederal hospitals performing this procedure. The program provides annual public reports of risk-adjusted operative mortality rates by hospital and surgeon. However, the impact of this program on operative mortality and access to surgery for high-risk patients has not been clarified. METHODS: The cohort consisted of all isolated CABG cases from the California CABG Outcomes Reporting Program database for 2003 and 2006. We applied the same multivariable logistic risk adjustment model to each year to compute predicted and risk-adjusted operative mortality for isolated CABG by hospital and surgeons. Changes in surgical volume and observed, predicted, and risk-adjusted operative mortality were compared by quintiles of patients based on the predicted risk and among hospitals and surgeons between 2003 and 2006. RESULTS: Total volume of isolated CABG decreased by 26.5% from 2003 (N=21,276) to 2006 (N=15,647). The reduction in CABG volume between 2003 and 2006 was universal among hospitals and surgeons regardless of their performance status in 2003. The change in patient case mix for a majority of hospitals and surgeons was insignificant, and overall patient risk was stable (statewide predicted operative mortality rate for 2003, 3.06%; 95% confidence interval, 2.98 to 3.13; and for 2006, 3.05%; 95% confidence interval, 2.97 to 3.14). Yet, the statewide observed mortality declined from 2.90% in 2003 to 2.22% in 2006 (p=0.0001). Overall, the empiric odds ratio of operative death for 2006 patients was 24% lower than for 2003 patients. In 2006, patients with the highest predicted operative mortality risk (4th and 5th quintiles) had 35% and 26% lower odds of operative mortality, respectively, when compared with patients from 2003. CONCLUSIONS: Although total CABG volume decreased from 2003 to 2006 by almost 27%, patient case mix for most hospitals and surgeons was unchanged. Despite similar patient characteristics, the operative mortality for patients in the highest risk group was 26% lower in 2006 than in 2003. We found no evidence of decreased access to CABG for high-risk patients in California during the period of public reporting of isolated CABG outcomes.", "author" : [ { "dropping-particle" : "", "family" : "Li", "given" : "Zhongmin", "non-dropping-particle" : "", "parse-names" : false, "suffix" : "" }, { "dropping-particle" : "", "family" : "Carlisle", "given" : "David M", "non-dropping-particle" : "", "parse-names" : false, "suffix" : "" }, { "dropping-particle" : "", "family" : "Marcin", "given" : "James P", "non-dropping-particle" : "", "parse-names" : false, "suffix" : "" }, { "dropping-particle" : "", "family" : "Castellanos", "given" : "Luis R", "non-dropping-particle" : "", "parse-names" : false, "suffix" : "" }, { "dropping-particle" : "", "family" : "Romano", "given" : "Patrick S", "non-dropping-particle" : "", "parse-names" : false, "suffix" : "" }, { "dropping-particle" : "", "family" : "Young", "given" : "J Nilas", "non-dropping-particle" : "", "parse-names" : false, "suffix" : "" }, { "dropping-particle" : "", "family" : "Amsterdam", "given" : "Ezra a", "non-dropping-particle" : "", "parse-names" : false, "suffix" : "" } ], "container-title" : "The Annals of thoracic surgery", "id" : "ITEM-1", "issue" : "4", "issued" : { "date-parts" : [ [ "2010", "4" ] ] }, "page" : "1131-8", "publisher" : "Elsevier Inc.", "title" : "Impact of public reporting on access to coronary artery bypass surgery: the California Outcomes Reporting Program.", "type" : "article-journal", "volume" : "89" }, "uris" : [ "http://www.mendeley.com/documents/?uuid=54a704b0-8faa-4711-ae70-8034b94791f4" ] } ], "mendeley" : { "formattedCitation" : "(18)", "plainTextFormattedCitation" : "(18)", "previouslyFormattedCitation" : "(18)" }, "properties" : { "noteIndex" : 0 }, "schema" : "https://github.com/citation-style-language/schema/raw/master/csl-citation.json" }</w:instrText>
            </w:r>
            <w:r w:rsidR="00A30BA9">
              <w:fldChar w:fldCharType="separate"/>
            </w:r>
            <w:r w:rsidR="00315540" w:rsidRPr="00315540">
              <w:rPr>
                <w:noProof/>
              </w:rPr>
              <w:t>(18)</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Moderate</w:t>
            </w:r>
          </w:p>
        </w:tc>
        <w:tc>
          <w:tcPr>
            <w:tcW w:w="1783" w:type="dxa"/>
            <w:hideMark/>
          </w:tcPr>
          <w:p w:rsidR="00BE2A18" w:rsidRPr="00BE2A18" w:rsidRDefault="00BE2A18" w:rsidP="00BE2A18">
            <w:r w:rsidRPr="00BE2A18">
              <w:t xml:space="preserve">Some </w:t>
            </w:r>
            <w:proofErr w:type="spellStart"/>
            <w:r w:rsidRPr="00BE2A18">
              <w:t>statistically</w:t>
            </w:r>
            <w:proofErr w:type="spellEnd"/>
            <w:r w:rsidRPr="00BE2A18">
              <w:t xml:space="preserve"> </w:t>
            </w:r>
            <w:proofErr w:type="spellStart"/>
            <w:r w:rsidRPr="00BE2A18">
              <w:t>significant</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lastRenderedPageBreak/>
              <w:t>quality</w:t>
            </w:r>
            <w:proofErr w:type="spellEnd"/>
          </w:p>
        </w:tc>
        <w:tc>
          <w:tcPr>
            <w:tcW w:w="1867" w:type="dxa"/>
            <w:noWrap/>
            <w:hideMark/>
          </w:tcPr>
          <w:p w:rsidR="00BE2A18" w:rsidRPr="00BE2A18" w:rsidRDefault="00BE2A18" w:rsidP="00BE2A18">
            <w:proofErr w:type="spellStart"/>
            <w:r w:rsidRPr="00BE2A18">
              <w:lastRenderedPageBreak/>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lastRenderedPageBreak/>
              <w:t>change</w:t>
            </w:r>
            <w:proofErr w:type="spellEnd"/>
          </w:p>
        </w:tc>
        <w:tc>
          <w:tcPr>
            <w:tcW w:w="1558" w:type="dxa"/>
            <w:hideMark/>
          </w:tcPr>
          <w:p w:rsidR="00BE2A18" w:rsidRPr="00BE2A18" w:rsidRDefault="00BE2A18" w:rsidP="00BE2A18">
            <w:r w:rsidRPr="00BE2A18">
              <w:lastRenderedPageBreak/>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315540" w:rsidRDefault="00BE2A18" w:rsidP="00BE2A18">
            <w:pPr>
              <w:rPr>
                <w:lang w:val="en-US"/>
              </w:rPr>
            </w:pPr>
            <w:proofErr w:type="spellStart"/>
            <w:r w:rsidRPr="00BE2A18">
              <w:lastRenderedPageBreak/>
              <w:t>Jha</w:t>
            </w:r>
            <w:proofErr w:type="spellEnd"/>
            <w:r w:rsidRPr="00BE2A18">
              <w:t xml:space="preserve"> et al, 2012</w:t>
            </w:r>
            <w:r w:rsidR="00A30BA9">
              <w:t xml:space="preserve"> </w:t>
            </w:r>
            <w:r w:rsidR="00A30BA9">
              <w:fldChar w:fldCharType="begin" w:fldLock="1"/>
            </w:r>
            <w:r w:rsidR="00315540">
              <w:instrText>ADDIN CSL_CITATION { "citationItems" : [ { "id" : "ITEM-1", "itemData" : { "DOI" : "10.1056/NEJMsa1112351", "ISSN" : "1533-4406", "PMID" : "22455751", "abstract" : "BACKGROUND: Pay for performance has become a central strategy in the drive to improve health care. We assessed the long-term effect of the Medicare Premier Hospital Quality Incentive Demonstration (HQID) on patient outcomes. METHODS: We used Medicare data to compare outcomes between the 252 hospitals participating in the Premier HQID and 3363 control hospitals participating in public reporting alone. We examined 30-day mortality among more than 6 million patients who had acute myocardial infarction, congestive heart failure, or pneumonia or who underwent coronary-artery bypass grafting (CABG) between 2003 and 2009. RESULTS: At baseline, the composite 30-day mortality was similar for Premier and non-Premier hospitals (12.33% and 12.40%, respectively; difference, -0.07 percentage points; 95% confidence interval [CI], -0.40 to 0.26). The rates of decline in mortality per quarter at the two types of hospitals were also similar (0.04% and 0.04%, respectively; difference, -0.01 percentage points; 95% CI, -0.02 to 0.01), and mortality remained similar after 6 years under the pay-for-performance system (11.82% for Premier hospitals and 11.74% for non-Premier hospitals; difference, 0.08 percentage points; 95% CI, -0.30 to 0.46). We found that the effects of pay for performance on mortality did not differ significantly among conditions for which outcomes were explicitly linked to incentives (acute myocardial infarction and CABG) and among conditions not linked to incentives (congestive heart failure and pneumonia) (P=0.36 for interaction). Among hospitals that were poor performers at baseline, mortality was similar in the two groups of hospitals at the start of the study (15.12% and 14.73%; difference, 0.39 percentage points; 95% CI, -0.36 to 1.15), with similar rates of improvement per quarter (0.10% and 0.07%; difference, -0.03 percentage points; 95% CI, -0.08 to 0.02) and similar mortality rates at the end of the study (13.37% and 13.21%; difference, 0.15 percentag</w:instrText>
            </w:r>
            <w:r w:rsidR="00315540" w:rsidRPr="00315540">
              <w:rPr>
                <w:lang w:val="en-US"/>
              </w:rPr>
              <w:instrText>e points; 95% CI, -0.70 to 1.01). CONCLUSIONS: We found no evidence that the largest hospital-based pay-for-performance program led to a decrease in 30-day mortality. Expectations of improved outcomes for programs modeled after Premier HQID should therefore remain modest.", "author" : [ { "dropping-particle" : "", "family" : "Jha", "given" : "Ashish K.", "non-dropping-particle" : "", "parse-names" : false, "suffix" : "" }, { "dropping-particle" : "", "family" : "Joynt", "given" : "Karen E.", "non-dropping-particle" : "", "parse-names" : false, "suffix" : "" }, { "dropping-particle" : "", "family" : "Orav", "given" : "E. John", "non-dropping-particle" : "", "parse-names" : false, "suffix" : "" }, { "dropping-particle" : "", "family" : "Epstein", "given" : "Arnold M.", "non-dropping-particle" : "", "parse-names" : false, "suffix" : "" } ], "container-title" : "The New England journal of medicine", "id" : "ITEM-1", "issue" : "17", "issued" : { "date-parts" : [ [ "2012", "4" ] ] }, "page" : "1606-15", "title" : "The long-term effect of premier pay for performance on patient outcomes.", "type" : "article-journal", "volume" : "366" }, "uris" : [ "http://www.mendeley.com/documents/?uuid=7871adc6-9381-4ca7-b8d8-5cc228df2571" ] } ], "mendeley" : { "formattedCitation" : "(19)", "plainTextFormattedCitation" : "(19)", "previouslyFormattedCitation" : "(19)" }, "properties" : { "noteIndex" : 0 }, "schema" : "https://github.com/citation-style-language/schema/raw/master/csl-citation.json" }</w:instrText>
            </w:r>
            <w:r w:rsidR="00A30BA9">
              <w:fldChar w:fldCharType="separate"/>
            </w:r>
            <w:r w:rsidR="00315540" w:rsidRPr="00315540">
              <w:rPr>
                <w:noProof/>
                <w:lang w:val="en-US"/>
              </w:rPr>
              <w:t>(19)</w:t>
            </w:r>
            <w:r w:rsidR="00A30BA9">
              <w:fldChar w:fldCharType="end"/>
            </w:r>
          </w:p>
        </w:tc>
        <w:tc>
          <w:tcPr>
            <w:tcW w:w="1660" w:type="dxa"/>
            <w:noWrap/>
            <w:hideMark/>
          </w:tcPr>
          <w:p w:rsidR="00BE2A18" w:rsidRPr="00315540" w:rsidRDefault="00BE2A18">
            <w:pPr>
              <w:rPr>
                <w:b/>
                <w:bCs/>
                <w:lang w:val="en-US"/>
              </w:rPr>
            </w:pPr>
            <w:r w:rsidRPr="00315540">
              <w:rPr>
                <w:b/>
                <w:bCs/>
                <w:lang w:val="en-US"/>
              </w:rPr>
              <w:t>Characteristic</w:t>
            </w:r>
          </w:p>
        </w:tc>
        <w:tc>
          <w:tcPr>
            <w:tcW w:w="1867" w:type="dxa"/>
            <w:noWrap/>
            <w:hideMark/>
          </w:tcPr>
          <w:p w:rsidR="00BE2A18" w:rsidRPr="00315540" w:rsidRDefault="00BE2A18" w:rsidP="00BE2A18">
            <w:pPr>
              <w:rPr>
                <w:lang w:val="en-US"/>
              </w:rPr>
            </w:pPr>
            <w:r w:rsidRPr="00315540">
              <w:rPr>
                <w:lang w:val="en-US"/>
              </w:rPr>
              <w:t>Observational study</w:t>
            </w:r>
          </w:p>
        </w:tc>
        <w:tc>
          <w:tcPr>
            <w:tcW w:w="1824" w:type="dxa"/>
            <w:hideMark/>
          </w:tcPr>
          <w:p w:rsidR="00BE2A18" w:rsidRPr="00315540" w:rsidRDefault="00BE2A18" w:rsidP="00BE2A18">
            <w:pPr>
              <w:rPr>
                <w:lang w:val="en-US"/>
              </w:rPr>
            </w:pPr>
            <w:r w:rsidRPr="00315540">
              <w:rPr>
                <w:lang w:val="en-US"/>
              </w:rPr>
              <w:t>Minimal</w:t>
            </w:r>
          </w:p>
        </w:tc>
        <w:tc>
          <w:tcPr>
            <w:tcW w:w="1619" w:type="dxa"/>
            <w:hideMark/>
          </w:tcPr>
          <w:p w:rsidR="00BE2A18" w:rsidRPr="00315540" w:rsidRDefault="00BE2A18" w:rsidP="00BE2A18">
            <w:pPr>
              <w:rPr>
                <w:lang w:val="en-US"/>
              </w:rPr>
            </w:pPr>
            <w:r w:rsidRPr="00315540">
              <w:rPr>
                <w:lang w:val="en-US"/>
              </w:rPr>
              <w:t>Consistent</w:t>
            </w:r>
          </w:p>
        </w:tc>
        <w:tc>
          <w:tcPr>
            <w:tcW w:w="1230" w:type="dxa"/>
            <w:hideMark/>
          </w:tcPr>
          <w:p w:rsidR="00BE2A18" w:rsidRPr="00315540" w:rsidRDefault="00BE2A18" w:rsidP="00BE2A18">
            <w:pPr>
              <w:rPr>
                <w:lang w:val="en-US"/>
              </w:rPr>
            </w:pPr>
            <w:r w:rsidRPr="00315540">
              <w:rPr>
                <w:lang w:val="en-US"/>
              </w:rPr>
              <w:t>Direct</w:t>
            </w:r>
          </w:p>
        </w:tc>
        <w:tc>
          <w:tcPr>
            <w:tcW w:w="1558" w:type="dxa"/>
            <w:hideMark/>
          </w:tcPr>
          <w:p w:rsidR="00BE2A18" w:rsidRPr="00315540" w:rsidRDefault="00BE2A18" w:rsidP="00BE2A18">
            <w:pPr>
              <w:rPr>
                <w:lang w:val="en-US"/>
              </w:rPr>
            </w:pPr>
            <w:r w:rsidRPr="00315540">
              <w:rPr>
                <w:lang w:val="en-US"/>
              </w:rPr>
              <w:t>Precise</w:t>
            </w:r>
          </w:p>
        </w:tc>
        <w:tc>
          <w:tcPr>
            <w:tcW w:w="1640" w:type="dxa"/>
            <w:hideMark/>
          </w:tcPr>
          <w:p w:rsidR="00BE2A18" w:rsidRPr="00315540" w:rsidRDefault="00BE2A18" w:rsidP="00BE2A18">
            <w:pPr>
              <w:rPr>
                <w:lang w:val="en-US"/>
              </w:rPr>
            </w:pPr>
            <w:r w:rsidRPr="00315540">
              <w:rPr>
                <w:lang w:val="en-US"/>
              </w:rPr>
              <w:t>Not likely</w:t>
            </w:r>
          </w:p>
        </w:tc>
        <w:tc>
          <w:tcPr>
            <w:tcW w:w="1824" w:type="dxa"/>
            <w:hideMark/>
          </w:tcPr>
          <w:p w:rsidR="00BE2A18" w:rsidRPr="00315540" w:rsidRDefault="00BE2A18" w:rsidP="00BE2A18">
            <w:pPr>
              <w:rPr>
                <w:lang w:val="en-US"/>
              </w:rPr>
            </w:pPr>
            <w:r w:rsidRPr="00315540">
              <w:rPr>
                <w:lang w:val="en-US"/>
              </w:rPr>
              <w:t>None</w:t>
            </w:r>
          </w:p>
        </w:tc>
        <w:tc>
          <w:tcPr>
            <w:tcW w:w="1783" w:type="dxa"/>
            <w:hideMark/>
          </w:tcPr>
          <w:p w:rsidR="00BE2A18" w:rsidRPr="00315540" w:rsidRDefault="00BE2A18" w:rsidP="00BE2A18">
            <w:pPr>
              <w:rPr>
                <w:lang w:val="en-US"/>
              </w:rPr>
            </w:pPr>
            <w:r w:rsidRPr="00315540">
              <w:rPr>
                <w:lang w:val="en-US"/>
              </w:rPr>
              <w:t>None found</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315540"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315540" w:rsidRDefault="00BE2A18">
            <w:pPr>
              <w:rPr>
                <w:b/>
                <w:bCs/>
                <w:lang w:val="en-US"/>
              </w:rPr>
            </w:pPr>
            <w:r w:rsidRPr="00315540">
              <w:rPr>
                <w:b/>
                <w:bCs/>
                <w:lang w:val="en-US"/>
              </w:rPr>
              <w:t>Effect on quality</w:t>
            </w:r>
          </w:p>
        </w:tc>
        <w:tc>
          <w:tcPr>
            <w:tcW w:w="1867" w:type="dxa"/>
            <w:noWrap/>
            <w:hideMark/>
          </w:tcPr>
          <w:p w:rsidR="00BE2A18" w:rsidRPr="00315540" w:rsidRDefault="00BE2A18" w:rsidP="00BE2A18">
            <w:pPr>
              <w:rPr>
                <w:lang w:val="en-US"/>
              </w:rPr>
            </w:pPr>
            <w:r w:rsidRPr="00315540">
              <w:rPr>
                <w:lang w:val="en-US"/>
              </w:rPr>
              <w:t>Low</w:t>
            </w:r>
          </w:p>
        </w:tc>
        <w:tc>
          <w:tcPr>
            <w:tcW w:w="1824" w:type="dxa"/>
            <w:hideMark/>
          </w:tcPr>
          <w:p w:rsidR="00BE2A18" w:rsidRPr="00315540" w:rsidRDefault="00BE2A18" w:rsidP="00BE2A18">
            <w:pPr>
              <w:rPr>
                <w:lang w:val="en-US"/>
              </w:rPr>
            </w:pPr>
            <w:r w:rsidRPr="00315540">
              <w:rPr>
                <w:lang w:val="en-US"/>
              </w:rPr>
              <w:t>No change</w:t>
            </w:r>
          </w:p>
        </w:tc>
        <w:tc>
          <w:tcPr>
            <w:tcW w:w="1619" w:type="dxa"/>
            <w:hideMark/>
          </w:tcPr>
          <w:p w:rsidR="00BE2A18" w:rsidRPr="00315540" w:rsidRDefault="00BE2A18" w:rsidP="00BE2A18">
            <w:pPr>
              <w:rPr>
                <w:lang w:val="en-US"/>
              </w:rPr>
            </w:pPr>
            <w:r w:rsidRPr="00315540">
              <w:rPr>
                <w:lang w:val="en-US"/>
              </w:rPr>
              <w:t>No change</w:t>
            </w:r>
          </w:p>
        </w:tc>
        <w:tc>
          <w:tcPr>
            <w:tcW w:w="1230" w:type="dxa"/>
            <w:hideMark/>
          </w:tcPr>
          <w:p w:rsidR="00BE2A18" w:rsidRPr="00315540" w:rsidRDefault="00BE2A18" w:rsidP="00BE2A18">
            <w:pPr>
              <w:rPr>
                <w:lang w:val="en-US"/>
              </w:rPr>
            </w:pPr>
            <w:r w:rsidRPr="00315540">
              <w:rPr>
                <w:lang w:val="en-US"/>
              </w:rPr>
              <w:t>No change</w:t>
            </w:r>
          </w:p>
        </w:tc>
        <w:tc>
          <w:tcPr>
            <w:tcW w:w="1558" w:type="dxa"/>
            <w:hideMark/>
          </w:tcPr>
          <w:p w:rsidR="00BE2A18" w:rsidRPr="00315540" w:rsidRDefault="00BE2A18" w:rsidP="00BE2A18">
            <w:pPr>
              <w:rPr>
                <w:lang w:val="en-US"/>
              </w:rPr>
            </w:pPr>
            <w:r w:rsidRPr="00315540">
              <w:rPr>
                <w:lang w:val="en-US"/>
              </w:rPr>
              <w:t>No change</w:t>
            </w:r>
          </w:p>
        </w:tc>
        <w:tc>
          <w:tcPr>
            <w:tcW w:w="1640" w:type="dxa"/>
            <w:hideMark/>
          </w:tcPr>
          <w:p w:rsidR="00BE2A18" w:rsidRPr="00315540" w:rsidRDefault="00BE2A18" w:rsidP="00BE2A18">
            <w:pPr>
              <w:rPr>
                <w:lang w:val="en-US"/>
              </w:rPr>
            </w:pPr>
            <w:r w:rsidRPr="00315540">
              <w:rPr>
                <w:lang w:val="en-US"/>
              </w:rPr>
              <w:t>No change</w:t>
            </w:r>
          </w:p>
        </w:tc>
        <w:tc>
          <w:tcPr>
            <w:tcW w:w="1824" w:type="dxa"/>
            <w:hideMark/>
          </w:tcPr>
          <w:p w:rsidR="00BE2A18" w:rsidRPr="00315540" w:rsidRDefault="00BE2A18" w:rsidP="00BE2A18">
            <w:pPr>
              <w:rPr>
                <w:lang w:val="en-US"/>
              </w:rPr>
            </w:pPr>
            <w:r w:rsidRPr="00315540">
              <w:rPr>
                <w:lang w:val="en-US"/>
              </w:rPr>
              <w:t>No change</w:t>
            </w:r>
          </w:p>
        </w:tc>
        <w:tc>
          <w:tcPr>
            <w:tcW w:w="1783" w:type="dxa"/>
            <w:hideMark/>
          </w:tcPr>
          <w:p w:rsidR="00BE2A18" w:rsidRPr="00315540" w:rsidRDefault="00BE2A18" w:rsidP="00BE2A18">
            <w:pPr>
              <w:rPr>
                <w:lang w:val="en-US"/>
              </w:rPr>
            </w:pPr>
            <w:r w:rsidRPr="00315540">
              <w:rPr>
                <w:lang w:val="en-US"/>
              </w:rPr>
              <w:t>No change</w:t>
            </w:r>
          </w:p>
        </w:tc>
        <w:tc>
          <w:tcPr>
            <w:tcW w:w="2255" w:type="dxa"/>
            <w:hideMark/>
          </w:tcPr>
          <w:p w:rsidR="00BE2A18" w:rsidRPr="00315540" w:rsidRDefault="00BE2A18" w:rsidP="00BE2A18">
            <w:pPr>
              <w:rPr>
                <w:lang w:val="en-US"/>
              </w:rPr>
            </w:pPr>
            <w:r w:rsidRPr="00315540">
              <w:rPr>
                <w:lang w:val="en-US"/>
              </w:rPr>
              <w:t>No change</w:t>
            </w:r>
          </w:p>
        </w:tc>
      </w:tr>
      <w:tr w:rsidR="00BE2A18" w:rsidRPr="00BE2A18" w:rsidTr="00BE2A18">
        <w:trPr>
          <w:trHeight w:val="900"/>
        </w:trPr>
        <w:tc>
          <w:tcPr>
            <w:tcW w:w="2420" w:type="dxa"/>
            <w:vMerge w:val="restart"/>
            <w:noWrap/>
            <w:hideMark/>
          </w:tcPr>
          <w:p w:rsidR="00BE2A18" w:rsidRPr="00BE2A18" w:rsidRDefault="00BE2A18" w:rsidP="00BE2A18">
            <w:r w:rsidRPr="00315540">
              <w:rPr>
                <w:lang w:val="en-US"/>
              </w:rPr>
              <w:t>Joynt et al, 2012</w:t>
            </w:r>
            <w:r w:rsidR="00A30BA9" w:rsidRPr="00315540">
              <w:rPr>
                <w:lang w:val="en-US"/>
              </w:rPr>
              <w:t xml:space="preserve"> </w:t>
            </w:r>
            <w:r w:rsidR="00A30BA9">
              <w:fldChar w:fldCharType="begin" w:fldLock="1"/>
            </w:r>
            <w:r w:rsidR="00315540" w:rsidRPr="00315540">
              <w:rPr>
                <w:lang w:val="en-US"/>
              </w:rPr>
              <w:instrText>ADDIN CSL_CITATION { "citationItems" : [ { "id" : "ITEM-1", "itemData" : { "DOI" : "10.1001/jama.2012.12922", "ISBN" : "1538-3598 (Electronic)\\r0098-7484 (Linking)", "ISSN" : "0098-7484", "PMID" : "23047360", "abstract" : "CONTEXT: Public reporting of patient outcomes is an important tool to improve quality of care, but some observers worry that such efforts will lead clinicians to avoid high-risk patients. OBJECTIVE: To determine whether public reporting for percutaneous coronary intervention (PCI) is associated with lower rates of PCI for patients with acute myocardial infarction (MI) or with higher mortality rates in this population. DESIGN, SETTING, AND PATIENTS: Retrospective observational study conducted using data from fee-for-service Medicare patients (49,660 from reporting states and 48,142 from nonreporting states) admitted with acute MI to US acute care hospitals between 2002 and 2010. Logistic regression was used to compare PCI and mortality rates between reporting states (New York, Massachusetts, and Pennsylvania) and regional nonreporting states (Maine, Vermont, New Hampshire, Connecticut, Rhode Island, Maryland, and Delaware). Changes in PCI rates over time in Massachusetts compared with nonreporti</w:instrText>
            </w:r>
            <w:r w:rsidR="00315540">
              <w:instrText>ng states were also examined. MAIN OUTCOME MEASURES: Risk-adjusted PCI and mortality rates. RESULTS: In 2010, patients with acute MI were less likely to receive PCI in public reporting states than in nonreporting states (unadjusted rates, 37.7% vs 42.7%, respectively; risk-adjusted odds ratio [OR], 0.82 [95% CI, 0.71-0.93]; P = .003). Differences were greatest among the 6708 patients with ST-segment elevation MI (61.8% vs 68.0%; OR, 0.73 [95% CI, 0.59-0.89]; P = .002) and the 2194 patients with cardiogenic shock or cardiac arrest (41.5% vs 46.7%; OR, 0.79 [95% CI, 0.64-0.98]; P = .03). There were no differences in overall mortality among patients with acute MI in reporting vs nonreporting states. In Massachusetts, odds of PCI for acute MI were comparable with odds in nonreporting states prior to public reporting (40.6% vs 41.8%; OR, 1.00 [95% CI, 0.71-1.41]). However, after implementation of public reporting, odds of undergoing PCI in Massachusetts decreased compared with nonreporting states (41.1% vs 45.6%; OR, 0.81 [95% CI, 0.47-1.38]; P = .03 for difference in differences). Differences were most pronounced for the 6081 patients with cardiogenic shock or cardiac arrest (prereporting: 44.2% vs 36.6%; OR, 1.40 [95% CI, 0.85-2.32]; postreporting: 43.9% vs 44.8%; OR, 0.92 [95% CI, 0.38-2.22]; P = .03 for difference in differences). CONCLUSIONS: Among Medicare beneficiaries with acute MI, the use of PCI was lower for patients treated in 3 states with public reporting\u2026", "author" : [ { "dropping-particle" : "", "family" : "Joynt", "given" : "K E", "non-dropping-particle" : "", "parse-names" : false, "suffix" : "" }, { "dropping-particle" : "", "family" : "Blumenthal", "given" : "D M", "non-dropping-particle" : "", "parse-names" : false, "suffix" : "" }, { "dropping-particle" : "", "family" : "Orav", "given" : "E J", "non-dropping-particle" : "", "parse-names" : false, "suffix" : "" }, { "dropping-particle" : "", "family" : "Resnic", "given" : "F S", "non-dropping-particle" : "", "parse-names" : false, "suffix" : "" }, { "dropping-particle" : "", "family" : "Jha", "given" : "A K", "non-dropping-particle" : "", "parse-names" : false, "suffix" : "" } ], "container-title" : "JAMA : the journal of the American Medical Association", "id" : "ITEM-1", "issue" : "14", "issued" : { "date-parts" : [ [ "2012" ] ] }, "page" : "1460-1468", "title" : "Association of public reporting for percutaneous coronary intervention with utilization and outcomes among Medicare beneficiaries with acute myocardial infarction", "type" : "article-journal", "volume" : "308" }, "uris" : [ "http://www.mendeley.com/documents/?uuid=8c65f260-29ab-4dee-810f-3848014bc701" ] } ], "mendeley" : { "formattedCitation" : "(20)", "plainTextFormattedCitation" : "(20)", "previouslyFormattedCitation" : "(20)" }, "properties" : { "noteIndex" : 0 }, "schema" : "https://github.com/citation-style-language/schema/raw/master/csl-citation.json" }</w:instrText>
            </w:r>
            <w:r w:rsidR="00A30BA9">
              <w:fldChar w:fldCharType="separate"/>
            </w:r>
            <w:r w:rsidR="00315540" w:rsidRPr="00315540">
              <w:rPr>
                <w:noProof/>
              </w:rPr>
              <w:t>(20)</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Moderate</w:t>
            </w:r>
          </w:p>
        </w:tc>
        <w:tc>
          <w:tcPr>
            <w:tcW w:w="1783" w:type="dxa"/>
            <w:hideMark/>
          </w:tcPr>
          <w:p w:rsidR="00BE2A18" w:rsidRPr="00BE2A18" w:rsidRDefault="00BE2A18" w:rsidP="00BE2A18">
            <w:proofErr w:type="spellStart"/>
            <w:r w:rsidRPr="00BE2A18">
              <w:t>Significant</w:t>
            </w:r>
            <w:proofErr w:type="spellEnd"/>
            <w:r w:rsidRPr="00BE2A18">
              <w:t xml:space="preserve"> </w:t>
            </w:r>
            <w:proofErr w:type="spellStart"/>
            <w:r w:rsidRPr="00BE2A18">
              <w:t>association</w:t>
            </w:r>
            <w:proofErr w:type="spellEnd"/>
            <w:r w:rsidRPr="00BE2A18">
              <w:t xml:space="preserve"> </w:t>
            </w:r>
            <w:proofErr w:type="spellStart"/>
            <w:r w:rsidRPr="00BE2A18">
              <w:t>indicated</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r w:rsidRPr="00BE2A18">
              <w:t>Renzi et al, 2012</w:t>
            </w:r>
            <w:r w:rsidR="00A30BA9">
              <w:t xml:space="preserve"> </w:t>
            </w:r>
            <w:r w:rsidR="00A30BA9">
              <w:fldChar w:fldCharType="begin" w:fldLock="1"/>
            </w:r>
            <w:r w:rsidR="00315540">
              <w:instrText>ADDIN CSL_CITATION { "citationItems" : [ { "id" : "ITEM-1", "itemData" : { "DOI" : "10.1111/j.1475-6773.2012.01401.x", "ISSN" : "1475-6773", "PMID" : "22985031", "abstract" : "OBJECTIVE: To evaluate whether reporting of hospital performance was associated with a change in quality indicators in Italian hospitals. DATA SOURCES/STUDY SETTING: Nationwide Hospital Information System for 2006-2009. STUDY DESIGN: We performed a pre-post evaluation in Lazio (before and after disclosure of the Regional Outcome Evaluation Program P.Re.Val.E.) and a comparative evaluation versus Italian regions without comparable programs. We analyzed risk-adjusted proportions of percutaneous coronary intervention (PCI), hip fractures operated on within 48 hours, and cesarean deliveries. DATA COLLECTION/EXTRACTION METHODS: Using standardized ICD-9-CM coding algorithms, we selected 381,053 acute myocardial infarction patients, 250,712 hip fractures, and 1,736,970 women who had given birth. PRINCIPAL FINDINGS: In Lazio PCI within 48 hours changed from 22.49 to 29.43 percent following reporting of the P.Re.Val.E results (relative increase, 31 percent; p &lt; .001). In the other regions this proportion increased from 22.48 to 27.09 percent during the same time period (relative increase, 21 percent; p &lt; .001). Hip fractures operated on within 48 hours increased from 11.73 to 15.78 percent (relative increase, 34 percent; p &lt; .001) in Lazio, and not in other regions (29.36 to 28.57 percent). Cesarean deliveries did not decrease in Lazio (34.57-35.30 percent), and only slightly decreased in the other regions (30.49-28.11 percent). CONCLUSIONS: Reporting of performance data may have a positive but limited impact on quality improvement. The evaluation of quality indicators remains paramount for public accountability.", "author" : [ { "dropping-particle" : "", "family" : "Renzi", "given" : "Cristina", "non-dropping-particle" : "", "parse-names" : false, "suffix" : "" }, { "dropping-particle" : "", "family" : "Sorge", "given" : "Chiara", "non-dropping-particle" : "", "parse-names" : false, "suffix" : "" }, { "dropping-particle" : "", "family" : "Fusco", "given" : "Danilo", "non-dropping-particle" : "", "parse-names" : false, "suffix" : "" }, { "dropping-particle" : "", "family" : "Agabiti", "given" : "Nera", "non-dropping-particle" : "", "parse-names" : false, "suffix" : "" }, { "dropping-particle" : "", "family" : "Davoli", "given" : "Marina", "non-dropping-particle" : "", "parse-names" : false, "suffix" : "" }, { "dropping-particle" : "", "family" : "Perucci", "given" : "Carlo a", "non-dropping-particle" : "", "parse-names" : false, "suffix" : "" } ], "container-title" : "Health services research", "id" : "ITEM-1", "issue" : "5", "issued" : { "date-parts" : [ [ "2012", "10" ] ] }, "page" : "1880-901", "title" : "Reporting of quality indicators and improvement in hospital performance: the P.Re.Val.E. Regional Outcome Evaluation Program.", "type" : "article-journal", "volume" : "47" }, "uris" : [ "http://www.mendeley.com/documents/?uuid=c2de2d94-7d4f-4168-a6b8-ba1a991ac35f" ] } ], "mendeley" : { "formattedCitation" : "(21)", "plainTextFormattedCitation" : "(21)", "previouslyFormattedCitation" : "(21)" }, "properties" : { "noteIndex" : 0 }, "schema" : "https://github.com/citation-style-language/schema/raw/master/csl-citation.json" }</w:instrText>
            </w:r>
            <w:r w:rsidR="00A30BA9">
              <w:fldChar w:fldCharType="separate"/>
            </w:r>
            <w:r w:rsidR="00315540" w:rsidRPr="00315540">
              <w:rPr>
                <w:noProof/>
              </w:rPr>
              <w:t>(21)</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 xml:space="preserve">Some </w:t>
            </w:r>
            <w:proofErr w:type="spellStart"/>
            <w:r w:rsidRPr="00BE2A18">
              <w:t>statistically</w:t>
            </w:r>
            <w:proofErr w:type="spellEnd"/>
            <w:r w:rsidRPr="00BE2A18">
              <w:t xml:space="preserve"> </w:t>
            </w:r>
            <w:proofErr w:type="spellStart"/>
            <w:r w:rsidRPr="00BE2A18">
              <w:t>significant</w:t>
            </w:r>
            <w:proofErr w:type="spellEnd"/>
          </w:p>
        </w:tc>
        <w:tc>
          <w:tcPr>
            <w:tcW w:w="1783" w:type="dxa"/>
            <w:hideMark/>
          </w:tcPr>
          <w:p w:rsidR="00BE2A18" w:rsidRPr="00BE2A18" w:rsidRDefault="00BE2A18" w:rsidP="00BE2A18">
            <w:proofErr w:type="spellStart"/>
            <w:r w:rsidRPr="00BE2A18">
              <w:t>Association</w:t>
            </w:r>
            <w:proofErr w:type="spellEnd"/>
            <w:r w:rsidRPr="00BE2A18">
              <w:t xml:space="preserve"> </w:t>
            </w:r>
            <w:proofErr w:type="spellStart"/>
            <w:r w:rsidRPr="00BE2A18">
              <w:t>suggested</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r w:rsidRPr="00BE2A18">
              <w:t>Ryan et al, 2012</w:t>
            </w:r>
            <w:r w:rsidR="00A30BA9">
              <w:t xml:space="preserve"> </w:t>
            </w:r>
            <w:r w:rsidR="00A30BA9">
              <w:fldChar w:fldCharType="begin" w:fldLock="1"/>
            </w:r>
            <w:r w:rsidR="00315540">
              <w:instrText>ADDIN CSL_CITATION { "citationItems" : [ { "id" : "ITEM-1", "itemData" : { "DOI" : "10.1377/hlthaff.2011.0719", "ISSN" : "1544-5208", "PMID" : "22392670", "abstract" : "Hospital Compare, Medicare's public reporting initiative, began reporting measures of hospital quality for almost all US acute care hospitals in 2005. The impact of this public reporting initiative on patient mortality is unknown. We used Medicare claims data from the period 2000-08 to estimate the effect of Hospital Compare on thirty-day mortality for heart attack, heart failure, and pneumonia. Our analysis indicates that the fact that hospitals had to report quality data under Hospital Compare led to no reductions in mortality beyond existing trends for heart attack and pneumonia and led to a modest reduction in mortality for heart failure. We conclude that Medicare's public reporting initiative for hospitals has had a minimal impact on patient mortality.", "author" : [ { "dropping-particle" : "", "family" : "Ryan", "given" : "Andrew M", "non-dropping-particle" : "", "parse-names" : false, "suffix" : "" }, { "dropping-particle" : "", "family" : "Nallamothu", "given" : "Brahmajee K", "non-dropping-particle" : "", "parse-names" : false, "suffix" : "" }, { "dropping-particle" : "", "family" : "Dimick", "given" : "Justin B", "non-dropping-particle" : "", "parse-names" : false, "suffix" : "" } ], "container-title" : "Health affairs (Project Hope)", "id" : "ITEM-1", "issue" : "3", "issued" : { "date-parts" : [ [ "2012", "3" ] ] }, "page" : "585-92", "title" : "Medicare's public reporting initiative on hospital quality had modest or no impact on mortality from three key conditions.", "type" : "article-journal", "volume" : "31" }, "uris" : [ "http://www.mendeley.com/documents/?uuid=8c854734-2576-41cf-9030-fa2f5e5a77cb" ] } ], "mendeley" : { "formattedCitation" : "(22)", "plainTextFormattedCitation" : "(22)", "previouslyFormattedCitation" : "(22)" }, "properties" : { "noteIndex" : 0 }, "schema" : "https://github.com/citation-style-language/schema/raw/master/csl-citation.json" }</w:instrText>
            </w:r>
            <w:r w:rsidR="00A30BA9">
              <w:fldChar w:fldCharType="separate"/>
            </w:r>
            <w:r w:rsidR="00315540" w:rsidRPr="00315540">
              <w:rPr>
                <w:noProof/>
              </w:rPr>
              <w:t>(22)</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proofErr w:type="spellStart"/>
            <w:r w:rsidRPr="00BE2A18">
              <w:t>very</w:t>
            </w:r>
            <w:proofErr w:type="spellEnd"/>
            <w:r w:rsidRPr="00BE2A18">
              <w:t xml:space="preserve"> small</w:t>
            </w:r>
          </w:p>
        </w:tc>
        <w:tc>
          <w:tcPr>
            <w:tcW w:w="1783" w:type="dxa"/>
            <w:hideMark/>
          </w:tcPr>
          <w:p w:rsidR="00BE2A18" w:rsidRPr="00BE2A18" w:rsidRDefault="00BE2A18" w:rsidP="00BE2A18">
            <w:r w:rsidRPr="00BE2A18">
              <w:t>None</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t>Linkin</w:t>
            </w:r>
            <w:proofErr w:type="spellEnd"/>
            <w:r w:rsidRPr="00BE2A18">
              <w:t xml:space="preserve"> et al, 2013</w:t>
            </w:r>
            <w:r w:rsidR="00A30BA9">
              <w:t xml:space="preserve"> </w:t>
            </w:r>
            <w:r w:rsidR="00A30BA9">
              <w:fldChar w:fldCharType="begin" w:fldLock="1"/>
            </w:r>
            <w:r w:rsidR="00315540">
              <w:instrText>ADDIN CSL_CITATION { "citationItems" : [ { "id" : "ITEM-1", "itemData" : { "DOI" : "10.1086/671279", "ISSN" : "1559-6834", "PMID" : "23838228", "abstract" : "Most US states have enacted or are considering legislation mandating hospitals to publicly report hospital-acquired infection (HAI) rates. We conducted a survey of infection control professionals and found that state-legislated public reporting of HAIs is not associated with perceived improvements in infection prevention program process measures or HAI rates.", "author" : [ { "dropping-particle" : "", "family" : "Linkin", "given" : "Darren R", "non-dropping-particle" : "", "parse-names" : false, "suffix" : "" }, { "dropping-particle" : "", "family" : "Fishman", "given" : "Neil O", "non-dropping-particle" : "", "parse-names" : false, "suffix" : "" }, { "dropping-particle" : "", "family" : "Shea", "given" : "Judy A", "non-dropping-particle" : "", "parse-names" : false, "suffix" : "" }, { "dropping-particle" : "", "family" : "Yang", "given" : "Wei", "non-dropping-particle" : "", "parse-names" : false, "suffix" : "" }, { "dropping-particle" : "", "family" : "Cary", "given" : "Mark S", "non-dropping-particle" : "", "parse-names" : false, "suffix" : "" }, { "dropping-particle" : "", "family" : "Lautenbach", "given" : "Ebbing", "non-dropping-particle" : "", "parse-names" : false, "suffix" : "" } ], "container-title" : "Infection control and hospital epidemiology : the official journal of the Society of Hospital Epidemiologists of America", "id" : "ITEM-1", "issue" : "8", "issued" : { "date-parts" : [ [ "2013" ] ] }, "page" : "844-6", "title" : "Public reporting of hospital-acquired infections is not associated with improved processes or outcomes.", "type" : "article-journal", "volume" : "34" }, "uris" : [ "http://www.mendeley.com/documents/?uuid=0b690b99-6d0e-408e-ad06-163d86c10245" ] } ], "mendeley" : { "formattedCitation" : "(23)", "plainTextFormattedCitation" : "(23)", "previouslyFormattedCitation" : "(23)" }, "properties" : { "noteIndex" : 0 }, "schema" : "https://github.com/citation-style-language/schema/raw/master/csl-citation.json" }</w:instrText>
            </w:r>
            <w:r w:rsidR="00A30BA9">
              <w:fldChar w:fldCharType="separate"/>
            </w:r>
            <w:r w:rsidR="00315540" w:rsidRPr="00315540">
              <w:rPr>
                <w:noProof/>
              </w:rPr>
              <w:t>(23)</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None</w:t>
            </w:r>
          </w:p>
        </w:tc>
        <w:tc>
          <w:tcPr>
            <w:tcW w:w="1783" w:type="dxa"/>
            <w:hideMark/>
          </w:tcPr>
          <w:p w:rsidR="00BE2A18" w:rsidRPr="00BE2A18" w:rsidRDefault="00BE2A18" w:rsidP="00BE2A18">
            <w:proofErr w:type="spellStart"/>
            <w:r w:rsidRPr="00BE2A18">
              <w:t>Not</w:t>
            </w:r>
            <w:proofErr w:type="spellEnd"/>
            <w:r w:rsidRPr="00BE2A18">
              <w:t xml:space="preserve"> </w:t>
            </w:r>
            <w:proofErr w:type="spellStart"/>
            <w:r w:rsidRPr="00BE2A18">
              <w:t>shown</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t>McCabe</w:t>
            </w:r>
            <w:proofErr w:type="spellEnd"/>
            <w:r w:rsidRPr="00BE2A18">
              <w:t xml:space="preserve"> et al, 2013</w:t>
            </w:r>
            <w:r w:rsidR="00A30BA9">
              <w:t xml:space="preserve"> </w:t>
            </w:r>
            <w:r w:rsidR="00A30BA9">
              <w:fldChar w:fldCharType="begin" w:fldLock="1"/>
            </w:r>
            <w:r w:rsidR="00315540">
              <w:instrText>ADDIN CSL_CITATION { "citationItems" : [ { "id" : "ITEM-1", "itemData" : { "DOI" : "10.1016/j.jcin.2013.01.140", "ISSN" : "1876-7605", "PMID" : "23787236", "abstract" : "OBJECTIVES: This study sought to evaluate the impact of public reporting of hospitals as negative outliers on percutaneous coronary intervention (PCI) case-mix selection. BACKGROUND: Public reporting of risk-adjusted in-hospital mortality after PCI is intended to improve outcomes. However, public labeling of negative outliers based on risk-adjusted mortality rates may detrimentally affect hospitals' willingness to care for high-risk patients. METHODS: We used generalized estimating equations to examine expected in-hospital mortality rates for 116,227 PCI patients at all nonfederally funded Massachusetts hospitals performing PCI from 2003 to 2010. The main outcome measure was the change in predicted in-hospital mortality rates per hospital after outlier status identification. RESULTS: The prevalence-weighted mean expected mortality for all PCI cases during the study period was 1.38 \u00b1 0.36% (5.3 \u00b1 1.96% for all shock or ST-segment elevation myocardial infarction patients, 0.58 \u00b1 0.19% for all not shock, not ST-segment elevation myocardial infarction patients). After public identification as a negative outlier institution, there was an 18% relative reduction (absolute 0.25% reduction) in predicted mortality among PCI patients at outlier institutions (95% confidence interval: -0.04 to -0.46%, p = 0.021) compared with nonoutlier institutions. Throughout the study period, there was an additional 37% relative (0.51% absolute) reduction in the predicted mortality risk among all PCI patients in Massachusetts attributable to secular changes since the onset of public reporting (95% confidence interval: -0.20 to -0.83, p = 0.002). CONCLUSIONS: The risk profile of PCI patients at outlier institutions was significantly lower after public identification compared with nonoutlier institutions, suggesting that risk-aversive behaviors among PCI operators at outlier institutions may be an unintended consequence of public reporting in Massachusetts.", "author" : [ { "dropping-particle" : "", "family" : "McCabe", "given" : "James M", "non-dropping-particle" : "", "parse-names" : false, "suffix" : "" }, { "dropping-particle" : "", "family" : "Joynt", "given" : "Karen E", "non-dropping-particle" : "", "parse-names" : false, "suffix" : "" }, { "dropping-particle" : "", "family" : "Welt", "given" : "Frederick G P", "non-dropping-particle" : "", "parse-names" : false, "suffix" : "" }, { "dropping-particle" : "", "family" : "Resnic", "given" : "Frederic S", "non-dropping-particle" : "", "parse-names" : false, "suffix" : "" } ], "container-title" : "JACC. Cardiovascular interventions", "id" : "ITEM-1", "issue" : "6", "issued" : { "date-parts" : [ [ "2013", "6" ] ] }, "page" : "625-30", "title" : "Impact of public reporting and outlier status identification on percutaneous coronary intervention case selection in Massachusetts.", "type" : "article-journal", "volume" : "6" }, "uris" : [ "http://www.mendeley.com/documents/?uuid=a2d86974-3d3e-42e8-9b81-1d7dc6e3730e" ] } ], "mendeley" : { "formattedCitation" : "(24)", "plainTextFormattedCitation" : "(24)", "previouslyFormattedCitation" : "(24)" }, "properties" : { "noteIndex" : 0 }, "schema" : "https://github.com/citation-style-language/schema/raw/master/csl-citation.json" }</w:instrText>
            </w:r>
            <w:r w:rsidR="00A30BA9">
              <w:fldChar w:fldCharType="separate"/>
            </w:r>
            <w:r w:rsidR="00315540" w:rsidRPr="00315540">
              <w:rPr>
                <w:noProof/>
              </w:rPr>
              <w:t>(24)</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 xml:space="preserve">Small (some </w:t>
            </w:r>
            <w:proofErr w:type="spellStart"/>
            <w:r w:rsidRPr="00BE2A18">
              <w:t>statistically</w:t>
            </w:r>
            <w:proofErr w:type="spellEnd"/>
            <w:r w:rsidRPr="00BE2A18">
              <w:t xml:space="preserve"> </w:t>
            </w:r>
            <w:proofErr w:type="spellStart"/>
            <w:r w:rsidRPr="00BE2A18">
              <w:t>significant</w:t>
            </w:r>
            <w:proofErr w:type="spellEnd"/>
            <w:r w:rsidRPr="00BE2A18">
              <w:t>)</w:t>
            </w:r>
          </w:p>
        </w:tc>
        <w:tc>
          <w:tcPr>
            <w:tcW w:w="1783" w:type="dxa"/>
            <w:hideMark/>
          </w:tcPr>
          <w:p w:rsidR="00BE2A18" w:rsidRPr="00BE2A18" w:rsidRDefault="00BE2A18" w:rsidP="00BE2A18">
            <w:proofErr w:type="spellStart"/>
            <w:r w:rsidRPr="00BE2A18">
              <w:t>very</w:t>
            </w:r>
            <w:proofErr w:type="spellEnd"/>
            <w:r w:rsidRPr="00BE2A18">
              <w:t xml:space="preserve"> small</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BE2A18" w:rsidRDefault="00BE2A18" w:rsidP="00BE2A18">
            <w:proofErr w:type="spellStart"/>
            <w:r w:rsidRPr="00BE2A18">
              <w:lastRenderedPageBreak/>
              <w:t>Marsteller</w:t>
            </w:r>
            <w:proofErr w:type="spellEnd"/>
            <w:r w:rsidRPr="00BE2A18">
              <w:t xml:space="preserve"> et al, 2014</w:t>
            </w:r>
            <w:r w:rsidR="00A30BA9">
              <w:t xml:space="preserve"> </w:t>
            </w:r>
            <w:r w:rsidR="00A30BA9">
              <w:fldChar w:fldCharType="begin" w:fldLock="1"/>
            </w:r>
            <w:r w:rsidR="00315540">
              <w:instrText>ADDIN CSL_CITATION { "citationItems" : [ { "id" : "ITEM-1", "itemData" : { "DOI" : "10.1016/j.ajic.2014.06.001", "ISSN" : "1527-3296", "PMID" : "25239712", "abstract" : "BACKGROUND: It is not clear whether mandatory reporting influences the efforts and performance of hospitals to prevent hospital-acquired infections. This study examines whether mandatory reporting impacted participation and performance in reducing central line-associated bloodstream infections (CLABSIs) in a national patient safety collaborative. METHODS: We analyzed 1,046 adult intensive care units (ICUs) participating in the national On the CUSP: Stop BSI program. We used a difference-in-difference approach to compare changes in CLABSI rates in states with no public reporting mandate, recent mandates, and longer-standing mandates. Chi-square tests were used to examine the differences in the participation rate. RESULTS: States enacting a law requiring mandatory public reporting of CLABSI rates around the time of the national program had the highest hospital participation rates (approximately 50%). Compared with units in states with no reporting requirement, units in the states with voluntary reporting systems or with longer periods of mandatory reporting experience had higher CLABSI rates at baseline and greater reductions in CLABSI in the first 6 months. State groups with mandatory public reporting of CLABSI showed a trend toward greater reduction in CLABSI after 1 year of program implementation. CONCLUSION: Mandatory reporting requirements may spark hospitals to turn to proven infection prevention interventions to improve CLABSI rates. Reporting requirements do not teach sites how to reduce rates. ICUs need both motivation and facilitation to reach consumer expectations for infection prevention.", "author" : [ { "dropping-particle" : "", "family" : "Marsteller", "given" : "Jill A", "non-dropping-particle" : "", "parse-names" : false, "suffix" : "" }, { "dropping-particle" : "", "family" : "Hsu", "given" : "Yea-Jen", "non-dropping-particle" : "", "parse-names" : false, "suffix" : "" }, { "dropping-particle" : "", "family" : "Weeks", "given" : "Kristina", "non-dropping-particle" : "", "parse-names" : false, "suffix" : "" } ], "container-title" : "American journal of infection control", "id" : "ITEM-1", "issue" : "10 Suppl", "issued" : { "date-parts" : [ [ "2014", "10" ] ] }, "page" : "S209-15", "title" : "Evaluating the impact of mandatory public reporting on participation and performance in a program to reduce central line-associated bloodstream infections: evidence from a national patient safety collaborative.", "type" : "article-journal", "volume" : "42" }, "uris" : [ "http://www.mendeley.com/documents/?uuid=0101f9d9-3715-403a-89ec-6e1460c114f8" ] } ], "mendeley" : { "formattedCitation" : "(25)", "plainTextFormattedCitation" : "(25)", "previouslyFormattedCitation" : "(25)" }, "properties" : { "noteIndex" : 0 }, "schema" : "https://github.com/citation-style-language/schema/raw/master/csl-citation.json" }</w:instrText>
            </w:r>
            <w:r w:rsidR="00A30BA9">
              <w:fldChar w:fldCharType="separate"/>
            </w:r>
            <w:r w:rsidR="00315540" w:rsidRPr="00315540">
              <w:rPr>
                <w:noProof/>
              </w:rPr>
              <w:t>(25)</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roofErr w:type="spellStart"/>
            <w:r w:rsidRPr="00BE2A18">
              <w:t>Consistent</w:t>
            </w:r>
            <w:proofErr w:type="spellEnd"/>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small</w:t>
            </w:r>
          </w:p>
        </w:tc>
        <w:tc>
          <w:tcPr>
            <w:tcW w:w="1783" w:type="dxa"/>
            <w:hideMark/>
          </w:tcPr>
          <w:p w:rsidR="00BE2A18" w:rsidRPr="00BE2A18" w:rsidRDefault="00BE2A18" w:rsidP="00BE2A18">
            <w:r w:rsidRPr="00BE2A18">
              <w:t>small</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r w:rsidR="00BE2A18" w:rsidRPr="00BE2A18" w:rsidTr="00BE2A18">
        <w:trPr>
          <w:trHeight w:val="900"/>
        </w:trPr>
        <w:tc>
          <w:tcPr>
            <w:tcW w:w="2420" w:type="dxa"/>
            <w:vMerge w:val="restart"/>
            <w:noWrap/>
            <w:hideMark/>
          </w:tcPr>
          <w:p w:rsidR="00BE2A18" w:rsidRPr="00315540" w:rsidRDefault="00BE2A18" w:rsidP="00BE2A18">
            <w:pPr>
              <w:rPr>
                <w:lang w:val="en-US"/>
              </w:rPr>
            </w:pPr>
            <w:r w:rsidRPr="00BE2A18">
              <w:t>Yang et al, 2014</w:t>
            </w:r>
            <w:r w:rsidR="00A30BA9">
              <w:t xml:space="preserve"> </w:t>
            </w:r>
            <w:r w:rsidR="00A30BA9">
              <w:fldChar w:fldCharType="begin" w:fldLock="1"/>
            </w:r>
            <w:r w:rsidR="00315540">
              <w:instrText xml:space="preserve">ADDIN CSL_CITATION { "citationItems" : [ { "id" : "ITEM-1", "itemData" : { "DOI" : "10.1186/1478-4505-12-61", "ISSN" : "1478-4505", "PMID" : "25304996", "abstract" : "BACKGROUND: Inappropriate use and overuse of antibiotics is a serious concern in the treatment of upper respiratory tract infections (URTIs), especially in developing countries. In recent decades, information disclosure and public reporting (PR) has become an instrument for encouraging good practice in healthcare. This study evaluated the impact of PR on antibiotic prescribing for URTIs in a sample of primary care institutions in China. METHODS: A matched-pair cluster-randomized trial was undertaken in QJ city, with 20 primary care institutions participating in the trial. Participating institutions were matched into pairs before being randomly assigned into a control and an intervention group. Prescription statistics were disclosed to patients, health authorities, and health workers monthly within the intervention group, starting from October 2013. Outpatient prescriptions for URTIs were collected from both groups before (1st March to 31st May, 2013) and after the intervention (1st March to 31st May, 2014). A total of 34,815 URTI prescriptions were included in a difference-in-difference analysis using multivariate linear or logistic regression models, controlling for patient attributes as well as institutional characteristics. RESULTS: Overall, 90% URTI prescriptions required antibiotics and 21% required combined use of antibiotics. More than 77% of URTI prescriptions required intravenous (IV) injection or infusion of drugs. PR resulted in a 9 percentage point (95% CI -17 to -1) reduction in the use of oral antibiotics (adjusted RR =39%, P =0.027), while the use of injectable antibiotics remained unchanged. PR led to a 7 percentage point reduction (95% CI -14 to 0; adjusted RR =36%) in combined use of antibiotics (P =0.049), which was largely driven by a significant reduction in male patients (-7.5%, 95% CI -14 to -1, P =0.03). The intervention had little impact on the use of IV injections or infusions, or the total prescription expenditure. CONCLUSIONS: The results suggest that PR could improve prescribing practices in terms of reducing oral antibiotics and combined use of antibiotics; however, the impacts were limited. We suggest that PR would probably be enhanced by provider payment reform, management and </w:instrText>
            </w:r>
            <w:r w:rsidR="00315540" w:rsidRPr="00315540">
              <w:rPr>
                <w:lang w:val="en-US"/>
              </w:rPr>
              <w:instrText>training for providers, and health education for patients.", "author" : [ { "dropping-particle" : "", "family" : "Yang", "given" : "Lianping", "non-dropping-particle" : "", "parse-names" : false, "suffix" : "" }, { "dropping-particle" : "", "family" : "Liu", "given" : "Chaojie", "non-dropping-particle" : "", "parse-names" : false, "suffix" : "" }, { "dropping-particle" : "", "family" : "Wang", "given" : "Lijun", "non-dropping-particle" : "", "parse-names" : false, "suffix" : "" }, { "dropping-particle" : "", "family" : "Yin", "given" : "Xi", "non-dropping-particle" : "", "parse-names" : false, "suffix" : "" }, { "dropping-particle" : "", "family" : "Zhang", "given" : "Xinping", "non-dropping-particle" : "", "parse-names" : false, "suffix" : "" } ], "container-title" : "Health research policy and systems / BioMed Central", "id" : "ITEM-1", "issue" : "1", "issued" : { "date-parts" : [ [ "2014", "1" ] ] }, "page" : "61", "title" : "Public reporting improves antibiotic prescribing for upper respiratory tract infections in primary care: a matched-pair cluster-randomized trial in China.", "type" : "article-journal", "volume" : "12" }, "uris" : [ "http://www.mendeley.com/documents/?uuid=445f2077-9aee-4c80-baf4-8d94a9943c08" ] } ], "mendeley" : { "formattedCitation" : "(26)", "plainTextFormattedCitation" : "(26)", "previouslyFormattedCitation" : "(26)" }, "properties" : { "noteIndex" : 0 }, "schema" : "https://github.com/citation-style-language/schema/raw/master/csl-citation.json" }</w:instrText>
            </w:r>
            <w:r w:rsidR="00A30BA9">
              <w:fldChar w:fldCharType="separate"/>
            </w:r>
            <w:r w:rsidR="00315540" w:rsidRPr="00315540">
              <w:rPr>
                <w:noProof/>
                <w:lang w:val="en-US"/>
              </w:rPr>
              <w:t>(26)</w:t>
            </w:r>
            <w:r w:rsidR="00A30BA9">
              <w:fldChar w:fldCharType="end"/>
            </w:r>
          </w:p>
        </w:tc>
        <w:tc>
          <w:tcPr>
            <w:tcW w:w="1660" w:type="dxa"/>
            <w:noWrap/>
            <w:hideMark/>
          </w:tcPr>
          <w:p w:rsidR="00BE2A18" w:rsidRPr="00315540" w:rsidRDefault="00BE2A18">
            <w:pPr>
              <w:rPr>
                <w:b/>
                <w:bCs/>
                <w:lang w:val="en-US"/>
              </w:rPr>
            </w:pPr>
            <w:r w:rsidRPr="00315540">
              <w:rPr>
                <w:b/>
                <w:bCs/>
                <w:lang w:val="en-US"/>
              </w:rPr>
              <w:t>Characteristic</w:t>
            </w:r>
          </w:p>
        </w:tc>
        <w:tc>
          <w:tcPr>
            <w:tcW w:w="1867" w:type="dxa"/>
            <w:noWrap/>
            <w:hideMark/>
          </w:tcPr>
          <w:p w:rsidR="00BE2A18" w:rsidRPr="00315540" w:rsidRDefault="00BE2A18" w:rsidP="00BE2A18">
            <w:pPr>
              <w:rPr>
                <w:lang w:val="en-US"/>
              </w:rPr>
            </w:pPr>
            <w:r w:rsidRPr="00315540">
              <w:rPr>
                <w:lang w:val="en-US"/>
              </w:rPr>
              <w:t>Experimental study</w:t>
            </w:r>
          </w:p>
        </w:tc>
        <w:tc>
          <w:tcPr>
            <w:tcW w:w="1824" w:type="dxa"/>
            <w:hideMark/>
          </w:tcPr>
          <w:p w:rsidR="00BE2A18" w:rsidRPr="00315540" w:rsidRDefault="00BE2A18" w:rsidP="00BE2A18">
            <w:pPr>
              <w:rPr>
                <w:lang w:val="en-US"/>
              </w:rPr>
            </w:pPr>
            <w:r w:rsidRPr="00315540">
              <w:rPr>
                <w:lang w:val="en-US"/>
              </w:rPr>
              <w:t>Minimal</w:t>
            </w:r>
          </w:p>
        </w:tc>
        <w:tc>
          <w:tcPr>
            <w:tcW w:w="1619" w:type="dxa"/>
            <w:hideMark/>
          </w:tcPr>
          <w:p w:rsidR="00BE2A18" w:rsidRPr="00315540" w:rsidRDefault="00BE2A18" w:rsidP="00BE2A18">
            <w:pPr>
              <w:rPr>
                <w:lang w:val="en-US"/>
              </w:rPr>
            </w:pPr>
            <w:r w:rsidRPr="00315540">
              <w:rPr>
                <w:lang w:val="en-US"/>
              </w:rPr>
              <w:t>Consistent</w:t>
            </w:r>
          </w:p>
        </w:tc>
        <w:tc>
          <w:tcPr>
            <w:tcW w:w="1230" w:type="dxa"/>
            <w:hideMark/>
          </w:tcPr>
          <w:p w:rsidR="00BE2A18" w:rsidRPr="00315540" w:rsidRDefault="00BE2A18" w:rsidP="00BE2A18">
            <w:pPr>
              <w:rPr>
                <w:lang w:val="en-US"/>
              </w:rPr>
            </w:pPr>
            <w:r w:rsidRPr="00315540">
              <w:rPr>
                <w:lang w:val="en-US"/>
              </w:rPr>
              <w:t>Direct</w:t>
            </w:r>
          </w:p>
        </w:tc>
        <w:tc>
          <w:tcPr>
            <w:tcW w:w="1558" w:type="dxa"/>
            <w:hideMark/>
          </w:tcPr>
          <w:p w:rsidR="00BE2A18" w:rsidRPr="00315540" w:rsidRDefault="00BE2A18" w:rsidP="00BE2A18">
            <w:pPr>
              <w:rPr>
                <w:lang w:val="en-US"/>
              </w:rPr>
            </w:pPr>
            <w:r w:rsidRPr="00315540">
              <w:rPr>
                <w:lang w:val="en-US"/>
              </w:rPr>
              <w:t>Precise</w:t>
            </w:r>
          </w:p>
        </w:tc>
        <w:tc>
          <w:tcPr>
            <w:tcW w:w="1640" w:type="dxa"/>
            <w:hideMark/>
          </w:tcPr>
          <w:p w:rsidR="00BE2A18" w:rsidRPr="00315540" w:rsidRDefault="00BE2A18" w:rsidP="00BE2A18">
            <w:pPr>
              <w:rPr>
                <w:lang w:val="en-US"/>
              </w:rPr>
            </w:pPr>
            <w:r w:rsidRPr="00315540">
              <w:rPr>
                <w:lang w:val="en-US"/>
              </w:rPr>
              <w:t>Not likely</w:t>
            </w:r>
          </w:p>
        </w:tc>
        <w:tc>
          <w:tcPr>
            <w:tcW w:w="1824" w:type="dxa"/>
            <w:hideMark/>
          </w:tcPr>
          <w:p w:rsidR="00BE2A18" w:rsidRPr="00315540" w:rsidRDefault="00BE2A18" w:rsidP="00BE2A18">
            <w:pPr>
              <w:rPr>
                <w:lang w:val="en-US"/>
              </w:rPr>
            </w:pPr>
            <w:r w:rsidRPr="00315540">
              <w:rPr>
                <w:lang w:val="en-US"/>
              </w:rPr>
              <w:t>Small (few statistically significant)</w:t>
            </w:r>
          </w:p>
        </w:tc>
        <w:tc>
          <w:tcPr>
            <w:tcW w:w="1783" w:type="dxa"/>
            <w:hideMark/>
          </w:tcPr>
          <w:p w:rsidR="00BE2A18" w:rsidRPr="00315540" w:rsidRDefault="00BE2A18" w:rsidP="00BE2A18">
            <w:pPr>
              <w:rPr>
                <w:lang w:val="en-US"/>
              </w:rPr>
            </w:pPr>
            <w:r w:rsidRPr="00315540">
              <w:rPr>
                <w:lang w:val="en-US"/>
              </w:rPr>
              <w:t>Small</w:t>
            </w:r>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315540"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315540" w:rsidRDefault="00BE2A18">
            <w:pPr>
              <w:rPr>
                <w:b/>
                <w:bCs/>
                <w:lang w:val="en-US"/>
              </w:rPr>
            </w:pPr>
            <w:r w:rsidRPr="00315540">
              <w:rPr>
                <w:b/>
                <w:bCs/>
                <w:lang w:val="en-US"/>
              </w:rPr>
              <w:t>Effect on quality</w:t>
            </w:r>
          </w:p>
        </w:tc>
        <w:tc>
          <w:tcPr>
            <w:tcW w:w="1867" w:type="dxa"/>
            <w:noWrap/>
            <w:hideMark/>
          </w:tcPr>
          <w:p w:rsidR="00BE2A18" w:rsidRPr="00315540" w:rsidRDefault="00BE2A18" w:rsidP="00BE2A18">
            <w:pPr>
              <w:rPr>
                <w:lang w:val="en-US"/>
              </w:rPr>
            </w:pPr>
            <w:r w:rsidRPr="00315540">
              <w:rPr>
                <w:lang w:val="en-US"/>
              </w:rPr>
              <w:t>High</w:t>
            </w:r>
          </w:p>
        </w:tc>
        <w:tc>
          <w:tcPr>
            <w:tcW w:w="1824" w:type="dxa"/>
            <w:hideMark/>
          </w:tcPr>
          <w:p w:rsidR="00BE2A18" w:rsidRPr="00315540" w:rsidRDefault="00BE2A18" w:rsidP="00BE2A18">
            <w:pPr>
              <w:rPr>
                <w:lang w:val="en-US"/>
              </w:rPr>
            </w:pPr>
            <w:r w:rsidRPr="00315540">
              <w:rPr>
                <w:lang w:val="en-US"/>
              </w:rPr>
              <w:t>No change</w:t>
            </w:r>
          </w:p>
        </w:tc>
        <w:tc>
          <w:tcPr>
            <w:tcW w:w="1619" w:type="dxa"/>
            <w:hideMark/>
          </w:tcPr>
          <w:p w:rsidR="00BE2A18" w:rsidRPr="00315540" w:rsidRDefault="00BE2A18" w:rsidP="00BE2A18">
            <w:pPr>
              <w:rPr>
                <w:lang w:val="en-US"/>
              </w:rPr>
            </w:pPr>
            <w:r w:rsidRPr="00315540">
              <w:rPr>
                <w:lang w:val="en-US"/>
              </w:rPr>
              <w:t>No change</w:t>
            </w:r>
          </w:p>
        </w:tc>
        <w:tc>
          <w:tcPr>
            <w:tcW w:w="1230" w:type="dxa"/>
            <w:hideMark/>
          </w:tcPr>
          <w:p w:rsidR="00BE2A18" w:rsidRPr="00315540" w:rsidRDefault="00BE2A18" w:rsidP="00BE2A18">
            <w:pPr>
              <w:rPr>
                <w:lang w:val="en-US"/>
              </w:rPr>
            </w:pPr>
            <w:r w:rsidRPr="00315540">
              <w:rPr>
                <w:lang w:val="en-US"/>
              </w:rPr>
              <w:t>No change</w:t>
            </w:r>
          </w:p>
        </w:tc>
        <w:tc>
          <w:tcPr>
            <w:tcW w:w="1558" w:type="dxa"/>
            <w:hideMark/>
          </w:tcPr>
          <w:p w:rsidR="00BE2A18" w:rsidRPr="00315540" w:rsidRDefault="00BE2A18" w:rsidP="00BE2A18">
            <w:pPr>
              <w:rPr>
                <w:lang w:val="en-US"/>
              </w:rPr>
            </w:pPr>
            <w:r w:rsidRPr="00315540">
              <w:rPr>
                <w:lang w:val="en-US"/>
              </w:rPr>
              <w:t>No change</w:t>
            </w:r>
          </w:p>
        </w:tc>
        <w:tc>
          <w:tcPr>
            <w:tcW w:w="1640" w:type="dxa"/>
            <w:hideMark/>
          </w:tcPr>
          <w:p w:rsidR="00BE2A18" w:rsidRPr="00315540" w:rsidRDefault="00BE2A18" w:rsidP="00BE2A18">
            <w:pPr>
              <w:rPr>
                <w:lang w:val="en-US"/>
              </w:rPr>
            </w:pPr>
            <w:r w:rsidRPr="00315540">
              <w:rPr>
                <w:lang w:val="en-US"/>
              </w:rPr>
              <w:t>No change</w:t>
            </w:r>
          </w:p>
        </w:tc>
        <w:tc>
          <w:tcPr>
            <w:tcW w:w="1824" w:type="dxa"/>
            <w:hideMark/>
          </w:tcPr>
          <w:p w:rsidR="00BE2A18" w:rsidRPr="00315540" w:rsidRDefault="00BE2A18" w:rsidP="00BE2A18">
            <w:pPr>
              <w:rPr>
                <w:lang w:val="en-US"/>
              </w:rPr>
            </w:pPr>
            <w:r w:rsidRPr="00315540">
              <w:rPr>
                <w:lang w:val="en-US"/>
              </w:rPr>
              <w:t>Increase</w:t>
            </w:r>
          </w:p>
        </w:tc>
        <w:tc>
          <w:tcPr>
            <w:tcW w:w="1783" w:type="dxa"/>
            <w:hideMark/>
          </w:tcPr>
          <w:p w:rsidR="00BE2A18" w:rsidRPr="00315540" w:rsidRDefault="00BE2A18" w:rsidP="00BE2A18">
            <w:pPr>
              <w:rPr>
                <w:lang w:val="en-US"/>
              </w:rPr>
            </w:pPr>
            <w:r w:rsidRPr="00315540">
              <w:rPr>
                <w:lang w:val="en-US"/>
              </w:rPr>
              <w:t>No change</w:t>
            </w:r>
          </w:p>
        </w:tc>
        <w:tc>
          <w:tcPr>
            <w:tcW w:w="2255" w:type="dxa"/>
            <w:hideMark/>
          </w:tcPr>
          <w:p w:rsidR="00BE2A18" w:rsidRPr="00315540" w:rsidRDefault="00BE2A18" w:rsidP="00BE2A18">
            <w:pPr>
              <w:rPr>
                <w:lang w:val="en-US"/>
              </w:rPr>
            </w:pPr>
            <w:r w:rsidRPr="00315540">
              <w:rPr>
                <w:lang w:val="en-US"/>
              </w:rPr>
              <w:t>No change</w:t>
            </w:r>
          </w:p>
        </w:tc>
      </w:tr>
      <w:tr w:rsidR="00BE2A18" w:rsidRPr="00BE2A18" w:rsidTr="00BE2A18">
        <w:trPr>
          <w:trHeight w:val="1200"/>
        </w:trPr>
        <w:tc>
          <w:tcPr>
            <w:tcW w:w="2420" w:type="dxa"/>
            <w:vMerge w:val="restart"/>
            <w:noWrap/>
            <w:hideMark/>
          </w:tcPr>
          <w:p w:rsidR="00BE2A18" w:rsidRPr="00BE2A18" w:rsidRDefault="00BE2A18" w:rsidP="00BE2A18">
            <w:r w:rsidRPr="00315540">
              <w:rPr>
                <w:lang w:val="en-US"/>
              </w:rPr>
              <w:t>Wang et al, 2014</w:t>
            </w:r>
            <w:r w:rsidR="00A30BA9" w:rsidRPr="00315540">
              <w:rPr>
                <w:lang w:val="en-US"/>
              </w:rPr>
              <w:t xml:space="preserve"> </w:t>
            </w:r>
            <w:r w:rsidR="00A30BA9">
              <w:fldChar w:fldCharType="begin" w:fldLock="1"/>
            </w:r>
            <w:r w:rsidR="00315540" w:rsidRPr="00315540">
              <w:rPr>
                <w:lang w:val="en-US"/>
              </w:rPr>
              <w:instrText>ADDIN CSL_CITATION { "citationItems" : [ { "id" : "ITEM-1", "itemData" : { "DOI" : "10.1371/journal.pone.0109594", "ISSN" : "1932-6203", "PMID" : "25313853", "abstract" : "BACKGROUND: Inappropriate use of prescribing pharmaceuticals, particularly injections, not only affects the quality of medical care, but also leads to an increase in medical expenses. Publicly reporting performance data of medical care is becoming a common health policy tool adopted to supervise medical quality. To our knowledge, few studies about public reporting applied to medicine use have been reported. This study intended to introduce public reporting in the field of medicine use, and evaluate the effect of publicly reporting performance data of medicine use on the use of injections. METHODS: The research sites were 20 primary healthcare institutions in Q City, Hubei. By matching, the institutions were divided into the intervention group and control group. A quasi-experimental design was applied in this study. In the intervention group, the performance data of medicine use were publicly reported. The injection prescribing rates of the two groups before and after intervention were measured and compared. Difference-i</w:instrText>
            </w:r>
            <w:r w:rsidR="00315540">
              <w:instrText>n-difference method and logistic regression were employed to estimate the effect of public reporting on injection use. RESULTS: Public reporting led to a reduction of approximately 4% in the injection prescribing rate four months after intervention (OR = 0.96; 95%CI: 0.94, 0.97). The intervention effect was inconsistent in each month after intervention, and it was most positive in the second month after intervention (OR = 0.90; 95%CI: 0.89, 0.92). CONCLUSIONS: In general, publicly reporting performance data of medicine use may have positive effects on injection use to some extent. Further research is needed to investigate the mechanism by which public reporting influences injection use. Comprehensive measures are also necessary to promote the rational use of injections.", "author" : [ { "dropping-particle" : "", "family" : "Wang", "given" : "Xuan", "non-dropping-particle" : "", "parse-names" : false, "suffix" : "" }, { "dropping-particle" : "", "family" : "Tang", "given" : "Yuqing", "non-dropping-particle" : "", "parse-names" : false, "suffix" : "" }, { "dropping-particle" : "", "family" : "Zhang", "given" : "Xiaopeng", "non-dropping-particle" : "", "parse-names" : false, "suffix" : "" }, { "dropping-particle" : "", "family" : "Yin", "given" : "Xi", "non-dropping-particle" : "", "parse-names" : false, "suffix" : "" }, { "dropping-particle" : "", "family" : "Du", "given" : "Xin", "non-dropping-particle" : "", "parse-names" : false, "suffix" : "" }, { "dropping-particle" : "", "family" : "Zhang", "given" : "Xinping", "non-dropping-particle" : "", "parse-names" : false, "suffix" : "" } ], "container-title" : "PloS one", "id" : "ITEM-1", "issue" : "10", "issued" : { "date-parts" : [ [ "2014", "1" ] ] }, "page" : "e109594", "title" : "Effect of publicly reporting performance data of medicine use on injection use: a quasi-experimental study.", "type" : "article-journal", "volume" : "9" }, "uris" : [ "http://www.mendeley.com/documents/?uuid=e5def443-aee0-44af-a96c-cc91d82d4ea4" ] } ], "mendeley" : { "formattedCitation" : "(27)", "plainTextFormattedCitation" : "(27)", "previouslyFormattedCitation" : "(27)" }, "properties" : { "noteIndex" : 0 }, "schema" : "https://github.com/citation-style-language/schema/raw/master/csl-citation.json" }</w:instrText>
            </w:r>
            <w:r w:rsidR="00A30BA9">
              <w:fldChar w:fldCharType="separate"/>
            </w:r>
            <w:r w:rsidR="00315540" w:rsidRPr="00315540">
              <w:rPr>
                <w:noProof/>
              </w:rPr>
              <w:t>(27)</w:t>
            </w:r>
            <w:r w:rsidR="00A30BA9">
              <w:fldChar w:fldCharType="end"/>
            </w:r>
          </w:p>
        </w:tc>
        <w:tc>
          <w:tcPr>
            <w:tcW w:w="1660" w:type="dxa"/>
            <w:noWrap/>
            <w:hideMark/>
          </w:tcPr>
          <w:p w:rsidR="00BE2A18" w:rsidRPr="00BE2A18" w:rsidRDefault="00BE2A18">
            <w:pPr>
              <w:rPr>
                <w:b/>
                <w:bCs/>
              </w:rPr>
            </w:pPr>
            <w:proofErr w:type="spellStart"/>
            <w:r w:rsidRPr="00BE2A18">
              <w:rPr>
                <w:b/>
                <w:bCs/>
              </w:rPr>
              <w:t>Characteristic</w:t>
            </w:r>
            <w:proofErr w:type="spellEnd"/>
          </w:p>
        </w:tc>
        <w:tc>
          <w:tcPr>
            <w:tcW w:w="1867" w:type="dxa"/>
            <w:noWrap/>
            <w:hideMark/>
          </w:tcPr>
          <w:p w:rsidR="00BE2A18" w:rsidRPr="00BE2A18" w:rsidRDefault="00BE2A18" w:rsidP="00BE2A18">
            <w:proofErr w:type="spellStart"/>
            <w:r w:rsidRPr="00BE2A18">
              <w:t>Observational</w:t>
            </w:r>
            <w:proofErr w:type="spellEnd"/>
            <w:r w:rsidRPr="00BE2A18">
              <w:t xml:space="preserve"> </w:t>
            </w:r>
            <w:proofErr w:type="spellStart"/>
            <w:r w:rsidRPr="00BE2A18">
              <w:t>study</w:t>
            </w:r>
            <w:proofErr w:type="spellEnd"/>
          </w:p>
        </w:tc>
        <w:tc>
          <w:tcPr>
            <w:tcW w:w="1824" w:type="dxa"/>
            <w:hideMark/>
          </w:tcPr>
          <w:p w:rsidR="00BE2A18" w:rsidRPr="00BE2A18" w:rsidRDefault="00BE2A18" w:rsidP="00BE2A18">
            <w:proofErr w:type="spellStart"/>
            <w:r w:rsidRPr="00BE2A18">
              <w:t>Minimal</w:t>
            </w:r>
            <w:proofErr w:type="spellEnd"/>
          </w:p>
        </w:tc>
        <w:tc>
          <w:tcPr>
            <w:tcW w:w="1619" w:type="dxa"/>
            <w:hideMark/>
          </w:tcPr>
          <w:p w:rsidR="00BE2A18" w:rsidRPr="00BE2A18" w:rsidRDefault="00BE2A18" w:rsidP="00BE2A18">
            <w:pPr>
              <w:rPr>
                <w:lang w:val="en-US"/>
              </w:rPr>
            </w:pPr>
            <w:r w:rsidRPr="00BE2A18">
              <w:rPr>
                <w:lang w:val="en-US"/>
              </w:rPr>
              <w:t>Consistent (possible inconsistencies accounted for)</w:t>
            </w:r>
          </w:p>
        </w:tc>
        <w:tc>
          <w:tcPr>
            <w:tcW w:w="1230" w:type="dxa"/>
            <w:hideMark/>
          </w:tcPr>
          <w:p w:rsidR="00BE2A18" w:rsidRPr="00BE2A18" w:rsidRDefault="00BE2A18" w:rsidP="00BE2A18">
            <w:r w:rsidRPr="00BE2A18">
              <w:t>Direct</w:t>
            </w:r>
          </w:p>
        </w:tc>
        <w:tc>
          <w:tcPr>
            <w:tcW w:w="1558" w:type="dxa"/>
            <w:hideMark/>
          </w:tcPr>
          <w:p w:rsidR="00BE2A18" w:rsidRPr="00BE2A18" w:rsidRDefault="00BE2A18" w:rsidP="00BE2A18">
            <w:r w:rsidRPr="00BE2A18">
              <w:t>Precise</w:t>
            </w:r>
          </w:p>
        </w:tc>
        <w:tc>
          <w:tcPr>
            <w:tcW w:w="1640" w:type="dxa"/>
            <w:hideMark/>
          </w:tcPr>
          <w:p w:rsidR="00BE2A18" w:rsidRPr="00BE2A18" w:rsidRDefault="00BE2A18" w:rsidP="00BE2A18">
            <w:proofErr w:type="spellStart"/>
            <w:r w:rsidRPr="00BE2A18">
              <w:t>Not</w:t>
            </w:r>
            <w:proofErr w:type="spellEnd"/>
            <w:r w:rsidRPr="00BE2A18">
              <w:t xml:space="preserve"> </w:t>
            </w:r>
            <w:proofErr w:type="spellStart"/>
            <w:r w:rsidRPr="00BE2A18">
              <w:t>likely</w:t>
            </w:r>
            <w:proofErr w:type="spellEnd"/>
          </w:p>
        </w:tc>
        <w:tc>
          <w:tcPr>
            <w:tcW w:w="1824" w:type="dxa"/>
            <w:hideMark/>
          </w:tcPr>
          <w:p w:rsidR="00BE2A18" w:rsidRPr="00BE2A18" w:rsidRDefault="00BE2A18" w:rsidP="00BE2A18">
            <w:r w:rsidRPr="00BE2A18">
              <w:t>Moderate</w:t>
            </w:r>
          </w:p>
        </w:tc>
        <w:tc>
          <w:tcPr>
            <w:tcW w:w="1783" w:type="dxa"/>
            <w:hideMark/>
          </w:tcPr>
          <w:p w:rsidR="00BE2A18" w:rsidRPr="00BE2A18" w:rsidRDefault="00BE2A18" w:rsidP="00BE2A18">
            <w:r w:rsidRPr="00BE2A18">
              <w:t xml:space="preserve">Some </w:t>
            </w:r>
            <w:proofErr w:type="spellStart"/>
            <w:r w:rsidRPr="00BE2A18">
              <w:t>statistically</w:t>
            </w:r>
            <w:proofErr w:type="spellEnd"/>
            <w:r w:rsidRPr="00BE2A18">
              <w:t xml:space="preserve"> </w:t>
            </w:r>
            <w:proofErr w:type="spellStart"/>
            <w:r w:rsidRPr="00BE2A18">
              <w:t>significant</w:t>
            </w:r>
            <w:proofErr w:type="spellEnd"/>
          </w:p>
        </w:tc>
        <w:tc>
          <w:tcPr>
            <w:tcW w:w="2255" w:type="dxa"/>
            <w:hideMark/>
          </w:tcPr>
          <w:p w:rsidR="00BE2A18" w:rsidRPr="00BE2A18" w:rsidRDefault="00BE2A18" w:rsidP="00BE2A18">
            <w:pPr>
              <w:rPr>
                <w:lang w:val="en-US"/>
              </w:rPr>
            </w:pPr>
            <w:r w:rsidRPr="00BE2A18">
              <w:rPr>
                <w:lang w:val="en-US"/>
              </w:rPr>
              <w:t>Potential to increase or decrease effect</w:t>
            </w:r>
          </w:p>
        </w:tc>
      </w:tr>
      <w:tr w:rsidR="00BE2A18" w:rsidRPr="00BE2A18" w:rsidTr="00BE2A18">
        <w:trPr>
          <w:trHeight w:val="300"/>
        </w:trPr>
        <w:tc>
          <w:tcPr>
            <w:tcW w:w="2420" w:type="dxa"/>
            <w:vMerge/>
            <w:hideMark/>
          </w:tcPr>
          <w:p w:rsidR="00BE2A18" w:rsidRPr="00BE2A18" w:rsidRDefault="00BE2A18">
            <w:pPr>
              <w:rPr>
                <w:lang w:val="en-US"/>
              </w:rPr>
            </w:pPr>
          </w:p>
        </w:tc>
        <w:tc>
          <w:tcPr>
            <w:tcW w:w="1660" w:type="dxa"/>
            <w:noWrap/>
            <w:hideMark/>
          </w:tcPr>
          <w:p w:rsidR="00BE2A18" w:rsidRPr="00BE2A18" w:rsidRDefault="00BE2A18">
            <w:pPr>
              <w:rPr>
                <w:b/>
                <w:bCs/>
              </w:rPr>
            </w:pPr>
            <w:proofErr w:type="spellStart"/>
            <w:r w:rsidRPr="00BE2A18">
              <w:rPr>
                <w:b/>
                <w:bCs/>
              </w:rPr>
              <w:t>Effect</w:t>
            </w:r>
            <w:proofErr w:type="spellEnd"/>
            <w:r w:rsidRPr="00BE2A18">
              <w:rPr>
                <w:b/>
                <w:bCs/>
              </w:rPr>
              <w:t xml:space="preserve"> on </w:t>
            </w:r>
            <w:proofErr w:type="spellStart"/>
            <w:r w:rsidRPr="00BE2A18">
              <w:rPr>
                <w:b/>
                <w:bCs/>
              </w:rPr>
              <w:t>quality</w:t>
            </w:r>
            <w:proofErr w:type="spellEnd"/>
          </w:p>
        </w:tc>
        <w:tc>
          <w:tcPr>
            <w:tcW w:w="1867" w:type="dxa"/>
            <w:noWrap/>
            <w:hideMark/>
          </w:tcPr>
          <w:p w:rsidR="00BE2A18" w:rsidRPr="00BE2A18" w:rsidRDefault="00BE2A18" w:rsidP="00BE2A18">
            <w:proofErr w:type="spellStart"/>
            <w:r w:rsidRPr="00BE2A18">
              <w:t>Low</w:t>
            </w:r>
            <w:proofErr w:type="spellEnd"/>
          </w:p>
        </w:tc>
        <w:tc>
          <w:tcPr>
            <w:tcW w:w="1824" w:type="dxa"/>
            <w:hideMark/>
          </w:tcPr>
          <w:p w:rsidR="00BE2A18" w:rsidRPr="00BE2A18" w:rsidRDefault="00BE2A18" w:rsidP="00BE2A18">
            <w:r w:rsidRPr="00BE2A18">
              <w:t xml:space="preserve">No </w:t>
            </w:r>
            <w:proofErr w:type="spellStart"/>
            <w:r w:rsidRPr="00BE2A18">
              <w:t>change</w:t>
            </w:r>
            <w:proofErr w:type="spellEnd"/>
          </w:p>
        </w:tc>
        <w:tc>
          <w:tcPr>
            <w:tcW w:w="1619" w:type="dxa"/>
            <w:hideMark/>
          </w:tcPr>
          <w:p w:rsidR="00BE2A18" w:rsidRPr="00BE2A18" w:rsidRDefault="00BE2A18" w:rsidP="00BE2A18">
            <w:r w:rsidRPr="00BE2A18">
              <w:t xml:space="preserve">No </w:t>
            </w:r>
            <w:proofErr w:type="spellStart"/>
            <w:r w:rsidRPr="00BE2A18">
              <w:t>change</w:t>
            </w:r>
            <w:proofErr w:type="spellEnd"/>
          </w:p>
        </w:tc>
        <w:tc>
          <w:tcPr>
            <w:tcW w:w="1230" w:type="dxa"/>
            <w:hideMark/>
          </w:tcPr>
          <w:p w:rsidR="00BE2A18" w:rsidRPr="00BE2A18" w:rsidRDefault="00BE2A18" w:rsidP="00BE2A18">
            <w:r w:rsidRPr="00BE2A18">
              <w:t xml:space="preserve">No </w:t>
            </w:r>
            <w:proofErr w:type="spellStart"/>
            <w:r w:rsidRPr="00BE2A18">
              <w:t>change</w:t>
            </w:r>
            <w:proofErr w:type="spellEnd"/>
          </w:p>
        </w:tc>
        <w:tc>
          <w:tcPr>
            <w:tcW w:w="1558" w:type="dxa"/>
            <w:hideMark/>
          </w:tcPr>
          <w:p w:rsidR="00BE2A18" w:rsidRPr="00BE2A18" w:rsidRDefault="00BE2A18" w:rsidP="00BE2A18">
            <w:r w:rsidRPr="00BE2A18">
              <w:t xml:space="preserve">No </w:t>
            </w:r>
            <w:proofErr w:type="spellStart"/>
            <w:r w:rsidRPr="00BE2A18">
              <w:t>change</w:t>
            </w:r>
            <w:proofErr w:type="spellEnd"/>
          </w:p>
        </w:tc>
        <w:tc>
          <w:tcPr>
            <w:tcW w:w="1640" w:type="dxa"/>
            <w:hideMark/>
          </w:tcPr>
          <w:p w:rsidR="00BE2A18" w:rsidRPr="00BE2A18" w:rsidRDefault="00BE2A18" w:rsidP="00BE2A18">
            <w:r w:rsidRPr="00BE2A18">
              <w:t xml:space="preserve">No </w:t>
            </w:r>
            <w:proofErr w:type="spellStart"/>
            <w:r w:rsidRPr="00BE2A18">
              <w:t>change</w:t>
            </w:r>
            <w:proofErr w:type="spellEnd"/>
          </w:p>
        </w:tc>
        <w:tc>
          <w:tcPr>
            <w:tcW w:w="1824" w:type="dxa"/>
            <w:hideMark/>
          </w:tcPr>
          <w:p w:rsidR="00BE2A18" w:rsidRPr="00BE2A18" w:rsidRDefault="00BE2A18" w:rsidP="00BE2A18">
            <w:proofErr w:type="spellStart"/>
            <w:r w:rsidRPr="00BE2A18">
              <w:t>Increase</w:t>
            </w:r>
            <w:proofErr w:type="spellEnd"/>
          </w:p>
        </w:tc>
        <w:tc>
          <w:tcPr>
            <w:tcW w:w="1783" w:type="dxa"/>
            <w:hideMark/>
          </w:tcPr>
          <w:p w:rsidR="00BE2A18" w:rsidRPr="00BE2A18" w:rsidRDefault="00BE2A18" w:rsidP="00BE2A18">
            <w:r w:rsidRPr="00BE2A18">
              <w:t xml:space="preserve">No </w:t>
            </w:r>
            <w:proofErr w:type="spellStart"/>
            <w:r w:rsidRPr="00BE2A18">
              <w:t>change</w:t>
            </w:r>
            <w:proofErr w:type="spellEnd"/>
          </w:p>
        </w:tc>
        <w:tc>
          <w:tcPr>
            <w:tcW w:w="2255" w:type="dxa"/>
            <w:hideMark/>
          </w:tcPr>
          <w:p w:rsidR="00BE2A18" w:rsidRPr="00BE2A18" w:rsidRDefault="00BE2A18" w:rsidP="00BE2A18">
            <w:r w:rsidRPr="00BE2A18">
              <w:t xml:space="preserve">No </w:t>
            </w:r>
            <w:proofErr w:type="spellStart"/>
            <w:r w:rsidRPr="00BE2A18">
              <w:t>change</w:t>
            </w:r>
            <w:proofErr w:type="spellEnd"/>
          </w:p>
        </w:tc>
      </w:tr>
    </w:tbl>
    <w:p w:rsidR="00AE6B26" w:rsidRDefault="00AE6B26"/>
    <w:p w:rsidR="00BE2A18" w:rsidRDefault="00BE2A18"/>
    <w:p w:rsidR="00BE2A18" w:rsidRDefault="00BE2A18"/>
    <w:p w:rsidR="00BE2A18" w:rsidRDefault="00BE2A18"/>
    <w:p w:rsidR="00BE2A18" w:rsidRDefault="00BE2A18"/>
    <w:p w:rsidR="00BE2A18" w:rsidRDefault="00BE2A18"/>
    <w:p w:rsidR="00BE2A18" w:rsidRDefault="00BE2A18"/>
    <w:p w:rsidR="00BE2A18" w:rsidRDefault="00BE2A18"/>
    <w:p w:rsidR="00BE2A18" w:rsidRDefault="00BE2A18"/>
    <w:p w:rsidR="00BE2A18" w:rsidRDefault="00BE2A18"/>
    <w:p w:rsidR="00BE2A18" w:rsidRDefault="00BE2A18">
      <w:proofErr w:type="spellStart"/>
      <w:r>
        <w:t>References</w:t>
      </w:r>
      <w:proofErr w:type="spellEnd"/>
    </w:p>
    <w:p w:rsidR="00315540" w:rsidRPr="00315540" w:rsidRDefault="00BE2A18" w:rsidP="00315540">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315540" w:rsidRPr="00315540">
        <w:rPr>
          <w:rFonts w:ascii="Calibri" w:hAnsi="Calibri" w:cs="Times New Roman"/>
          <w:noProof/>
          <w:szCs w:val="24"/>
        </w:rPr>
        <w:t xml:space="preserve">1. </w:t>
      </w:r>
      <w:r w:rsidR="00315540" w:rsidRPr="00315540">
        <w:rPr>
          <w:rFonts w:ascii="Calibri" w:hAnsi="Calibri" w:cs="Times New Roman"/>
          <w:noProof/>
          <w:szCs w:val="24"/>
        </w:rPr>
        <w:tab/>
        <w:t xml:space="preserve">Hannan EL, Kumar D, Racz M, Siu AL, Chassin MR. New York state’s cardiac surgery reporting system: Four years later. Ann Thorac Surg. The Society of Thoracic Surgeons; 1994;58(6):1852–7.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 </w:t>
      </w:r>
      <w:r w:rsidRPr="00315540">
        <w:rPr>
          <w:rFonts w:ascii="Calibri" w:hAnsi="Calibri" w:cs="Times New Roman"/>
          <w:noProof/>
          <w:szCs w:val="24"/>
        </w:rPr>
        <w:tab/>
        <w:t xml:space="preserve">Dziuban SW, McIlduff JB, Miller SJ, Dal Col RH. How a New York cardiac surgery program uses outcomes data. Ann Thorac Surg. The Society of Thoracic Surgeons; 1994 Dec;58(6):1871–6.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3. </w:t>
      </w:r>
      <w:r w:rsidRPr="00315540">
        <w:rPr>
          <w:rFonts w:ascii="Calibri" w:hAnsi="Calibri" w:cs="Times New Roman"/>
          <w:noProof/>
          <w:szCs w:val="24"/>
        </w:rPr>
        <w:tab/>
        <w:t xml:space="preserve">Rosenthal GE, Quinn L, Harper DL. Declines in hospital mortality associated with a regional initiative to measure hospital performance. Am J Med Qual. 1997 Jan;12(2):103–12.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4. </w:t>
      </w:r>
      <w:r w:rsidRPr="00315540">
        <w:rPr>
          <w:rFonts w:ascii="Calibri" w:hAnsi="Calibri" w:cs="Times New Roman"/>
          <w:noProof/>
          <w:szCs w:val="24"/>
        </w:rPr>
        <w:tab/>
        <w:t xml:space="preserve">Peterson ED, DeLong ER, Jollis JG, Muhlbaier LH, Mark DB. The effects of New York’s bypass surgery provider profiling on access to care and patient outcomes in the elderly. J Am Coll Cardiol. 1998 Oct;32(4):993–9.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5. </w:t>
      </w:r>
      <w:r w:rsidRPr="00315540">
        <w:rPr>
          <w:rFonts w:ascii="Calibri" w:hAnsi="Calibri" w:cs="Times New Roman"/>
          <w:noProof/>
          <w:szCs w:val="24"/>
        </w:rPr>
        <w:tab/>
        <w:t xml:space="preserve">Chassin MR. Achieving and sustaining improved quality: Lessons from New York state and cardiac surgery. Health Aff. 2002;21(4):40–51.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6. </w:t>
      </w:r>
      <w:r w:rsidRPr="00315540">
        <w:rPr>
          <w:rFonts w:ascii="Calibri" w:hAnsi="Calibri" w:cs="Times New Roman"/>
          <w:noProof/>
          <w:szCs w:val="24"/>
        </w:rPr>
        <w:tab/>
        <w:t xml:space="preserve">Clough JD, Engler D, Snow R, Canuto PE. Lack of relationship between the Cleveland Health Quality Choice project and decreased inpatient mortality in Cleveland. Am J Med Qual. 2002;17(2):47–55.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7. </w:t>
      </w:r>
      <w:r w:rsidRPr="00315540">
        <w:rPr>
          <w:rFonts w:ascii="Calibri" w:hAnsi="Calibri" w:cs="Times New Roman"/>
          <w:noProof/>
          <w:szCs w:val="24"/>
        </w:rPr>
        <w:tab/>
        <w:t>Baker DW, Einstadter D, Thomas CL, Husak SS, Gordon NH, Cebul RD. Mortality trends during a program that publicly reported hospital performance. Med Care [Internet]. 2002;40(10):879–90. Available from: http://www.ncbi.nlm.nih.gov/pubmed/12395022</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8. </w:t>
      </w:r>
      <w:r w:rsidRPr="00315540">
        <w:rPr>
          <w:rFonts w:ascii="Calibri" w:hAnsi="Calibri" w:cs="Times New Roman"/>
          <w:noProof/>
          <w:szCs w:val="24"/>
        </w:rPr>
        <w:tab/>
        <w:t xml:space="preserve">Baker DW, Einstadter D, Thomas C, Husak S, Gordon NH, Cebul RD. The effect of publicly reporting hospital performance on market share and risk-adjusted mortality at high-mortality hospitals. Med Care. 2003 Jun;41(6):729–40.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9. </w:t>
      </w:r>
      <w:r w:rsidRPr="00315540">
        <w:rPr>
          <w:rFonts w:ascii="Calibri" w:hAnsi="Calibri" w:cs="Times New Roman"/>
          <w:noProof/>
          <w:szCs w:val="24"/>
        </w:rPr>
        <w:tab/>
        <w:t xml:space="preserve">Dranove D, Kessler D, McClellan M, Satterthwaite M. Is More Information Better? The Effects of “Report Cards” on Health Care Providers. J Polit Econ. 2003;111(3):555–88.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10. </w:t>
      </w:r>
      <w:r w:rsidRPr="00315540">
        <w:rPr>
          <w:rFonts w:ascii="Calibri" w:hAnsi="Calibri" w:cs="Times New Roman"/>
          <w:noProof/>
          <w:szCs w:val="24"/>
        </w:rPr>
        <w:tab/>
        <w:t xml:space="preserve">Moscucci M, Eagle K a, Share D, Smith D, De Franco AC, O’Donnell M, et al. Public reporting and case selection for percutaneous coronary interventions: an analysis from two large multicenter percutaneous coronary intervention databases. J Am Coll Cardiol. 2005 Jun;45(11):1759–65.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11. </w:t>
      </w:r>
      <w:r w:rsidRPr="00315540">
        <w:rPr>
          <w:rFonts w:ascii="Calibri" w:hAnsi="Calibri" w:cs="Times New Roman"/>
          <w:noProof/>
          <w:szCs w:val="24"/>
        </w:rPr>
        <w:tab/>
        <w:t xml:space="preserve">Carey JS, Danielsen B, Junod FL, Rossiter SJ, Stabile BE. The California cardiac surgery and intervention project: Evolution of a public reporting program. Am Surg. 2006;72(10):978–83.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12. </w:t>
      </w:r>
      <w:r w:rsidRPr="00315540">
        <w:rPr>
          <w:rFonts w:ascii="Calibri" w:hAnsi="Calibri" w:cs="Times New Roman"/>
          <w:noProof/>
          <w:szCs w:val="24"/>
        </w:rPr>
        <w:tab/>
        <w:t xml:space="preserve">Guru V, Fremes SE, Naylor CD, Austin PC, Shrive FM, Ghali WA, et al. Public versus private institutional performance reporting: What is mandatory for quality improvement? Am Heart J. 2006;152(3):573–8.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lastRenderedPageBreak/>
        <w:t xml:space="preserve">13. </w:t>
      </w:r>
      <w:r w:rsidRPr="00315540">
        <w:rPr>
          <w:rFonts w:ascii="Calibri" w:hAnsi="Calibri" w:cs="Times New Roman"/>
          <w:noProof/>
          <w:szCs w:val="24"/>
        </w:rPr>
        <w:tab/>
        <w:t xml:space="preserve">Jha AK, Epstein AM. The predictive accuracy of the New York State coronary artery bypass surgery report-card system. Health Aff. 2006;25(3):844–55.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14. </w:t>
      </w:r>
      <w:r w:rsidRPr="00315540">
        <w:rPr>
          <w:rFonts w:ascii="Calibri" w:hAnsi="Calibri" w:cs="Times New Roman"/>
          <w:noProof/>
          <w:szCs w:val="24"/>
        </w:rPr>
        <w:tab/>
        <w:t xml:space="preserve">Hollenbeak CS, Gorton CP, Tabak YP, Jones JL, Milstein A, Richard S, et al. Reductions in Mortality Associated Hospital Outcomes. 2008;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15. </w:t>
      </w:r>
      <w:r w:rsidRPr="00315540">
        <w:rPr>
          <w:rFonts w:ascii="Calibri" w:hAnsi="Calibri" w:cs="Times New Roman"/>
          <w:noProof/>
          <w:szCs w:val="24"/>
        </w:rPr>
        <w:tab/>
        <w:t xml:space="preserve">Ryan AM. Effects of the Premier Hospital Quality Incentive Demonstration on Medicare patient mortality and cost. Health Serv Res. 2009 Jun;44(3):821–42.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16. </w:t>
      </w:r>
      <w:r w:rsidRPr="00315540">
        <w:rPr>
          <w:rFonts w:ascii="Calibri" w:hAnsi="Calibri" w:cs="Times New Roman"/>
          <w:noProof/>
          <w:szCs w:val="24"/>
        </w:rPr>
        <w:tab/>
        <w:t xml:space="preserve">Friedberg MW, Mehrotra A, Linder JA. Reporting hospitals’ antibiotic timing in pneumonia: adverse consequences for patients? Am J Manag Care. 2009;15(2):137–44.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17. </w:t>
      </w:r>
      <w:r w:rsidRPr="00315540">
        <w:rPr>
          <w:rFonts w:ascii="Calibri" w:hAnsi="Calibri" w:cs="Times New Roman"/>
          <w:noProof/>
          <w:szCs w:val="24"/>
        </w:rPr>
        <w:tab/>
        <w:t xml:space="preserve">Werner RM, Bradlow ET. Public reporting on hospital process improvements is linked to better patient outcomes. Health Aff. 2010;29(7):1319–24.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18. </w:t>
      </w:r>
      <w:r w:rsidRPr="00315540">
        <w:rPr>
          <w:rFonts w:ascii="Calibri" w:hAnsi="Calibri" w:cs="Times New Roman"/>
          <w:noProof/>
          <w:szCs w:val="24"/>
        </w:rPr>
        <w:tab/>
        <w:t xml:space="preserve">Li Z, Carlisle DM, Marcin JP, Castellanos LR, Romano PS, Young JN, et al. Impact of public reporting on access to coronary artery bypass surgery: the California Outcomes Reporting Program. Ann Thorac Surg. Elsevier Inc.; 2010 Apr;89(4):1131–8.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19. </w:t>
      </w:r>
      <w:r w:rsidRPr="00315540">
        <w:rPr>
          <w:rFonts w:ascii="Calibri" w:hAnsi="Calibri" w:cs="Times New Roman"/>
          <w:noProof/>
          <w:szCs w:val="24"/>
        </w:rPr>
        <w:tab/>
        <w:t xml:space="preserve">Jha AK, Joynt KE, Orav EJ, Epstein AM. The long-term effect of premier pay for performance on patient outcomes. N Engl J Med. 2012 Apr;366(17):1606–15.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20. </w:t>
      </w:r>
      <w:r w:rsidRPr="00315540">
        <w:rPr>
          <w:rFonts w:ascii="Calibri" w:hAnsi="Calibri" w:cs="Times New Roman"/>
          <w:noProof/>
          <w:szCs w:val="24"/>
        </w:rPr>
        <w:tab/>
        <w:t xml:space="preserve">Joynt KE, Blumenthal DM, Orav EJ, Resnic FS, Jha AK. Association of public reporting for percutaneous coronary intervention with utilization and outcomes among Medicare beneficiaries with acute myocardial infarction. JAMA. 2012;308(14):1460–8.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21. </w:t>
      </w:r>
      <w:r w:rsidRPr="00315540">
        <w:rPr>
          <w:rFonts w:ascii="Calibri" w:hAnsi="Calibri" w:cs="Times New Roman"/>
          <w:noProof/>
          <w:szCs w:val="24"/>
        </w:rPr>
        <w:tab/>
        <w:t xml:space="preserve">Renzi C, Sorge C, Fusco D, Agabiti N, Davoli M, Perucci C a. Reporting of quality indicators and improvement in hospital performance: the P.Re.Val.E. Regional Outcome Evaluation Program. Health Serv Res. 2012 Oct;47(5):1880–901.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22. </w:t>
      </w:r>
      <w:r w:rsidRPr="00315540">
        <w:rPr>
          <w:rFonts w:ascii="Calibri" w:hAnsi="Calibri" w:cs="Times New Roman"/>
          <w:noProof/>
          <w:szCs w:val="24"/>
        </w:rPr>
        <w:tab/>
        <w:t xml:space="preserve">Ryan AM, Nallamothu BK, Dimick JB. Medicare’s public reporting initiative on hospital quality had modest or no impact on mortality from three key conditions. Health Aff (Millwood). 2012 Mar;31(3):585–92.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23. </w:t>
      </w:r>
      <w:r w:rsidRPr="00315540">
        <w:rPr>
          <w:rFonts w:ascii="Calibri" w:hAnsi="Calibri" w:cs="Times New Roman"/>
          <w:noProof/>
          <w:szCs w:val="24"/>
        </w:rPr>
        <w:tab/>
        <w:t>Linkin DR, Fishman NO, Shea JA, Yang W, Cary MS, Lautenbach E. Public reporting of hospital-acquired infections is not associated with improved processes or outcomes. Infect Control Hosp Epidemiol [Internet]. 2013;34(8):844–6. Available from: http://www.pubmedcentral.nih.gov/articlerender.fcgi?artid=3979462&amp;tool=pmcentrez&amp;rendertype=abstract</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24. </w:t>
      </w:r>
      <w:r w:rsidRPr="00315540">
        <w:rPr>
          <w:rFonts w:ascii="Calibri" w:hAnsi="Calibri" w:cs="Times New Roman"/>
          <w:noProof/>
          <w:szCs w:val="24"/>
        </w:rPr>
        <w:tab/>
        <w:t xml:space="preserve">McCabe JM, Joynt KE, Welt FGP, Resnic FS. Impact of public reporting and outlier status identification on percutaneous coronary intervention case selection in Massachusetts. JACC Cardiovasc Interv. 2013 Jun;6(6):625–30.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25. </w:t>
      </w:r>
      <w:r w:rsidRPr="00315540">
        <w:rPr>
          <w:rFonts w:ascii="Calibri" w:hAnsi="Calibri" w:cs="Times New Roman"/>
          <w:noProof/>
          <w:szCs w:val="24"/>
        </w:rPr>
        <w:tab/>
        <w:t xml:space="preserve">Marsteller JA, Hsu Y-J, Weeks K. Evaluating the impact of mandatory public reporting on participation and performance in a program to reduce central line-associated bloodstream infections: evidence from a national patient safety collaborative. Am J Infect Control. 2014 Oct;42(10 Suppl):S209–15. </w:t>
      </w:r>
    </w:p>
    <w:p w:rsidR="00315540" w:rsidRPr="00315540" w:rsidRDefault="00315540" w:rsidP="00315540">
      <w:pPr>
        <w:widowControl w:val="0"/>
        <w:autoSpaceDE w:val="0"/>
        <w:autoSpaceDN w:val="0"/>
        <w:adjustRightInd w:val="0"/>
        <w:spacing w:line="240" w:lineRule="auto"/>
        <w:ind w:left="640" w:hanging="640"/>
        <w:rPr>
          <w:rFonts w:ascii="Calibri" w:hAnsi="Calibri" w:cs="Times New Roman"/>
          <w:noProof/>
          <w:szCs w:val="24"/>
        </w:rPr>
      </w:pPr>
      <w:r w:rsidRPr="00315540">
        <w:rPr>
          <w:rFonts w:ascii="Calibri" w:hAnsi="Calibri" w:cs="Times New Roman"/>
          <w:noProof/>
          <w:szCs w:val="24"/>
        </w:rPr>
        <w:t xml:space="preserve">26. </w:t>
      </w:r>
      <w:r w:rsidRPr="00315540">
        <w:rPr>
          <w:rFonts w:ascii="Calibri" w:hAnsi="Calibri" w:cs="Times New Roman"/>
          <w:noProof/>
          <w:szCs w:val="24"/>
        </w:rPr>
        <w:tab/>
        <w:t>Yang L, Liu C, Wang L, Yin X, Zhang X. Public reporting improves antibiotic prescribing for upper respiratory tract infections in primary care: a matched-</w:t>
      </w:r>
      <w:r w:rsidRPr="00315540">
        <w:rPr>
          <w:rFonts w:ascii="Calibri" w:hAnsi="Calibri" w:cs="Times New Roman"/>
          <w:noProof/>
          <w:szCs w:val="24"/>
        </w:rPr>
        <w:lastRenderedPageBreak/>
        <w:t xml:space="preserve">pair cluster-randomized trial in China. Health Res Policy Syst. 2014 Jan;12(1):61. </w:t>
      </w:r>
    </w:p>
    <w:p w:rsidR="00315540" w:rsidRPr="00315540" w:rsidRDefault="00315540" w:rsidP="00315540">
      <w:pPr>
        <w:widowControl w:val="0"/>
        <w:autoSpaceDE w:val="0"/>
        <w:autoSpaceDN w:val="0"/>
        <w:adjustRightInd w:val="0"/>
        <w:spacing w:line="240" w:lineRule="auto"/>
        <w:ind w:left="640" w:hanging="640"/>
        <w:rPr>
          <w:rFonts w:ascii="Calibri" w:hAnsi="Calibri"/>
          <w:noProof/>
        </w:rPr>
      </w:pPr>
      <w:r w:rsidRPr="00315540">
        <w:rPr>
          <w:rFonts w:ascii="Calibri" w:hAnsi="Calibri" w:cs="Times New Roman"/>
          <w:noProof/>
          <w:szCs w:val="24"/>
        </w:rPr>
        <w:t xml:space="preserve">27. </w:t>
      </w:r>
      <w:r w:rsidRPr="00315540">
        <w:rPr>
          <w:rFonts w:ascii="Calibri" w:hAnsi="Calibri" w:cs="Times New Roman"/>
          <w:noProof/>
          <w:szCs w:val="24"/>
        </w:rPr>
        <w:tab/>
        <w:t xml:space="preserve">Wang X, Tang Y, Zhang X, Yin X, Du X, Zhang X. Effect of publicly reporting performance data of medicine use on injection use: a quasi-experimental study. PLoS One. 2014 Jan;9(10):e109594. </w:t>
      </w:r>
    </w:p>
    <w:p w:rsidR="00BE2A18" w:rsidRDefault="00BE2A18" w:rsidP="00315540">
      <w:pPr>
        <w:widowControl w:val="0"/>
        <w:autoSpaceDE w:val="0"/>
        <w:autoSpaceDN w:val="0"/>
        <w:adjustRightInd w:val="0"/>
        <w:spacing w:line="240" w:lineRule="auto"/>
        <w:ind w:left="640" w:hanging="640"/>
      </w:pPr>
      <w:r>
        <w:fldChar w:fldCharType="end"/>
      </w:r>
    </w:p>
    <w:sectPr w:rsidR="00BE2A18" w:rsidSect="00BE2A18">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EE" w:rsidRDefault="00673BEE" w:rsidP="00BE2A18">
      <w:pPr>
        <w:spacing w:after="0" w:line="240" w:lineRule="auto"/>
      </w:pPr>
      <w:r>
        <w:separator/>
      </w:r>
    </w:p>
  </w:endnote>
  <w:endnote w:type="continuationSeparator" w:id="0">
    <w:p w:rsidR="00673BEE" w:rsidRDefault="00673BEE" w:rsidP="00BE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64522"/>
      <w:docPartObj>
        <w:docPartGallery w:val="Page Numbers (Bottom of Page)"/>
        <w:docPartUnique/>
      </w:docPartObj>
    </w:sdtPr>
    <w:sdtEndPr/>
    <w:sdtContent>
      <w:p w:rsidR="00BE2A18" w:rsidRDefault="00BE2A18">
        <w:pPr>
          <w:pStyle w:val="Pidipagina"/>
          <w:jc w:val="right"/>
        </w:pPr>
        <w:r>
          <w:fldChar w:fldCharType="begin"/>
        </w:r>
        <w:r>
          <w:instrText>PAGE   \* MERGEFORMAT</w:instrText>
        </w:r>
        <w:r>
          <w:fldChar w:fldCharType="separate"/>
        </w:r>
        <w:r w:rsidR="005B6C21">
          <w:rPr>
            <w:noProof/>
          </w:rPr>
          <w:t>8</w:t>
        </w:r>
        <w:r>
          <w:fldChar w:fldCharType="end"/>
        </w:r>
      </w:p>
    </w:sdtContent>
  </w:sdt>
  <w:p w:rsidR="00BE2A18" w:rsidRDefault="00BE2A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EE" w:rsidRDefault="00673BEE" w:rsidP="00BE2A18">
      <w:pPr>
        <w:spacing w:after="0" w:line="240" w:lineRule="auto"/>
      </w:pPr>
      <w:r>
        <w:separator/>
      </w:r>
    </w:p>
  </w:footnote>
  <w:footnote w:type="continuationSeparator" w:id="0">
    <w:p w:rsidR="00673BEE" w:rsidRDefault="00673BEE" w:rsidP="00BE2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18"/>
    <w:rsid w:val="00315540"/>
    <w:rsid w:val="005B6C21"/>
    <w:rsid w:val="00673BEE"/>
    <w:rsid w:val="00A30BA9"/>
    <w:rsid w:val="00AE6B26"/>
    <w:rsid w:val="00BE2A18"/>
    <w:rsid w:val="00E677D2"/>
    <w:rsid w:val="00FA5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2A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2A18"/>
  </w:style>
  <w:style w:type="paragraph" w:styleId="Pidipagina">
    <w:name w:val="footer"/>
    <w:basedOn w:val="Normale"/>
    <w:link w:val="PidipaginaCarattere"/>
    <w:uiPriority w:val="99"/>
    <w:unhideWhenUsed/>
    <w:rsid w:val="00BE2A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2A18"/>
  </w:style>
  <w:style w:type="table" w:styleId="Grigliatabella">
    <w:name w:val="Table Grid"/>
    <w:basedOn w:val="Tabellanormale"/>
    <w:uiPriority w:val="59"/>
    <w:rsid w:val="00BE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2A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2A18"/>
  </w:style>
  <w:style w:type="paragraph" w:styleId="Pidipagina">
    <w:name w:val="footer"/>
    <w:basedOn w:val="Normale"/>
    <w:link w:val="PidipaginaCarattere"/>
    <w:uiPriority w:val="99"/>
    <w:unhideWhenUsed/>
    <w:rsid w:val="00BE2A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2A18"/>
  </w:style>
  <w:style w:type="table" w:styleId="Grigliatabella">
    <w:name w:val="Table Grid"/>
    <w:basedOn w:val="Tabellanormale"/>
    <w:uiPriority w:val="59"/>
    <w:rsid w:val="00BE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028">
      <w:bodyDiv w:val="1"/>
      <w:marLeft w:val="0"/>
      <w:marRight w:val="0"/>
      <w:marTop w:val="0"/>
      <w:marBottom w:val="0"/>
      <w:divBdr>
        <w:top w:val="none" w:sz="0" w:space="0" w:color="auto"/>
        <w:left w:val="none" w:sz="0" w:space="0" w:color="auto"/>
        <w:bottom w:val="none" w:sz="0" w:space="0" w:color="auto"/>
        <w:right w:val="none" w:sz="0" w:space="0" w:color="auto"/>
      </w:divBdr>
    </w:div>
    <w:div w:id="381056144">
      <w:bodyDiv w:val="1"/>
      <w:marLeft w:val="0"/>
      <w:marRight w:val="0"/>
      <w:marTop w:val="0"/>
      <w:marBottom w:val="0"/>
      <w:divBdr>
        <w:top w:val="none" w:sz="0" w:space="0" w:color="auto"/>
        <w:left w:val="none" w:sz="0" w:space="0" w:color="auto"/>
        <w:bottom w:val="none" w:sz="0" w:space="0" w:color="auto"/>
        <w:right w:val="none" w:sz="0" w:space="0" w:color="auto"/>
      </w:divBdr>
    </w:div>
    <w:div w:id="880241384">
      <w:bodyDiv w:val="1"/>
      <w:marLeft w:val="0"/>
      <w:marRight w:val="0"/>
      <w:marTop w:val="0"/>
      <w:marBottom w:val="0"/>
      <w:divBdr>
        <w:top w:val="none" w:sz="0" w:space="0" w:color="auto"/>
        <w:left w:val="none" w:sz="0" w:space="0" w:color="auto"/>
        <w:bottom w:val="none" w:sz="0" w:space="0" w:color="auto"/>
        <w:right w:val="none" w:sz="0" w:space="0" w:color="auto"/>
      </w:divBdr>
    </w:div>
    <w:div w:id="19037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6F23-9472-43D2-80F7-9A5E5D31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14077</Words>
  <Characters>80241</Characters>
  <Application>Microsoft Office Word</Application>
  <DocSecurity>0</DocSecurity>
  <Lines>668</Lines>
  <Paragraphs>188</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94130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149386</dc:creator>
  <cp:lastModifiedBy>149386</cp:lastModifiedBy>
  <cp:revision>4</cp:revision>
  <dcterms:created xsi:type="dcterms:W3CDTF">2016-05-24T10:47:00Z</dcterms:created>
  <dcterms:modified xsi:type="dcterms:W3CDTF">2016-05-24T11:12:00Z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vladavukovic@yahoo.com@www.mendeley.com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http://www.zotero.org/styles/health-services-research</vt:lpwstr>
  </property>
  <property fmtid="{D5CDD505-2E9C-101B-9397-08002B2CF9AE}" pid="14" name="Mendeley Recent Style Name 4_1">
    <vt:lpwstr>Health Services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