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CDE2" w14:textId="77777777" w:rsidR="007B4F89" w:rsidRPr="007B4F89" w:rsidRDefault="007B4F89" w:rsidP="007B4F89">
      <w:pPr>
        <w:pStyle w:val="BodyText"/>
        <w:spacing w:line="240" w:lineRule="auto"/>
        <w:ind w:left="360"/>
        <w:jc w:val="center"/>
        <w:rPr>
          <w:rFonts w:ascii="Verdana" w:hAnsi="Verdana"/>
          <w:color w:val="auto"/>
          <w:sz w:val="28"/>
        </w:rPr>
      </w:pPr>
      <w:r w:rsidRPr="007B4F89">
        <w:rPr>
          <w:rFonts w:ascii="Verdana" w:hAnsi="Verdana"/>
          <w:color w:val="auto"/>
          <w:sz w:val="28"/>
        </w:rPr>
        <w:t xml:space="preserve">Treatment of Canine Atopic Dermatitis: </w:t>
      </w:r>
    </w:p>
    <w:p w14:paraId="118627A7" w14:textId="299FDEE9" w:rsidR="007B4F89" w:rsidRPr="007B4F89" w:rsidRDefault="007B4F89" w:rsidP="007B4F89">
      <w:pPr>
        <w:pStyle w:val="BodyText"/>
        <w:spacing w:line="240" w:lineRule="auto"/>
        <w:ind w:left="360"/>
        <w:jc w:val="center"/>
        <w:rPr>
          <w:rFonts w:ascii="Verdana" w:hAnsi="Verdana"/>
          <w:color w:val="auto"/>
          <w:sz w:val="28"/>
        </w:rPr>
      </w:pPr>
      <w:r>
        <w:rPr>
          <w:rFonts w:ascii="Verdana" w:hAnsi="Verdana"/>
          <w:color w:val="auto"/>
          <w:sz w:val="28"/>
        </w:rPr>
        <w:t>Summary Statement of 2015 Guidelines</w:t>
      </w:r>
    </w:p>
    <w:p w14:paraId="79069CA7" w14:textId="77777777" w:rsidR="007B4F89" w:rsidRDefault="007B4F89" w:rsidP="00046D3A">
      <w:pPr>
        <w:spacing w:line="240" w:lineRule="auto"/>
        <w:jc w:val="center"/>
        <w:rPr>
          <w:rFonts w:ascii="Verdana" w:hAnsi="Verdana"/>
          <w:sz w:val="22"/>
        </w:rPr>
      </w:pPr>
    </w:p>
    <w:p w14:paraId="04264AFA" w14:textId="70FAB805" w:rsidR="00046D3A" w:rsidRPr="007B4F89" w:rsidRDefault="007B4F89" w:rsidP="007B4F89">
      <w:pPr>
        <w:spacing w:line="240" w:lineRule="auto"/>
        <w:rPr>
          <w:rFonts w:ascii="Verdana" w:hAnsi="Verdana"/>
          <w:sz w:val="20"/>
        </w:rPr>
      </w:pPr>
      <w:r w:rsidRPr="007B4F89">
        <w:rPr>
          <w:rFonts w:ascii="Verdana" w:hAnsi="Verdana"/>
          <w:i/>
          <w:sz w:val="20"/>
        </w:rPr>
        <w:t>Preamble</w:t>
      </w:r>
      <w:r w:rsidR="00046D3A" w:rsidRPr="007B4F89">
        <w:rPr>
          <w:rFonts w:ascii="Verdana" w:hAnsi="Verdana"/>
          <w:sz w:val="20"/>
        </w:rPr>
        <w:t xml:space="preserve">: it is unlikely that a single intervention will be effective to treat AD in every dog. </w:t>
      </w:r>
      <w:r w:rsidRPr="007B4F89">
        <w:rPr>
          <w:rFonts w:ascii="Verdana" w:hAnsi="Verdana"/>
          <w:sz w:val="20"/>
        </w:rPr>
        <w:t>Veterinarians</w:t>
      </w:r>
      <w:r w:rsidR="00046D3A" w:rsidRPr="007B4F89">
        <w:rPr>
          <w:rFonts w:ascii="Verdana" w:hAnsi="Verdana"/>
          <w:sz w:val="20"/>
        </w:rPr>
        <w:t xml:space="preserve"> should consider </w:t>
      </w:r>
      <w:r w:rsidRPr="007B4F89">
        <w:rPr>
          <w:rFonts w:ascii="Verdana" w:hAnsi="Verdana"/>
          <w:sz w:val="20"/>
        </w:rPr>
        <w:t>combining</w:t>
      </w:r>
      <w:r w:rsidR="00046D3A" w:rsidRPr="007B4F89">
        <w:rPr>
          <w:rFonts w:ascii="Verdana" w:hAnsi="Verdana"/>
          <w:sz w:val="20"/>
        </w:rPr>
        <w:t xml:space="preserve"> intervent</w:t>
      </w:r>
      <w:r w:rsidRPr="007B4F89">
        <w:rPr>
          <w:rFonts w:ascii="Verdana" w:hAnsi="Verdana"/>
          <w:sz w:val="20"/>
        </w:rPr>
        <w:t xml:space="preserve">ions to maximize benefit while </w:t>
      </w:r>
      <w:r w:rsidR="00046D3A" w:rsidRPr="007B4F89">
        <w:rPr>
          <w:rFonts w:ascii="Verdana" w:hAnsi="Verdana"/>
          <w:sz w:val="20"/>
        </w:rPr>
        <w:t>minimizing cost and adverse drug events.</w:t>
      </w:r>
    </w:p>
    <w:p w14:paraId="05CDD7B9" w14:textId="77777777" w:rsidR="007B4F89" w:rsidRPr="007B4F89" w:rsidRDefault="007B4F89" w:rsidP="007B4F89">
      <w:pPr>
        <w:spacing w:after="60" w:line="240" w:lineRule="auto"/>
        <w:jc w:val="center"/>
        <w:rPr>
          <w:rFonts w:ascii="Verdana" w:hAnsi="Verdana"/>
          <w:sz w:val="22"/>
        </w:rPr>
      </w:pPr>
    </w:p>
    <w:p w14:paraId="4C170973" w14:textId="77777777" w:rsidR="00046D3A" w:rsidRPr="007B4F89" w:rsidRDefault="00046D3A" w:rsidP="007B4F89">
      <w:pPr>
        <w:numPr>
          <w:ilvl w:val="0"/>
          <w:numId w:val="1"/>
        </w:numPr>
        <w:spacing w:after="60" w:line="240" w:lineRule="auto"/>
        <w:rPr>
          <w:rFonts w:ascii="Verdana" w:hAnsi="Verdana"/>
          <w:b/>
        </w:rPr>
      </w:pPr>
      <w:r w:rsidRPr="007B4F89">
        <w:rPr>
          <w:rFonts w:ascii="Verdana" w:hAnsi="Verdana"/>
          <w:b/>
        </w:rPr>
        <w:t>Treatment of acute flares of canine atopic dermatitis:</w:t>
      </w:r>
    </w:p>
    <w:p w14:paraId="2AD25632" w14:textId="77777777" w:rsidR="00046D3A" w:rsidRPr="007B4F89" w:rsidRDefault="00046D3A" w:rsidP="007B4F89">
      <w:pPr>
        <w:numPr>
          <w:ilvl w:val="1"/>
          <w:numId w:val="1"/>
        </w:numPr>
        <w:spacing w:after="60" w:line="240" w:lineRule="auto"/>
        <w:rPr>
          <w:rFonts w:ascii="Verdana" w:hAnsi="Verdana"/>
          <w:i/>
          <w:sz w:val="22"/>
        </w:rPr>
      </w:pPr>
      <w:bookmarkStart w:id="0" w:name="_GoBack"/>
      <w:r w:rsidRPr="007B4F89">
        <w:rPr>
          <w:rFonts w:ascii="Verdana" w:hAnsi="Verdana"/>
          <w:i/>
          <w:sz w:val="22"/>
        </w:rPr>
        <w:t>Identification and avoidance of flare factors:</w:t>
      </w:r>
    </w:p>
    <w:bookmarkEnd w:id="0"/>
    <w:p w14:paraId="624198B3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 xml:space="preserve">Identification and elimination, whenever possible, of allergenic flare factors (fleas, food and environmental allergens) </w:t>
      </w:r>
    </w:p>
    <w:p w14:paraId="098BF162" w14:textId="44D98CA1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>Evaluation of use of antimicrobial therapy if clinical signs of infection with bacteria or yeast are present on the skin or in the ears</w:t>
      </w:r>
    </w:p>
    <w:p w14:paraId="58B7F4B9" w14:textId="77777777" w:rsidR="00046D3A" w:rsidRPr="007B4F89" w:rsidRDefault="00046D3A" w:rsidP="007B4F89">
      <w:pPr>
        <w:numPr>
          <w:ilvl w:val="1"/>
          <w:numId w:val="1"/>
        </w:numPr>
        <w:spacing w:after="60" w:line="240" w:lineRule="auto"/>
        <w:rPr>
          <w:rFonts w:ascii="Verdana" w:hAnsi="Verdana"/>
          <w:i/>
          <w:sz w:val="22"/>
        </w:rPr>
      </w:pPr>
      <w:r w:rsidRPr="007B4F89">
        <w:rPr>
          <w:rFonts w:ascii="Verdana" w:hAnsi="Verdana"/>
          <w:i/>
          <w:sz w:val="22"/>
        </w:rPr>
        <w:t>Improvement in skin and coat hygiene and care:</w:t>
      </w:r>
    </w:p>
    <w:p w14:paraId="243438EC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>Bathing with a non-irritating shampoo</w:t>
      </w:r>
    </w:p>
    <w:p w14:paraId="027875CD" w14:textId="77777777" w:rsidR="00046D3A" w:rsidRPr="007B4F89" w:rsidRDefault="00046D3A" w:rsidP="007B4F89">
      <w:pPr>
        <w:numPr>
          <w:ilvl w:val="1"/>
          <w:numId w:val="1"/>
        </w:numPr>
        <w:spacing w:after="60" w:line="240" w:lineRule="auto"/>
        <w:rPr>
          <w:rFonts w:ascii="Verdana" w:hAnsi="Verdana"/>
          <w:i/>
          <w:sz w:val="22"/>
        </w:rPr>
      </w:pPr>
      <w:r w:rsidRPr="007B4F89">
        <w:rPr>
          <w:rFonts w:ascii="Verdana" w:hAnsi="Verdana"/>
          <w:i/>
          <w:sz w:val="22"/>
        </w:rPr>
        <w:t>Reduction of pruritus and skin lesions with pharmacological agents:</w:t>
      </w:r>
    </w:p>
    <w:p w14:paraId="624BF88F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>Treatment with topical glucocorticoids, especially for localized lesions, as needed to control signs</w:t>
      </w:r>
    </w:p>
    <w:p w14:paraId="178B83E9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 xml:space="preserve">Treatment with oral glucocorticoids or </w:t>
      </w:r>
      <w:proofErr w:type="spellStart"/>
      <w:r w:rsidRPr="007B4F89">
        <w:rPr>
          <w:rFonts w:ascii="Verdana" w:hAnsi="Verdana"/>
          <w:sz w:val="22"/>
        </w:rPr>
        <w:t>oclacitinib</w:t>
      </w:r>
      <w:proofErr w:type="spellEnd"/>
      <w:r w:rsidRPr="007B4F89">
        <w:rPr>
          <w:rFonts w:ascii="Verdana" w:hAnsi="Verdana"/>
          <w:sz w:val="22"/>
        </w:rPr>
        <w:t>, especially for widespread or severe lesions, as needed to control signs</w:t>
      </w:r>
    </w:p>
    <w:p w14:paraId="5E5032B9" w14:textId="77777777" w:rsidR="00046D3A" w:rsidRPr="007B4F89" w:rsidRDefault="00046D3A" w:rsidP="007B4F89">
      <w:pPr>
        <w:spacing w:after="60" w:line="240" w:lineRule="auto"/>
        <w:ind w:left="1800"/>
        <w:rPr>
          <w:rFonts w:ascii="Verdana" w:hAnsi="Verdana"/>
          <w:sz w:val="22"/>
        </w:rPr>
      </w:pPr>
    </w:p>
    <w:p w14:paraId="45B6BC12" w14:textId="77777777" w:rsidR="00046D3A" w:rsidRPr="007B4F89" w:rsidRDefault="00046D3A" w:rsidP="007B4F89">
      <w:pPr>
        <w:numPr>
          <w:ilvl w:val="0"/>
          <w:numId w:val="1"/>
        </w:numPr>
        <w:spacing w:after="60" w:line="240" w:lineRule="auto"/>
        <w:rPr>
          <w:rFonts w:ascii="Verdana" w:hAnsi="Verdana"/>
          <w:b/>
        </w:rPr>
      </w:pPr>
      <w:r w:rsidRPr="007B4F89">
        <w:rPr>
          <w:rFonts w:ascii="Verdana" w:hAnsi="Verdana"/>
          <w:b/>
        </w:rPr>
        <w:t>Treatment of chronic canine atopic dermatitis:</w:t>
      </w:r>
    </w:p>
    <w:p w14:paraId="0E59E8B7" w14:textId="77777777" w:rsidR="00046D3A" w:rsidRPr="007B4F89" w:rsidRDefault="00046D3A" w:rsidP="007B4F89">
      <w:pPr>
        <w:numPr>
          <w:ilvl w:val="1"/>
          <w:numId w:val="1"/>
        </w:numPr>
        <w:spacing w:after="60" w:line="240" w:lineRule="auto"/>
        <w:rPr>
          <w:rFonts w:ascii="Verdana" w:hAnsi="Verdana"/>
          <w:i/>
          <w:sz w:val="22"/>
        </w:rPr>
      </w:pPr>
      <w:r w:rsidRPr="007B4F89">
        <w:rPr>
          <w:rFonts w:ascii="Verdana" w:hAnsi="Verdana"/>
          <w:i/>
          <w:sz w:val="22"/>
        </w:rPr>
        <w:t>Identification and avoidance of flare factors:</w:t>
      </w:r>
    </w:p>
    <w:p w14:paraId="2A4176B8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 xml:space="preserve">Dietary restriction-provocation trials in dogs with </w:t>
      </w:r>
      <w:proofErr w:type="spellStart"/>
      <w:r w:rsidRPr="007B4F89">
        <w:rPr>
          <w:rFonts w:ascii="Verdana" w:hAnsi="Verdana"/>
          <w:sz w:val="22"/>
        </w:rPr>
        <w:t>nonseasonal</w:t>
      </w:r>
      <w:proofErr w:type="spellEnd"/>
      <w:r w:rsidRPr="007B4F89">
        <w:rPr>
          <w:rFonts w:ascii="Verdana" w:hAnsi="Verdana"/>
          <w:sz w:val="22"/>
        </w:rPr>
        <w:t xml:space="preserve"> signs </w:t>
      </w:r>
    </w:p>
    <w:p w14:paraId="2C743A33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>Implementation of an effective flea control regimen in areas where fleas are present</w:t>
      </w:r>
    </w:p>
    <w:p w14:paraId="01E989B4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 xml:space="preserve">Performance of allergen-specific intradermal and/or </w:t>
      </w:r>
      <w:proofErr w:type="spellStart"/>
      <w:r w:rsidRPr="007B4F89">
        <w:rPr>
          <w:rFonts w:ascii="Verdana" w:hAnsi="Verdana"/>
          <w:sz w:val="22"/>
        </w:rPr>
        <w:t>IgE</w:t>
      </w:r>
      <w:proofErr w:type="spellEnd"/>
      <w:r w:rsidRPr="007B4F89">
        <w:rPr>
          <w:rFonts w:ascii="Verdana" w:hAnsi="Verdana"/>
          <w:sz w:val="22"/>
        </w:rPr>
        <w:t xml:space="preserve"> serological tests to identify possible environmental allergen flare factors</w:t>
      </w:r>
    </w:p>
    <w:p w14:paraId="77546354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>Possible implementation of house dust mite or other allergen control measures, if relevant and feasible</w:t>
      </w:r>
    </w:p>
    <w:p w14:paraId="7B737C69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>Evaluation of use of antimicrobial therapy if signs of infection or colonization with bacteria or yeast are present on the skin or in the ears</w:t>
      </w:r>
    </w:p>
    <w:p w14:paraId="1878B278" w14:textId="77777777" w:rsidR="00046D3A" w:rsidRPr="007B4F89" w:rsidRDefault="00046D3A" w:rsidP="007B4F89">
      <w:pPr>
        <w:numPr>
          <w:ilvl w:val="1"/>
          <w:numId w:val="1"/>
        </w:numPr>
        <w:spacing w:after="60" w:line="240" w:lineRule="auto"/>
        <w:rPr>
          <w:rFonts w:ascii="Verdana" w:hAnsi="Verdana"/>
          <w:i/>
          <w:sz w:val="22"/>
        </w:rPr>
      </w:pPr>
      <w:r w:rsidRPr="007B4F89">
        <w:rPr>
          <w:rFonts w:ascii="Verdana" w:hAnsi="Verdana"/>
          <w:i/>
          <w:sz w:val="22"/>
        </w:rPr>
        <w:t>Improvement in skin and coat hygiene and care:</w:t>
      </w:r>
    </w:p>
    <w:p w14:paraId="696375D7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 xml:space="preserve">Bathing with a non-irritating shampoo or an </w:t>
      </w:r>
      <w:proofErr w:type="spellStart"/>
      <w:r w:rsidRPr="007B4F89">
        <w:rPr>
          <w:rFonts w:ascii="Verdana" w:hAnsi="Verdana"/>
          <w:sz w:val="22"/>
        </w:rPr>
        <w:t>antiseborrheic</w:t>
      </w:r>
      <w:proofErr w:type="spellEnd"/>
      <w:r w:rsidRPr="007B4F89">
        <w:rPr>
          <w:rFonts w:ascii="Verdana" w:hAnsi="Verdana"/>
          <w:sz w:val="22"/>
        </w:rPr>
        <w:t>/antimicrobial shampoo, depending on the skin lesions seen</w:t>
      </w:r>
    </w:p>
    <w:p w14:paraId="27ACA78D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>Dietary supplementation with essential fatty acids</w:t>
      </w:r>
    </w:p>
    <w:p w14:paraId="25A49C06" w14:textId="77777777" w:rsidR="00046D3A" w:rsidRPr="007B4F89" w:rsidRDefault="00046D3A" w:rsidP="007B4F89">
      <w:pPr>
        <w:numPr>
          <w:ilvl w:val="1"/>
          <w:numId w:val="1"/>
        </w:numPr>
        <w:spacing w:after="60" w:line="240" w:lineRule="auto"/>
        <w:rPr>
          <w:rFonts w:ascii="Verdana" w:hAnsi="Verdana"/>
          <w:i/>
          <w:sz w:val="22"/>
        </w:rPr>
      </w:pPr>
      <w:r w:rsidRPr="007B4F89">
        <w:rPr>
          <w:rFonts w:ascii="Verdana" w:hAnsi="Verdana"/>
          <w:i/>
          <w:sz w:val="22"/>
        </w:rPr>
        <w:lastRenderedPageBreak/>
        <w:t>Reduction of pruritus and skin lesions with pharmacological or biological agents:</w:t>
      </w:r>
    </w:p>
    <w:p w14:paraId="370256D1" w14:textId="03574768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>Treatment with topical glucocorticoids especially for localized lesions, as needed to control signs</w:t>
      </w:r>
    </w:p>
    <w:p w14:paraId="6FC95216" w14:textId="55D05AB6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 xml:space="preserve">Treatment with oral </w:t>
      </w:r>
      <w:r w:rsidR="007B4F89">
        <w:rPr>
          <w:rFonts w:ascii="Verdana" w:hAnsi="Verdana"/>
          <w:sz w:val="22"/>
        </w:rPr>
        <w:t xml:space="preserve">glucocorticoids, </w:t>
      </w:r>
      <w:proofErr w:type="spellStart"/>
      <w:r w:rsidR="007B4F89">
        <w:rPr>
          <w:rFonts w:ascii="Verdana" w:hAnsi="Verdana"/>
          <w:sz w:val="22"/>
        </w:rPr>
        <w:t>ciclosporin</w:t>
      </w:r>
      <w:proofErr w:type="spellEnd"/>
      <w:r w:rsidR="007B4F89">
        <w:rPr>
          <w:rFonts w:ascii="Verdana" w:hAnsi="Verdana"/>
          <w:sz w:val="22"/>
        </w:rPr>
        <w:t xml:space="preserve">, </w:t>
      </w:r>
      <w:proofErr w:type="spellStart"/>
      <w:r w:rsidRPr="007B4F89">
        <w:rPr>
          <w:rFonts w:ascii="Verdana" w:hAnsi="Verdana"/>
          <w:sz w:val="22"/>
        </w:rPr>
        <w:t>oclacitinib</w:t>
      </w:r>
      <w:proofErr w:type="spellEnd"/>
      <w:r w:rsidR="007B4F89">
        <w:rPr>
          <w:rFonts w:ascii="Verdana" w:hAnsi="Verdana"/>
          <w:sz w:val="22"/>
        </w:rPr>
        <w:t xml:space="preserve"> or injectable </w:t>
      </w:r>
      <w:proofErr w:type="spellStart"/>
      <w:r w:rsidR="007B4F89">
        <w:rPr>
          <w:rFonts w:ascii="Verdana" w:hAnsi="Verdana"/>
          <w:sz w:val="22"/>
        </w:rPr>
        <w:t>interferons</w:t>
      </w:r>
      <w:proofErr w:type="spellEnd"/>
      <w:r w:rsidR="007B4F89">
        <w:rPr>
          <w:rFonts w:ascii="Verdana" w:hAnsi="Verdana"/>
          <w:sz w:val="22"/>
        </w:rPr>
        <w:t xml:space="preserve"> (where available)</w:t>
      </w:r>
      <w:r w:rsidRPr="007B4F89">
        <w:rPr>
          <w:rFonts w:ascii="Verdana" w:hAnsi="Verdana"/>
          <w:sz w:val="22"/>
        </w:rPr>
        <w:t>, especially for widespread or severe lesi</w:t>
      </w:r>
      <w:r w:rsidR="007B4F89">
        <w:rPr>
          <w:rFonts w:ascii="Verdana" w:hAnsi="Verdana"/>
          <w:sz w:val="22"/>
        </w:rPr>
        <w:t xml:space="preserve">ons, as needed to control signs. </w:t>
      </w:r>
      <w:r w:rsidRPr="007B4F89">
        <w:rPr>
          <w:rFonts w:ascii="Verdana" w:hAnsi="Verdana"/>
          <w:sz w:val="22"/>
        </w:rPr>
        <w:t xml:space="preserve">These </w:t>
      </w:r>
      <w:r w:rsidR="007B4F89">
        <w:rPr>
          <w:rFonts w:ascii="Verdana" w:hAnsi="Verdana"/>
          <w:sz w:val="22"/>
        </w:rPr>
        <w:t>drugs</w:t>
      </w:r>
      <w:r w:rsidRPr="007B4F89">
        <w:rPr>
          <w:rFonts w:ascii="Verdana" w:hAnsi="Verdana"/>
          <w:sz w:val="22"/>
        </w:rPr>
        <w:t xml:space="preserve"> </w:t>
      </w:r>
      <w:r w:rsidR="007B4F89">
        <w:rPr>
          <w:rFonts w:ascii="Verdana" w:hAnsi="Verdana"/>
          <w:sz w:val="22"/>
        </w:rPr>
        <w:t>should not be combined together in the long term to reduce the risk of immunosuppression</w:t>
      </w:r>
    </w:p>
    <w:p w14:paraId="6C5F9676" w14:textId="42B840F8" w:rsidR="00046D3A" w:rsidRPr="007B4F89" w:rsidRDefault="007B4F89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Trial of </w:t>
      </w:r>
      <w:r w:rsidR="00046D3A" w:rsidRPr="007B4F89">
        <w:rPr>
          <w:rFonts w:ascii="Verdana" w:hAnsi="Verdana"/>
          <w:sz w:val="22"/>
        </w:rPr>
        <w:t>EFAs and antihistamines</w:t>
      </w:r>
      <w:r>
        <w:rPr>
          <w:rFonts w:ascii="Verdana" w:hAnsi="Verdana"/>
          <w:sz w:val="22"/>
        </w:rPr>
        <w:t xml:space="preserve"> as glucocorticoid-sparing agents if these</w:t>
      </w:r>
      <w:r w:rsidR="00046D3A" w:rsidRPr="007B4F89">
        <w:rPr>
          <w:rFonts w:ascii="Verdana" w:hAnsi="Verdana"/>
          <w:sz w:val="22"/>
        </w:rPr>
        <w:t xml:space="preserve"> are being used </w:t>
      </w:r>
      <w:r>
        <w:rPr>
          <w:rFonts w:ascii="Verdana" w:hAnsi="Verdana"/>
          <w:sz w:val="22"/>
        </w:rPr>
        <w:t>in the</w:t>
      </w:r>
      <w:r w:rsidR="00046D3A" w:rsidRPr="007B4F89">
        <w:rPr>
          <w:rFonts w:ascii="Verdana" w:hAnsi="Verdana"/>
          <w:sz w:val="22"/>
        </w:rPr>
        <w:t xml:space="preserve"> long term </w:t>
      </w:r>
    </w:p>
    <w:p w14:paraId="2A1C2C19" w14:textId="27D21F68" w:rsidR="00046D3A" w:rsidRPr="007B4F89" w:rsidRDefault="00046D3A" w:rsidP="007B4F89">
      <w:pPr>
        <w:numPr>
          <w:ilvl w:val="1"/>
          <w:numId w:val="1"/>
        </w:numPr>
        <w:spacing w:after="60" w:line="240" w:lineRule="auto"/>
        <w:rPr>
          <w:rFonts w:ascii="Verdana" w:hAnsi="Verdana"/>
          <w:i/>
          <w:sz w:val="22"/>
        </w:rPr>
      </w:pPr>
      <w:r w:rsidRPr="007B4F89">
        <w:rPr>
          <w:rFonts w:ascii="Verdana" w:hAnsi="Verdana"/>
          <w:i/>
          <w:sz w:val="22"/>
        </w:rPr>
        <w:t>Implementation of strategies to prevent</w:t>
      </w:r>
      <w:r w:rsidR="007B4F89">
        <w:rPr>
          <w:rFonts w:ascii="Verdana" w:hAnsi="Verdana"/>
          <w:i/>
          <w:sz w:val="22"/>
        </w:rPr>
        <w:t xml:space="preserve"> the</w:t>
      </w:r>
      <w:r w:rsidRPr="007B4F89">
        <w:rPr>
          <w:rFonts w:ascii="Verdana" w:hAnsi="Verdana"/>
          <w:i/>
          <w:sz w:val="22"/>
        </w:rPr>
        <w:t xml:space="preserve"> recurrence of signs</w:t>
      </w:r>
    </w:p>
    <w:p w14:paraId="15D47F0B" w14:textId="77777777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>Avoidance of known flare factors, as identified above</w:t>
      </w:r>
    </w:p>
    <w:p w14:paraId="141A992C" w14:textId="4D65BC54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 xml:space="preserve">Consideration of </w:t>
      </w:r>
      <w:r w:rsidR="007B4F89">
        <w:rPr>
          <w:rFonts w:ascii="Verdana" w:hAnsi="Verdana"/>
          <w:sz w:val="22"/>
        </w:rPr>
        <w:t>proactive intermittent topical glucocorticoid therapy</w:t>
      </w:r>
      <w:r w:rsidRPr="007B4F89">
        <w:rPr>
          <w:rFonts w:ascii="Verdana" w:hAnsi="Verdana"/>
          <w:sz w:val="22"/>
        </w:rPr>
        <w:t>, if feasible and relevant</w:t>
      </w:r>
    </w:p>
    <w:p w14:paraId="5B72EE19" w14:textId="39F28481" w:rsidR="00046D3A" w:rsidRPr="007B4F89" w:rsidRDefault="00046D3A" w:rsidP="007B4F89">
      <w:pPr>
        <w:numPr>
          <w:ilvl w:val="2"/>
          <w:numId w:val="1"/>
        </w:numPr>
        <w:spacing w:after="60" w:line="240" w:lineRule="auto"/>
        <w:rPr>
          <w:rFonts w:ascii="Verdana" w:hAnsi="Verdana"/>
          <w:sz w:val="22"/>
        </w:rPr>
      </w:pPr>
      <w:r w:rsidRPr="007B4F89">
        <w:rPr>
          <w:rFonts w:ascii="Verdana" w:hAnsi="Verdana"/>
          <w:sz w:val="22"/>
        </w:rPr>
        <w:t>Implementation of allergen-specific immunotherapy, if feasible. This can be used alongside all the above treatment option</w:t>
      </w:r>
      <w:r w:rsidR="007B4F89">
        <w:rPr>
          <w:rFonts w:ascii="Verdana" w:hAnsi="Verdana"/>
          <w:sz w:val="22"/>
        </w:rPr>
        <w:t>s in an attempt to provide a long-</w:t>
      </w:r>
      <w:r w:rsidRPr="007B4F89">
        <w:rPr>
          <w:rFonts w:ascii="Verdana" w:hAnsi="Verdana"/>
          <w:sz w:val="22"/>
        </w:rPr>
        <w:t>term amelioration of the aberrant immune response.</w:t>
      </w:r>
    </w:p>
    <w:p w14:paraId="63250900" w14:textId="77777777" w:rsidR="00046D3A" w:rsidRPr="007B4F89" w:rsidRDefault="00046D3A" w:rsidP="00046D3A">
      <w:pPr>
        <w:spacing w:line="240" w:lineRule="auto"/>
        <w:ind w:left="360"/>
        <w:rPr>
          <w:rFonts w:ascii="Verdana" w:hAnsi="Verdana"/>
          <w:sz w:val="22"/>
        </w:rPr>
      </w:pPr>
    </w:p>
    <w:p w14:paraId="1ED72FA0" w14:textId="77777777" w:rsidR="00046D3A" w:rsidRPr="007B4F89" w:rsidRDefault="00046D3A" w:rsidP="00046D3A">
      <w:pPr>
        <w:spacing w:line="240" w:lineRule="auto"/>
        <w:rPr>
          <w:rFonts w:ascii="Verdana" w:hAnsi="Verdana"/>
          <w:sz w:val="22"/>
        </w:rPr>
      </w:pPr>
    </w:p>
    <w:p w14:paraId="404AD2CF" w14:textId="77777777" w:rsidR="00046D3A" w:rsidRPr="007B4F89" w:rsidRDefault="00046D3A" w:rsidP="00046D3A">
      <w:pPr>
        <w:pStyle w:val="Header"/>
        <w:tabs>
          <w:tab w:val="clear" w:pos="4320"/>
          <w:tab w:val="clear" w:pos="8640"/>
        </w:tabs>
        <w:spacing w:line="240" w:lineRule="auto"/>
        <w:rPr>
          <w:rFonts w:ascii="Verdana" w:hAnsi="Verdana"/>
          <w:b/>
          <w:i/>
          <w:sz w:val="28"/>
        </w:rPr>
      </w:pPr>
    </w:p>
    <w:p w14:paraId="11862632" w14:textId="77777777" w:rsidR="00D87E7F" w:rsidRPr="007B4F89" w:rsidRDefault="00D87E7F" w:rsidP="00046D3A"/>
    <w:sectPr w:rsidR="00D87E7F" w:rsidRPr="007B4F89" w:rsidSect="00023C9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FD85E" w14:textId="77777777" w:rsidR="007B4F89" w:rsidRDefault="007B4F89" w:rsidP="007B4F89">
      <w:pPr>
        <w:spacing w:line="240" w:lineRule="auto"/>
      </w:pPr>
      <w:r>
        <w:separator/>
      </w:r>
    </w:p>
  </w:endnote>
  <w:endnote w:type="continuationSeparator" w:id="0">
    <w:p w14:paraId="0417870C" w14:textId="77777777" w:rsidR="007B4F89" w:rsidRDefault="007B4F89" w:rsidP="007B4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20067" w14:textId="77777777" w:rsidR="007B4F89" w:rsidRDefault="007B4F89" w:rsidP="007B4F89">
      <w:pPr>
        <w:spacing w:line="240" w:lineRule="auto"/>
      </w:pPr>
      <w:r>
        <w:separator/>
      </w:r>
    </w:p>
  </w:footnote>
  <w:footnote w:type="continuationSeparator" w:id="0">
    <w:p w14:paraId="4827FD06" w14:textId="77777777" w:rsidR="007B4F89" w:rsidRDefault="007B4F89" w:rsidP="007B4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614F" w14:textId="7E0C3558" w:rsidR="007B4F89" w:rsidRDefault="007B4F89" w:rsidP="007B4F89">
    <w:pPr>
      <w:pStyle w:val="Header"/>
      <w:jc w:val="center"/>
    </w:pPr>
    <w:r w:rsidRPr="007B4F89">
      <w:rPr>
        <w:lang w:val="en-US"/>
      </w:rPr>
      <w:drawing>
        <wp:inline distT="0" distB="0" distL="0" distR="0" wp14:anchorId="3567791D" wp14:editId="005CF862">
          <wp:extent cx="3205264" cy="423659"/>
          <wp:effectExtent l="0" t="0" r="0" b="825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5264" cy="42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687"/>
    <w:multiLevelType w:val="hybridMultilevel"/>
    <w:tmpl w:val="8DE03EC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3A"/>
    <w:rsid w:val="00023C9F"/>
    <w:rsid w:val="00046D3A"/>
    <w:rsid w:val="00153B93"/>
    <w:rsid w:val="007B4F89"/>
    <w:rsid w:val="00B57B54"/>
    <w:rsid w:val="00CF1471"/>
    <w:rsid w:val="00D87E7F"/>
    <w:rsid w:val="00DA5461"/>
    <w:rsid w:val="00EE366C"/>
    <w:rsid w:val="00F718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1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A"/>
    <w:pPr>
      <w:widowControl w:val="0"/>
      <w:spacing w:after="0" w:line="480" w:lineRule="auto"/>
    </w:pPr>
    <w:rPr>
      <w:rFonts w:ascii="Times New Roman" w:eastAsia="Times New Roman" w:hAnsi="Times New Roman" w:cs="Times New Roman"/>
      <w:lang w:val="en-GB"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6D3A"/>
    <w:rPr>
      <w:rFonts w:ascii="Times New Roman" w:eastAsia="Times New Roman" w:hAnsi="Times New Roman" w:cs="Times New Roman"/>
      <w:lang w:val="en-GB" w:eastAsia="zh-TW"/>
    </w:rPr>
  </w:style>
  <w:style w:type="paragraph" w:styleId="BodyText">
    <w:name w:val="Body Text"/>
    <w:basedOn w:val="Normal"/>
    <w:link w:val="BodyTextChar"/>
    <w:rsid w:val="00046D3A"/>
    <w:rPr>
      <w:b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046D3A"/>
    <w:rPr>
      <w:rFonts w:ascii="Times New Roman" w:eastAsia="Times New Roman" w:hAnsi="Times New Roman" w:cs="Times New Roman"/>
      <w:b/>
      <w:color w:val="FF0000"/>
      <w:szCs w:val="20"/>
      <w:lang w:val="en-GB" w:eastAsia="zh-TW"/>
    </w:rPr>
  </w:style>
  <w:style w:type="character" w:styleId="CommentReference">
    <w:name w:val="annotation reference"/>
    <w:semiHidden/>
    <w:rsid w:val="00046D3A"/>
    <w:rPr>
      <w:sz w:val="16"/>
    </w:rPr>
  </w:style>
  <w:style w:type="paragraph" w:styleId="CommentText">
    <w:name w:val="annotation text"/>
    <w:basedOn w:val="Normal"/>
    <w:link w:val="CommentTextChar"/>
    <w:semiHidden/>
    <w:rsid w:val="00046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D3A"/>
    <w:rPr>
      <w:rFonts w:ascii="Times New Roman" w:eastAsia="Times New Roman" w:hAnsi="Times New Roman" w:cs="Times New Roman"/>
      <w:sz w:val="20"/>
      <w:szCs w:val="20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3A"/>
    <w:rPr>
      <w:rFonts w:ascii="Lucida Grande" w:eastAsia="Times New Roman" w:hAnsi="Lucida Grande" w:cs="Lucida Grande"/>
      <w:sz w:val="18"/>
      <w:szCs w:val="18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D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DD"/>
    <w:rPr>
      <w:rFonts w:ascii="Times New Roman" w:eastAsia="Times New Roman" w:hAnsi="Times New Roman" w:cs="Times New Roman"/>
      <w:b/>
      <w:bCs/>
      <w:sz w:val="20"/>
      <w:szCs w:val="20"/>
      <w:lang w:val="en-GB" w:eastAsia="zh-T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4F8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4F89"/>
    <w:rPr>
      <w:rFonts w:ascii="Times New Roman" w:eastAsia="Times New Roman" w:hAnsi="Times New Roman" w:cs="Times New Roman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7B4F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89"/>
    <w:rPr>
      <w:rFonts w:ascii="Times New Roman" w:eastAsia="Times New Roman" w:hAnsi="Times New Roman" w:cs="Times New Roman"/>
      <w:lang w:val="en-GB"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A"/>
    <w:pPr>
      <w:widowControl w:val="0"/>
      <w:spacing w:after="0" w:line="480" w:lineRule="auto"/>
    </w:pPr>
    <w:rPr>
      <w:rFonts w:ascii="Times New Roman" w:eastAsia="Times New Roman" w:hAnsi="Times New Roman" w:cs="Times New Roman"/>
      <w:lang w:val="en-GB"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6D3A"/>
    <w:rPr>
      <w:rFonts w:ascii="Times New Roman" w:eastAsia="Times New Roman" w:hAnsi="Times New Roman" w:cs="Times New Roman"/>
      <w:lang w:val="en-GB" w:eastAsia="zh-TW"/>
    </w:rPr>
  </w:style>
  <w:style w:type="paragraph" w:styleId="BodyText">
    <w:name w:val="Body Text"/>
    <w:basedOn w:val="Normal"/>
    <w:link w:val="BodyTextChar"/>
    <w:rsid w:val="00046D3A"/>
    <w:rPr>
      <w:b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046D3A"/>
    <w:rPr>
      <w:rFonts w:ascii="Times New Roman" w:eastAsia="Times New Roman" w:hAnsi="Times New Roman" w:cs="Times New Roman"/>
      <w:b/>
      <w:color w:val="FF0000"/>
      <w:szCs w:val="20"/>
      <w:lang w:val="en-GB" w:eastAsia="zh-TW"/>
    </w:rPr>
  </w:style>
  <w:style w:type="character" w:styleId="CommentReference">
    <w:name w:val="annotation reference"/>
    <w:semiHidden/>
    <w:rsid w:val="00046D3A"/>
    <w:rPr>
      <w:sz w:val="16"/>
    </w:rPr>
  </w:style>
  <w:style w:type="paragraph" w:styleId="CommentText">
    <w:name w:val="annotation text"/>
    <w:basedOn w:val="Normal"/>
    <w:link w:val="CommentTextChar"/>
    <w:semiHidden/>
    <w:rsid w:val="00046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D3A"/>
    <w:rPr>
      <w:rFonts w:ascii="Times New Roman" w:eastAsia="Times New Roman" w:hAnsi="Times New Roman" w:cs="Times New Roman"/>
      <w:sz w:val="20"/>
      <w:szCs w:val="20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3A"/>
    <w:rPr>
      <w:rFonts w:ascii="Lucida Grande" w:eastAsia="Times New Roman" w:hAnsi="Lucida Grande" w:cs="Lucida Grande"/>
      <w:sz w:val="18"/>
      <w:szCs w:val="18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D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DD"/>
    <w:rPr>
      <w:rFonts w:ascii="Times New Roman" w:eastAsia="Times New Roman" w:hAnsi="Times New Roman" w:cs="Times New Roman"/>
      <w:b/>
      <w:bCs/>
      <w:sz w:val="20"/>
      <w:szCs w:val="20"/>
      <w:lang w:val="en-GB" w:eastAsia="zh-T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4F8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4F89"/>
    <w:rPr>
      <w:rFonts w:ascii="Times New Roman" w:eastAsia="Times New Roman" w:hAnsi="Times New Roman" w:cs="Times New Roman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7B4F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89"/>
    <w:rPr>
      <w:rFonts w:ascii="Times New Roman" w:eastAsia="Times New Roman" w:hAnsi="Times New Roman" w:cs="Times New Roman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2446</Characters>
  <Application>Microsoft Macintosh Word</Application>
  <DocSecurity>0</DocSecurity>
  <Lines>20</Lines>
  <Paragraphs>5</Paragraphs>
  <ScaleCrop>false</ScaleCrop>
  <Company>NCSU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Olivry</dc:creator>
  <cp:keywords/>
  <dc:description/>
  <cp:lastModifiedBy>Thierry Olivry</cp:lastModifiedBy>
  <cp:revision>5</cp:revision>
  <dcterms:created xsi:type="dcterms:W3CDTF">2015-05-20T12:51:00Z</dcterms:created>
  <dcterms:modified xsi:type="dcterms:W3CDTF">2015-06-10T15:06:00Z</dcterms:modified>
</cp:coreProperties>
</file>