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93" w:rsidRDefault="00FF0967" w:rsidP="00791793">
      <w:r>
        <w:rPr>
          <w:b/>
        </w:rPr>
        <w:t>Examples of activities implemented by SDH-</w:t>
      </w:r>
      <w:r w:rsidR="00791793">
        <w:rPr>
          <w:b/>
        </w:rPr>
        <w:t>PHN positions</w:t>
      </w:r>
    </w:p>
    <w:p w:rsidR="00E73150" w:rsidRDefault="00791793">
      <w:r>
        <w:t>Specific examples reported by SDH-PHN participants, including initial and current implementation stages.  Combining of concepts by authors for simplicity.  Classification according to public health roles, components to public health action, and level of practice as interpreted by the authors.  This is intended to be a reporting of what was stated, not an analysis of effectiveness at various levels.  Individual points may be applied to other public health roles, components to public health action, and practice focus/scope.</w:t>
      </w:r>
    </w:p>
    <w:p w:rsidR="00A114D8" w:rsidRDefault="00A114D8"/>
    <w:tbl>
      <w:tblPr>
        <w:tblStyle w:val="TableGrid"/>
        <w:tblW w:w="14575" w:type="dxa"/>
        <w:tblLayout w:type="fixed"/>
        <w:tblCellMar>
          <w:top w:w="72" w:type="dxa"/>
          <w:left w:w="115" w:type="dxa"/>
          <w:bottom w:w="72" w:type="dxa"/>
          <w:right w:w="115" w:type="dxa"/>
        </w:tblCellMar>
        <w:tblLook w:val="04A0" w:firstRow="1" w:lastRow="0" w:firstColumn="1" w:lastColumn="0" w:noHBand="0" w:noVBand="1"/>
      </w:tblPr>
      <w:tblGrid>
        <w:gridCol w:w="1525"/>
        <w:gridCol w:w="1530"/>
        <w:gridCol w:w="1710"/>
        <w:gridCol w:w="1620"/>
        <w:gridCol w:w="1710"/>
        <w:gridCol w:w="1620"/>
        <w:gridCol w:w="1710"/>
        <w:gridCol w:w="1080"/>
        <w:gridCol w:w="990"/>
        <w:gridCol w:w="1080"/>
      </w:tblGrid>
      <w:tr w:rsidR="00652217" w:rsidTr="00652217">
        <w:tc>
          <w:tcPr>
            <w:tcW w:w="1525" w:type="dxa"/>
            <w:vMerge w:val="restart"/>
          </w:tcPr>
          <w:p w:rsidR="00652217" w:rsidRPr="005356C3" w:rsidRDefault="00652217">
            <w:pPr>
              <w:rPr>
                <w:b/>
              </w:rPr>
            </w:pPr>
            <w:r>
              <w:rPr>
                <w:b/>
              </w:rPr>
              <w:t xml:space="preserve">Public Health </w:t>
            </w:r>
            <w:r w:rsidRPr="005356C3">
              <w:rPr>
                <w:b/>
              </w:rPr>
              <w:t>Roles</w:t>
            </w:r>
          </w:p>
        </w:tc>
        <w:tc>
          <w:tcPr>
            <w:tcW w:w="9900" w:type="dxa"/>
            <w:gridSpan w:val="6"/>
          </w:tcPr>
          <w:p w:rsidR="00652217" w:rsidRPr="005356C3" w:rsidRDefault="00EA1EFC">
            <w:pPr>
              <w:rPr>
                <w:b/>
              </w:rPr>
            </w:pPr>
            <w:r>
              <w:rPr>
                <w:b/>
              </w:rPr>
              <w:t>Components of</w:t>
            </w:r>
            <w:r w:rsidR="00652217">
              <w:rPr>
                <w:b/>
              </w:rPr>
              <w:t xml:space="preserve"> Public Health Action</w:t>
            </w:r>
          </w:p>
        </w:tc>
        <w:tc>
          <w:tcPr>
            <w:tcW w:w="3150" w:type="dxa"/>
            <w:gridSpan w:val="3"/>
          </w:tcPr>
          <w:p w:rsidR="00652217" w:rsidRPr="005356C3" w:rsidRDefault="00791793">
            <w:pPr>
              <w:rPr>
                <w:b/>
              </w:rPr>
            </w:pPr>
            <w:r>
              <w:rPr>
                <w:b/>
              </w:rPr>
              <w:t>P</w:t>
            </w:r>
            <w:r w:rsidR="00652217" w:rsidRPr="005356C3">
              <w:rPr>
                <w:b/>
              </w:rPr>
              <w:t>ractice focus/scope</w:t>
            </w:r>
          </w:p>
        </w:tc>
      </w:tr>
      <w:tr w:rsidR="00652217" w:rsidTr="00652217">
        <w:tc>
          <w:tcPr>
            <w:tcW w:w="1525" w:type="dxa"/>
            <w:vMerge/>
          </w:tcPr>
          <w:p w:rsidR="00652217" w:rsidRPr="005356C3" w:rsidRDefault="00652217">
            <w:pPr>
              <w:rPr>
                <w:b/>
              </w:rPr>
            </w:pPr>
          </w:p>
        </w:tc>
        <w:tc>
          <w:tcPr>
            <w:tcW w:w="1530" w:type="dxa"/>
          </w:tcPr>
          <w:p w:rsidR="00652217" w:rsidRPr="00337897" w:rsidRDefault="00652217">
            <w:pPr>
              <w:rPr>
                <w:b/>
                <w:sz w:val="20"/>
                <w:szCs w:val="20"/>
              </w:rPr>
            </w:pPr>
            <w:r w:rsidRPr="00337897">
              <w:rPr>
                <w:b/>
                <w:sz w:val="20"/>
                <w:szCs w:val="20"/>
              </w:rPr>
              <w:t>Leadership</w:t>
            </w:r>
          </w:p>
        </w:tc>
        <w:tc>
          <w:tcPr>
            <w:tcW w:w="1710" w:type="dxa"/>
          </w:tcPr>
          <w:p w:rsidR="00652217" w:rsidRPr="00337897" w:rsidRDefault="00652217">
            <w:pPr>
              <w:rPr>
                <w:b/>
                <w:sz w:val="20"/>
                <w:szCs w:val="20"/>
              </w:rPr>
            </w:pPr>
            <w:r w:rsidRPr="00337897">
              <w:rPr>
                <w:b/>
                <w:sz w:val="20"/>
                <w:szCs w:val="20"/>
              </w:rPr>
              <w:t>Develop/apply information</w:t>
            </w:r>
          </w:p>
        </w:tc>
        <w:tc>
          <w:tcPr>
            <w:tcW w:w="1620" w:type="dxa"/>
          </w:tcPr>
          <w:p w:rsidR="00652217" w:rsidRPr="00337897" w:rsidRDefault="00652217" w:rsidP="00A114D8">
            <w:pPr>
              <w:rPr>
                <w:b/>
                <w:sz w:val="20"/>
                <w:szCs w:val="20"/>
              </w:rPr>
            </w:pPr>
            <w:r w:rsidRPr="00337897">
              <w:rPr>
                <w:b/>
                <w:sz w:val="20"/>
                <w:szCs w:val="20"/>
              </w:rPr>
              <w:t xml:space="preserve">Education </w:t>
            </w:r>
            <w:r>
              <w:rPr>
                <w:b/>
                <w:sz w:val="20"/>
                <w:szCs w:val="20"/>
              </w:rPr>
              <w:t xml:space="preserve">&amp; </w:t>
            </w:r>
            <w:r w:rsidRPr="00337897">
              <w:rPr>
                <w:b/>
                <w:sz w:val="20"/>
                <w:szCs w:val="20"/>
              </w:rPr>
              <w:t>Awareness</w:t>
            </w:r>
          </w:p>
        </w:tc>
        <w:tc>
          <w:tcPr>
            <w:tcW w:w="1710" w:type="dxa"/>
          </w:tcPr>
          <w:p w:rsidR="00652217" w:rsidRPr="00337897" w:rsidRDefault="00652217">
            <w:pPr>
              <w:rPr>
                <w:b/>
                <w:sz w:val="20"/>
                <w:szCs w:val="20"/>
              </w:rPr>
            </w:pPr>
            <w:r w:rsidRPr="00337897">
              <w:rPr>
                <w:b/>
                <w:sz w:val="20"/>
                <w:szCs w:val="20"/>
              </w:rPr>
              <w:t>Org</w:t>
            </w:r>
            <w:r>
              <w:rPr>
                <w:b/>
                <w:sz w:val="20"/>
                <w:szCs w:val="20"/>
              </w:rPr>
              <w:t>anization</w:t>
            </w:r>
            <w:r w:rsidRPr="00337897">
              <w:rPr>
                <w:b/>
                <w:sz w:val="20"/>
                <w:szCs w:val="20"/>
              </w:rPr>
              <w:t xml:space="preserve"> &amp; System Dev</w:t>
            </w:r>
            <w:r>
              <w:rPr>
                <w:b/>
                <w:sz w:val="20"/>
                <w:szCs w:val="20"/>
              </w:rPr>
              <w:t>.</w:t>
            </w:r>
          </w:p>
        </w:tc>
        <w:tc>
          <w:tcPr>
            <w:tcW w:w="1620" w:type="dxa"/>
          </w:tcPr>
          <w:p w:rsidR="00652217" w:rsidRPr="00337897" w:rsidRDefault="00652217">
            <w:pPr>
              <w:rPr>
                <w:b/>
                <w:sz w:val="20"/>
                <w:szCs w:val="20"/>
              </w:rPr>
            </w:pPr>
            <w:r w:rsidRPr="00337897">
              <w:rPr>
                <w:b/>
                <w:sz w:val="20"/>
                <w:szCs w:val="20"/>
              </w:rPr>
              <w:t>Skill Dev</w:t>
            </w:r>
            <w:r>
              <w:rPr>
                <w:b/>
                <w:sz w:val="20"/>
                <w:szCs w:val="20"/>
              </w:rPr>
              <w:t>.</w:t>
            </w:r>
          </w:p>
        </w:tc>
        <w:tc>
          <w:tcPr>
            <w:tcW w:w="1710" w:type="dxa"/>
          </w:tcPr>
          <w:p w:rsidR="00652217" w:rsidRPr="00337897" w:rsidRDefault="00652217">
            <w:pPr>
              <w:rPr>
                <w:b/>
                <w:sz w:val="20"/>
                <w:szCs w:val="20"/>
              </w:rPr>
            </w:pPr>
            <w:r w:rsidRPr="00337897">
              <w:rPr>
                <w:b/>
                <w:sz w:val="20"/>
                <w:szCs w:val="20"/>
              </w:rPr>
              <w:t>Partnership Dev</w:t>
            </w:r>
            <w:r>
              <w:rPr>
                <w:b/>
                <w:sz w:val="20"/>
                <w:szCs w:val="20"/>
              </w:rPr>
              <w:t>.</w:t>
            </w:r>
          </w:p>
        </w:tc>
        <w:tc>
          <w:tcPr>
            <w:tcW w:w="1080" w:type="dxa"/>
          </w:tcPr>
          <w:p w:rsidR="00652217" w:rsidRPr="00337897" w:rsidRDefault="00652217">
            <w:pPr>
              <w:rPr>
                <w:b/>
                <w:sz w:val="18"/>
                <w:szCs w:val="18"/>
              </w:rPr>
            </w:pPr>
            <w:proofErr w:type="spellStart"/>
            <w:r w:rsidRPr="00337897">
              <w:rPr>
                <w:b/>
                <w:sz w:val="18"/>
                <w:szCs w:val="18"/>
              </w:rPr>
              <w:t>Org</w:t>
            </w:r>
            <w:r>
              <w:rPr>
                <w:b/>
                <w:sz w:val="18"/>
                <w:szCs w:val="18"/>
              </w:rPr>
              <w:t>ani</w:t>
            </w:r>
            <w:proofErr w:type="spellEnd"/>
            <w:r>
              <w:rPr>
                <w:b/>
                <w:sz w:val="18"/>
                <w:szCs w:val="18"/>
              </w:rPr>
              <w:t xml:space="preserve">- </w:t>
            </w:r>
            <w:proofErr w:type="spellStart"/>
            <w:r>
              <w:rPr>
                <w:b/>
                <w:sz w:val="18"/>
                <w:szCs w:val="18"/>
              </w:rPr>
              <w:t>zational</w:t>
            </w:r>
            <w:proofErr w:type="spellEnd"/>
          </w:p>
        </w:tc>
        <w:tc>
          <w:tcPr>
            <w:tcW w:w="990" w:type="dxa"/>
          </w:tcPr>
          <w:p w:rsidR="00652217" w:rsidRPr="00337897" w:rsidRDefault="00652217">
            <w:pPr>
              <w:rPr>
                <w:b/>
                <w:sz w:val="18"/>
                <w:szCs w:val="18"/>
              </w:rPr>
            </w:pPr>
            <w:r w:rsidRPr="00337897">
              <w:rPr>
                <w:b/>
                <w:sz w:val="18"/>
                <w:szCs w:val="18"/>
              </w:rPr>
              <w:t>Regional</w:t>
            </w:r>
          </w:p>
        </w:tc>
        <w:tc>
          <w:tcPr>
            <w:tcW w:w="1080" w:type="dxa"/>
          </w:tcPr>
          <w:p w:rsidR="00652217" w:rsidRDefault="00652217" w:rsidP="00337897">
            <w:pPr>
              <w:rPr>
                <w:b/>
                <w:sz w:val="18"/>
                <w:szCs w:val="18"/>
              </w:rPr>
            </w:pPr>
            <w:r>
              <w:rPr>
                <w:b/>
                <w:sz w:val="18"/>
                <w:szCs w:val="18"/>
              </w:rPr>
              <w:t>Provincial</w:t>
            </w:r>
          </w:p>
          <w:p w:rsidR="00652217" w:rsidRPr="00337897" w:rsidRDefault="00652217" w:rsidP="00337897">
            <w:pPr>
              <w:rPr>
                <w:b/>
                <w:sz w:val="18"/>
                <w:szCs w:val="18"/>
              </w:rPr>
            </w:pPr>
            <w:r>
              <w:rPr>
                <w:b/>
                <w:sz w:val="18"/>
                <w:szCs w:val="18"/>
              </w:rPr>
              <w:t xml:space="preserve">or National   </w:t>
            </w:r>
          </w:p>
        </w:tc>
      </w:tr>
      <w:tr w:rsidR="00652217" w:rsidTr="00C71604">
        <w:tc>
          <w:tcPr>
            <w:tcW w:w="1525" w:type="dxa"/>
            <w:tcBorders>
              <w:bottom w:val="nil"/>
            </w:tcBorders>
          </w:tcPr>
          <w:p w:rsidR="00652217" w:rsidRPr="000B0E3D" w:rsidRDefault="00652217" w:rsidP="00A114D8">
            <w:pPr>
              <w:rPr>
                <w:b/>
                <w:sz w:val="20"/>
                <w:szCs w:val="20"/>
              </w:rPr>
            </w:pPr>
            <w:r w:rsidRPr="000B0E3D">
              <w:rPr>
                <w:b/>
                <w:sz w:val="20"/>
                <w:szCs w:val="20"/>
              </w:rPr>
              <w:t xml:space="preserve">Assess &amp; report on health </w:t>
            </w:r>
          </w:p>
        </w:tc>
        <w:tc>
          <w:tcPr>
            <w:tcW w:w="1530" w:type="dxa"/>
            <w:tcBorders>
              <w:bottom w:val="nil"/>
            </w:tcBorders>
          </w:tcPr>
          <w:p w:rsidR="00652217" w:rsidRPr="005356C3" w:rsidRDefault="00652217">
            <w:pPr>
              <w:rPr>
                <w:sz w:val="20"/>
                <w:szCs w:val="20"/>
              </w:rPr>
            </w:pPr>
          </w:p>
        </w:tc>
        <w:tc>
          <w:tcPr>
            <w:tcW w:w="1710" w:type="dxa"/>
            <w:tcBorders>
              <w:bottom w:val="nil"/>
            </w:tcBorders>
          </w:tcPr>
          <w:p w:rsidR="00652217" w:rsidRPr="005356C3" w:rsidRDefault="00652217" w:rsidP="005356C3">
            <w:pPr>
              <w:rPr>
                <w:sz w:val="20"/>
                <w:szCs w:val="20"/>
              </w:rPr>
            </w:pPr>
            <w:r w:rsidRPr="005356C3">
              <w:rPr>
                <w:sz w:val="20"/>
                <w:szCs w:val="20"/>
              </w:rPr>
              <w:t xml:space="preserve">Advocate </w:t>
            </w:r>
            <w:r>
              <w:rPr>
                <w:sz w:val="20"/>
                <w:szCs w:val="20"/>
              </w:rPr>
              <w:t xml:space="preserve">for </w:t>
            </w:r>
            <w:r w:rsidRPr="005356C3">
              <w:rPr>
                <w:sz w:val="20"/>
                <w:szCs w:val="20"/>
              </w:rPr>
              <w:t xml:space="preserve">RRFSS* module </w:t>
            </w:r>
            <w:r>
              <w:rPr>
                <w:sz w:val="20"/>
                <w:szCs w:val="20"/>
              </w:rPr>
              <w:t>on</w:t>
            </w:r>
            <w:r w:rsidR="00791793">
              <w:rPr>
                <w:sz w:val="20"/>
                <w:szCs w:val="20"/>
              </w:rPr>
              <w:t xml:space="preserve"> public awareness of SDH</w:t>
            </w:r>
          </w:p>
        </w:tc>
        <w:tc>
          <w:tcPr>
            <w:tcW w:w="1620" w:type="dxa"/>
            <w:tcBorders>
              <w:bottom w:val="nil"/>
            </w:tcBorders>
          </w:tcPr>
          <w:p w:rsidR="00652217" w:rsidRPr="005356C3" w:rsidRDefault="00652217">
            <w:pPr>
              <w:rPr>
                <w:sz w:val="20"/>
                <w:szCs w:val="20"/>
              </w:rPr>
            </w:pPr>
          </w:p>
        </w:tc>
        <w:tc>
          <w:tcPr>
            <w:tcW w:w="1710" w:type="dxa"/>
            <w:tcBorders>
              <w:bottom w:val="nil"/>
            </w:tcBorders>
          </w:tcPr>
          <w:p w:rsidR="00652217" w:rsidRPr="005356C3" w:rsidRDefault="00652217">
            <w:pPr>
              <w:rPr>
                <w:sz w:val="20"/>
                <w:szCs w:val="20"/>
              </w:rPr>
            </w:pPr>
          </w:p>
        </w:tc>
        <w:tc>
          <w:tcPr>
            <w:tcW w:w="1620" w:type="dxa"/>
            <w:tcBorders>
              <w:bottom w:val="nil"/>
            </w:tcBorders>
          </w:tcPr>
          <w:p w:rsidR="00652217" w:rsidRPr="005356C3" w:rsidRDefault="00652217">
            <w:pPr>
              <w:rPr>
                <w:sz w:val="20"/>
                <w:szCs w:val="20"/>
              </w:rPr>
            </w:pPr>
          </w:p>
        </w:tc>
        <w:tc>
          <w:tcPr>
            <w:tcW w:w="1710" w:type="dxa"/>
            <w:tcBorders>
              <w:bottom w:val="nil"/>
            </w:tcBorders>
          </w:tcPr>
          <w:p w:rsidR="00652217" w:rsidRPr="005356C3" w:rsidRDefault="00652217">
            <w:pPr>
              <w:rPr>
                <w:sz w:val="20"/>
                <w:szCs w:val="20"/>
              </w:rPr>
            </w:pPr>
          </w:p>
        </w:tc>
        <w:tc>
          <w:tcPr>
            <w:tcW w:w="1080" w:type="dxa"/>
            <w:tcBorders>
              <w:bottom w:val="nil"/>
            </w:tcBorders>
          </w:tcPr>
          <w:p w:rsidR="00652217" w:rsidRDefault="00652217">
            <w:r w:rsidRPr="00752859">
              <w:rPr>
                <w:sz w:val="28"/>
                <w:szCs w:val="28"/>
              </w:rPr>
              <w:t>√</w:t>
            </w:r>
          </w:p>
        </w:tc>
        <w:tc>
          <w:tcPr>
            <w:tcW w:w="990" w:type="dxa"/>
            <w:tcBorders>
              <w:bottom w:val="nil"/>
            </w:tcBorders>
          </w:tcPr>
          <w:p w:rsidR="00652217" w:rsidRDefault="00652217"/>
        </w:tc>
        <w:tc>
          <w:tcPr>
            <w:tcW w:w="1080" w:type="dxa"/>
            <w:tcBorders>
              <w:bottom w:val="nil"/>
            </w:tcBorders>
          </w:tcPr>
          <w:p w:rsidR="00652217" w:rsidRDefault="00652217"/>
        </w:tc>
      </w:tr>
      <w:tr w:rsidR="00C71604" w:rsidTr="00C71604">
        <w:tc>
          <w:tcPr>
            <w:tcW w:w="1525" w:type="dxa"/>
            <w:tcBorders>
              <w:top w:val="nil"/>
            </w:tcBorders>
          </w:tcPr>
          <w:p w:rsidR="00C71604" w:rsidRPr="000B0E3D" w:rsidRDefault="00C71604" w:rsidP="00A114D8">
            <w:pPr>
              <w:rPr>
                <w:b/>
                <w:sz w:val="20"/>
                <w:szCs w:val="20"/>
              </w:rPr>
            </w:pPr>
          </w:p>
        </w:tc>
        <w:tc>
          <w:tcPr>
            <w:tcW w:w="1530" w:type="dxa"/>
            <w:tcBorders>
              <w:top w:val="nil"/>
            </w:tcBorders>
          </w:tcPr>
          <w:p w:rsidR="00C71604" w:rsidRPr="005356C3" w:rsidRDefault="00C71604">
            <w:pPr>
              <w:rPr>
                <w:sz w:val="20"/>
                <w:szCs w:val="20"/>
              </w:rPr>
            </w:pPr>
          </w:p>
        </w:tc>
        <w:tc>
          <w:tcPr>
            <w:tcW w:w="1710" w:type="dxa"/>
            <w:tcBorders>
              <w:top w:val="nil"/>
            </w:tcBorders>
          </w:tcPr>
          <w:p w:rsidR="00C71604" w:rsidRPr="005356C3" w:rsidRDefault="00C71604" w:rsidP="005356C3">
            <w:pPr>
              <w:rPr>
                <w:sz w:val="20"/>
                <w:szCs w:val="20"/>
              </w:rPr>
            </w:pPr>
            <w:r>
              <w:rPr>
                <w:sz w:val="20"/>
                <w:szCs w:val="20"/>
              </w:rPr>
              <w:t>Review research and work wit</w:t>
            </w:r>
            <w:bookmarkStart w:id="0" w:name="_GoBack"/>
            <w:bookmarkEnd w:id="0"/>
            <w:r>
              <w:rPr>
                <w:sz w:val="20"/>
                <w:szCs w:val="20"/>
              </w:rPr>
              <w:t xml:space="preserve">h epidemiologist to understand strategies to support the identified priority population </w:t>
            </w:r>
          </w:p>
        </w:tc>
        <w:tc>
          <w:tcPr>
            <w:tcW w:w="1620" w:type="dxa"/>
            <w:tcBorders>
              <w:top w:val="nil"/>
            </w:tcBorders>
          </w:tcPr>
          <w:p w:rsidR="00C71604" w:rsidRPr="005356C3" w:rsidRDefault="00C71604">
            <w:pPr>
              <w:rPr>
                <w:sz w:val="20"/>
                <w:szCs w:val="20"/>
              </w:rPr>
            </w:pPr>
          </w:p>
        </w:tc>
        <w:tc>
          <w:tcPr>
            <w:tcW w:w="1710" w:type="dxa"/>
            <w:tcBorders>
              <w:top w:val="nil"/>
            </w:tcBorders>
          </w:tcPr>
          <w:p w:rsidR="00C71604" w:rsidRPr="005356C3" w:rsidRDefault="00C71604">
            <w:pPr>
              <w:rPr>
                <w:sz w:val="20"/>
                <w:szCs w:val="20"/>
              </w:rPr>
            </w:pPr>
          </w:p>
        </w:tc>
        <w:tc>
          <w:tcPr>
            <w:tcW w:w="1620" w:type="dxa"/>
            <w:tcBorders>
              <w:top w:val="nil"/>
            </w:tcBorders>
          </w:tcPr>
          <w:p w:rsidR="00C71604" w:rsidRPr="005356C3" w:rsidRDefault="00C71604">
            <w:pPr>
              <w:rPr>
                <w:sz w:val="20"/>
                <w:szCs w:val="20"/>
              </w:rPr>
            </w:pPr>
          </w:p>
        </w:tc>
        <w:tc>
          <w:tcPr>
            <w:tcW w:w="1710" w:type="dxa"/>
            <w:tcBorders>
              <w:top w:val="nil"/>
            </w:tcBorders>
          </w:tcPr>
          <w:p w:rsidR="00C71604" w:rsidRPr="005356C3" w:rsidRDefault="00C71604">
            <w:pPr>
              <w:rPr>
                <w:sz w:val="20"/>
                <w:szCs w:val="20"/>
              </w:rPr>
            </w:pPr>
          </w:p>
        </w:tc>
        <w:tc>
          <w:tcPr>
            <w:tcW w:w="1080" w:type="dxa"/>
            <w:tcBorders>
              <w:top w:val="nil"/>
            </w:tcBorders>
          </w:tcPr>
          <w:p w:rsidR="00C71604" w:rsidRDefault="00C71604" w:rsidP="00C71604">
            <w:pPr>
              <w:rPr>
                <w:sz w:val="28"/>
                <w:szCs w:val="28"/>
              </w:rPr>
            </w:pPr>
            <w:r w:rsidRPr="00752859">
              <w:rPr>
                <w:sz w:val="28"/>
                <w:szCs w:val="28"/>
              </w:rPr>
              <w:t>√</w:t>
            </w:r>
          </w:p>
          <w:p w:rsidR="00C71604" w:rsidRPr="00752859" w:rsidRDefault="00C71604">
            <w:pPr>
              <w:rPr>
                <w:sz w:val="28"/>
                <w:szCs w:val="28"/>
              </w:rPr>
            </w:pPr>
          </w:p>
        </w:tc>
        <w:tc>
          <w:tcPr>
            <w:tcW w:w="990" w:type="dxa"/>
            <w:tcBorders>
              <w:top w:val="nil"/>
            </w:tcBorders>
          </w:tcPr>
          <w:p w:rsidR="00C71604" w:rsidRDefault="00C71604"/>
        </w:tc>
        <w:tc>
          <w:tcPr>
            <w:tcW w:w="1080" w:type="dxa"/>
            <w:tcBorders>
              <w:top w:val="nil"/>
            </w:tcBorders>
          </w:tcPr>
          <w:p w:rsidR="00C71604" w:rsidRDefault="00C71604"/>
        </w:tc>
      </w:tr>
      <w:tr w:rsidR="00652217" w:rsidTr="00652217">
        <w:tc>
          <w:tcPr>
            <w:tcW w:w="1525" w:type="dxa"/>
            <w:tcBorders>
              <w:bottom w:val="nil"/>
            </w:tcBorders>
          </w:tcPr>
          <w:p w:rsidR="00652217" w:rsidRPr="000B0E3D" w:rsidRDefault="00652217">
            <w:pPr>
              <w:rPr>
                <w:b/>
                <w:sz w:val="20"/>
                <w:szCs w:val="20"/>
              </w:rPr>
            </w:pPr>
            <w:r w:rsidRPr="000B0E3D">
              <w:rPr>
                <w:b/>
                <w:sz w:val="20"/>
                <w:szCs w:val="20"/>
              </w:rPr>
              <w:t>Modify/Orient public health interventions</w:t>
            </w:r>
          </w:p>
        </w:tc>
        <w:tc>
          <w:tcPr>
            <w:tcW w:w="1530" w:type="dxa"/>
            <w:tcBorders>
              <w:bottom w:val="nil"/>
            </w:tcBorders>
          </w:tcPr>
          <w:p w:rsidR="00652217" w:rsidRPr="005356C3" w:rsidRDefault="00135042">
            <w:pPr>
              <w:rPr>
                <w:sz w:val="20"/>
                <w:szCs w:val="20"/>
              </w:rPr>
            </w:pPr>
            <w:r>
              <w:rPr>
                <w:sz w:val="20"/>
                <w:szCs w:val="20"/>
              </w:rPr>
              <w:t xml:space="preserve">Chair </w:t>
            </w:r>
            <w:r w:rsidR="00C073BA">
              <w:rPr>
                <w:sz w:val="20"/>
                <w:szCs w:val="20"/>
              </w:rPr>
              <w:t xml:space="preserve">the </w:t>
            </w:r>
            <w:r>
              <w:rPr>
                <w:sz w:val="20"/>
                <w:szCs w:val="20"/>
              </w:rPr>
              <w:t>health equity/</w:t>
            </w:r>
            <w:r w:rsidR="00C073BA">
              <w:rPr>
                <w:sz w:val="20"/>
                <w:szCs w:val="20"/>
              </w:rPr>
              <w:t xml:space="preserve"> </w:t>
            </w:r>
            <w:r>
              <w:rPr>
                <w:sz w:val="20"/>
                <w:szCs w:val="20"/>
              </w:rPr>
              <w:t>SDH specialist team within health unit</w:t>
            </w:r>
          </w:p>
        </w:tc>
        <w:tc>
          <w:tcPr>
            <w:tcW w:w="1710" w:type="dxa"/>
            <w:tcBorders>
              <w:bottom w:val="nil"/>
            </w:tcBorders>
          </w:tcPr>
          <w:p w:rsidR="00652217" w:rsidRPr="005356C3" w:rsidRDefault="00F659E7" w:rsidP="00932CC8">
            <w:pPr>
              <w:rPr>
                <w:sz w:val="20"/>
                <w:szCs w:val="20"/>
              </w:rPr>
            </w:pPr>
            <w:r>
              <w:rPr>
                <w:sz w:val="20"/>
                <w:szCs w:val="20"/>
              </w:rPr>
              <w:t>Work in specific roles – e.g., street nurse, deliver direct service to priority populations</w:t>
            </w:r>
          </w:p>
        </w:tc>
        <w:tc>
          <w:tcPr>
            <w:tcW w:w="1620" w:type="dxa"/>
            <w:tcBorders>
              <w:bottom w:val="nil"/>
            </w:tcBorders>
          </w:tcPr>
          <w:p w:rsidR="00652217" w:rsidRPr="005356C3" w:rsidRDefault="00DC746C">
            <w:pPr>
              <w:rPr>
                <w:sz w:val="20"/>
                <w:szCs w:val="20"/>
              </w:rPr>
            </w:pPr>
            <w:r>
              <w:rPr>
                <w:sz w:val="20"/>
                <w:szCs w:val="20"/>
              </w:rPr>
              <w:t>Consult with staff on health equity and SDH related topics</w:t>
            </w:r>
            <w:r w:rsidR="0001723A">
              <w:rPr>
                <w:sz w:val="20"/>
                <w:szCs w:val="20"/>
              </w:rPr>
              <w:t>, program planning</w:t>
            </w:r>
          </w:p>
        </w:tc>
        <w:tc>
          <w:tcPr>
            <w:tcW w:w="1710" w:type="dxa"/>
            <w:tcBorders>
              <w:bottom w:val="nil"/>
            </w:tcBorders>
          </w:tcPr>
          <w:p w:rsidR="00652217" w:rsidRPr="005356C3" w:rsidRDefault="00652217">
            <w:pPr>
              <w:rPr>
                <w:sz w:val="20"/>
                <w:szCs w:val="20"/>
              </w:rPr>
            </w:pPr>
            <w:r>
              <w:rPr>
                <w:sz w:val="20"/>
                <w:szCs w:val="20"/>
              </w:rPr>
              <w:t>Attend program &amp; department meetings across public health</w:t>
            </w:r>
          </w:p>
        </w:tc>
        <w:tc>
          <w:tcPr>
            <w:tcW w:w="1620" w:type="dxa"/>
            <w:tcBorders>
              <w:bottom w:val="nil"/>
            </w:tcBorders>
          </w:tcPr>
          <w:p w:rsidR="00652217" w:rsidRPr="005356C3" w:rsidRDefault="00DC746C" w:rsidP="00932CC8">
            <w:pPr>
              <w:rPr>
                <w:sz w:val="20"/>
                <w:szCs w:val="20"/>
              </w:rPr>
            </w:pPr>
            <w:r>
              <w:rPr>
                <w:sz w:val="20"/>
                <w:szCs w:val="20"/>
              </w:rPr>
              <w:t>Support staff with the use of health equity and SDH related tools</w:t>
            </w:r>
            <w:r w:rsidR="00841B72">
              <w:rPr>
                <w:sz w:val="20"/>
                <w:szCs w:val="20"/>
              </w:rPr>
              <w:t>, framework</w:t>
            </w:r>
          </w:p>
        </w:tc>
        <w:tc>
          <w:tcPr>
            <w:tcW w:w="1710" w:type="dxa"/>
            <w:tcBorders>
              <w:bottom w:val="nil"/>
            </w:tcBorders>
          </w:tcPr>
          <w:p w:rsidR="00652217" w:rsidRPr="005356C3" w:rsidRDefault="00652217">
            <w:pPr>
              <w:rPr>
                <w:sz w:val="20"/>
                <w:szCs w:val="20"/>
              </w:rPr>
            </w:pPr>
          </w:p>
        </w:tc>
        <w:tc>
          <w:tcPr>
            <w:tcW w:w="1080" w:type="dxa"/>
            <w:tcBorders>
              <w:bottom w:val="nil"/>
            </w:tcBorders>
          </w:tcPr>
          <w:p w:rsidR="00652217" w:rsidRDefault="00652217">
            <w:pPr>
              <w:rPr>
                <w:sz w:val="28"/>
                <w:szCs w:val="28"/>
              </w:rPr>
            </w:pPr>
            <w:r w:rsidRPr="00752859">
              <w:rPr>
                <w:sz w:val="28"/>
                <w:szCs w:val="28"/>
              </w:rPr>
              <w:t>√</w:t>
            </w:r>
          </w:p>
          <w:p w:rsidR="00652217" w:rsidRDefault="00652217">
            <w:pPr>
              <w:rPr>
                <w:sz w:val="28"/>
                <w:szCs w:val="28"/>
              </w:rPr>
            </w:pPr>
          </w:p>
          <w:p w:rsidR="00652217" w:rsidRDefault="00652217" w:rsidP="00932CC8"/>
        </w:tc>
        <w:tc>
          <w:tcPr>
            <w:tcW w:w="990" w:type="dxa"/>
            <w:tcBorders>
              <w:bottom w:val="nil"/>
            </w:tcBorders>
          </w:tcPr>
          <w:p w:rsidR="00652217" w:rsidRDefault="00652217"/>
        </w:tc>
        <w:tc>
          <w:tcPr>
            <w:tcW w:w="1080" w:type="dxa"/>
            <w:tcBorders>
              <w:bottom w:val="nil"/>
            </w:tcBorders>
          </w:tcPr>
          <w:p w:rsidR="00652217" w:rsidRDefault="00652217"/>
        </w:tc>
      </w:tr>
      <w:tr w:rsidR="00652217" w:rsidTr="00652217">
        <w:tc>
          <w:tcPr>
            <w:tcW w:w="1525" w:type="dxa"/>
            <w:tcBorders>
              <w:top w:val="nil"/>
              <w:bottom w:val="nil"/>
            </w:tcBorders>
          </w:tcPr>
          <w:p w:rsidR="00652217" w:rsidRPr="000B0E3D" w:rsidRDefault="00652217">
            <w:pPr>
              <w:rPr>
                <w:b/>
                <w:sz w:val="20"/>
                <w:szCs w:val="20"/>
              </w:rPr>
            </w:pPr>
          </w:p>
        </w:tc>
        <w:tc>
          <w:tcPr>
            <w:tcW w:w="1530" w:type="dxa"/>
            <w:tcBorders>
              <w:top w:val="nil"/>
              <w:bottom w:val="nil"/>
            </w:tcBorders>
          </w:tcPr>
          <w:p w:rsidR="00652217" w:rsidRPr="005356C3" w:rsidRDefault="00652217">
            <w:pPr>
              <w:rPr>
                <w:sz w:val="20"/>
                <w:szCs w:val="20"/>
              </w:rPr>
            </w:pPr>
          </w:p>
        </w:tc>
        <w:tc>
          <w:tcPr>
            <w:tcW w:w="1710" w:type="dxa"/>
            <w:tcBorders>
              <w:top w:val="nil"/>
              <w:bottom w:val="nil"/>
            </w:tcBorders>
          </w:tcPr>
          <w:p w:rsidR="00652217" w:rsidRDefault="00F659E7">
            <w:pPr>
              <w:rPr>
                <w:sz w:val="20"/>
                <w:szCs w:val="20"/>
              </w:rPr>
            </w:pPr>
            <w:r>
              <w:rPr>
                <w:sz w:val="20"/>
                <w:szCs w:val="20"/>
              </w:rPr>
              <w:t>Focus on priority populations in specific program area – urban issues, chronic disease, child &amp; reproductive health, school health, HBHC*</w:t>
            </w:r>
          </w:p>
        </w:tc>
        <w:tc>
          <w:tcPr>
            <w:tcW w:w="1620" w:type="dxa"/>
            <w:tcBorders>
              <w:top w:val="nil"/>
              <w:bottom w:val="nil"/>
            </w:tcBorders>
          </w:tcPr>
          <w:p w:rsidR="00652217" w:rsidRPr="005356C3" w:rsidRDefault="00F659E7">
            <w:pPr>
              <w:rPr>
                <w:sz w:val="20"/>
                <w:szCs w:val="20"/>
              </w:rPr>
            </w:pPr>
            <w:r>
              <w:rPr>
                <w:sz w:val="20"/>
                <w:szCs w:val="20"/>
              </w:rPr>
              <w:t>Prepare internal communications related to SDH and health to support ongoing communication and knowledge</w:t>
            </w:r>
          </w:p>
        </w:tc>
        <w:tc>
          <w:tcPr>
            <w:tcW w:w="1710" w:type="dxa"/>
            <w:tcBorders>
              <w:top w:val="nil"/>
              <w:bottom w:val="nil"/>
            </w:tcBorders>
          </w:tcPr>
          <w:p w:rsidR="00652217" w:rsidRDefault="00051D89" w:rsidP="00051D89">
            <w:pPr>
              <w:rPr>
                <w:sz w:val="20"/>
                <w:szCs w:val="20"/>
              </w:rPr>
            </w:pPr>
            <w:r>
              <w:rPr>
                <w:sz w:val="20"/>
                <w:szCs w:val="20"/>
              </w:rPr>
              <w:t>Develop health unit appro</w:t>
            </w:r>
            <w:r w:rsidR="00841B72">
              <w:rPr>
                <w:sz w:val="20"/>
                <w:szCs w:val="20"/>
              </w:rPr>
              <w:t xml:space="preserve">ach to addressing SDH , policy, agency operational </w:t>
            </w:r>
            <w:r w:rsidR="0001723A">
              <w:rPr>
                <w:sz w:val="20"/>
                <w:szCs w:val="20"/>
              </w:rPr>
              <w:t xml:space="preserve">and program </w:t>
            </w:r>
            <w:r w:rsidR="00841B72">
              <w:rPr>
                <w:sz w:val="20"/>
                <w:szCs w:val="20"/>
              </w:rPr>
              <w:t>plans</w:t>
            </w:r>
          </w:p>
        </w:tc>
        <w:tc>
          <w:tcPr>
            <w:tcW w:w="1620" w:type="dxa"/>
            <w:tcBorders>
              <w:top w:val="nil"/>
              <w:bottom w:val="nil"/>
            </w:tcBorders>
          </w:tcPr>
          <w:p w:rsidR="00652217" w:rsidRDefault="00652217" w:rsidP="00DC746C">
            <w:pPr>
              <w:rPr>
                <w:sz w:val="20"/>
                <w:szCs w:val="20"/>
              </w:rPr>
            </w:pPr>
          </w:p>
        </w:tc>
        <w:tc>
          <w:tcPr>
            <w:tcW w:w="1710" w:type="dxa"/>
            <w:tcBorders>
              <w:top w:val="nil"/>
              <w:bottom w:val="nil"/>
            </w:tcBorders>
          </w:tcPr>
          <w:p w:rsidR="00652217" w:rsidRPr="005356C3" w:rsidRDefault="00652217">
            <w:pPr>
              <w:rPr>
                <w:sz w:val="20"/>
                <w:szCs w:val="20"/>
              </w:rPr>
            </w:pPr>
          </w:p>
        </w:tc>
        <w:tc>
          <w:tcPr>
            <w:tcW w:w="1080" w:type="dxa"/>
            <w:tcBorders>
              <w:top w:val="nil"/>
              <w:bottom w:val="nil"/>
            </w:tcBorders>
          </w:tcPr>
          <w:p w:rsidR="00652217" w:rsidRDefault="00652217" w:rsidP="00932CC8">
            <w:pPr>
              <w:rPr>
                <w:sz w:val="28"/>
                <w:szCs w:val="28"/>
              </w:rPr>
            </w:pPr>
            <w:r w:rsidRPr="00752859">
              <w:rPr>
                <w:sz w:val="28"/>
                <w:szCs w:val="28"/>
              </w:rPr>
              <w:t>√</w:t>
            </w:r>
          </w:p>
          <w:p w:rsidR="00652217" w:rsidRPr="00752859" w:rsidRDefault="00652217">
            <w:pPr>
              <w:rPr>
                <w:sz w:val="28"/>
                <w:szCs w:val="28"/>
              </w:rPr>
            </w:pPr>
          </w:p>
        </w:tc>
        <w:tc>
          <w:tcPr>
            <w:tcW w:w="990" w:type="dxa"/>
            <w:tcBorders>
              <w:top w:val="nil"/>
              <w:bottom w:val="nil"/>
            </w:tcBorders>
          </w:tcPr>
          <w:p w:rsidR="00652217" w:rsidRDefault="00652217"/>
        </w:tc>
        <w:tc>
          <w:tcPr>
            <w:tcW w:w="1080" w:type="dxa"/>
            <w:tcBorders>
              <w:top w:val="nil"/>
              <w:bottom w:val="nil"/>
            </w:tcBorders>
          </w:tcPr>
          <w:p w:rsidR="00652217" w:rsidRDefault="00652217"/>
        </w:tc>
      </w:tr>
      <w:tr w:rsidR="00F06AC6" w:rsidTr="00652217">
        <w:tc>
          <w:tcPr>
            <w:tcW w:w="1525" w:type="dxa"/>
            <w:tcBorders>
              <w:top w:val="nil"/>
              <w:bottom w:val="nil"/>
            </w:tcBorders>
          </w:tcPr>
          <w:p w:rsidR="00F06AC6" w:rsidRPr="000B0E3D" w:rsidRDefault="00F06AC6" w:rsidP="00F06AC6">
            <w:pPr>
              <w:rPr>
                <w:b/>
                <w:sz w:val="20"/>
                <w:szCs w:val="20"/>
              </w:rPr>
            </w:pPr>
          </w:p>
        </w:tc>
        <w:tc>
          <w:tcPr>
            <w:tcW w:w="1530" w:type="dxa"/>
            <w:tcBorders>
              <w:top w:val="nil"/>
              <w:bottom w:val="nil"/>
            </w:tcBorders>
          </w:tcPr>
          <w:p w:rsidR="00F06AC6" w:rsidRPr="005356C3" w:rsidRDefault="00F06AC6" w:rsidP="00F06AC6">
            <w:pPr>
              <w:rPr>
                <w:sz w:val="20"/>
                <w:szCs w:val="20"/>
              </w:rPr>
            </w:pPr>
          </w:p>
        </w:tc>
        <w:tc>
          <w:tcPr>
            <w:tcW w:w="1710" w:type="dxa"/>
            <w:tcBorders>
              <w:top w:val="nil"/>
              <w:bottom w:val="nil"/>
            </w:tcBorders>
          </w:tcPr>
          <w:p w:rsidR="00F06AC6" w:rsidRDefault="00F659E7" w:rsidP="00F06AC6">
            <w:pPr>
              <w:rPr>
                <w:sz w:val="20"/>
                <w:szCs w:val="20"/>
              </w:rPr>
            </w:pPr>
            <w:r>
              <w:rPr>
                <w:sz w:val="20"/>
                <w:szCs w:val="20"/>
              </w:rPr>
              <w:t>Conduct SDH training for other staff</w:t>
            </w:r>
          </w:p>
        </w:tc>
        <w:tc>
          <w:tcPr>
            <w:tcW w:w="1620" w:type="dxa"/>
            <w:tcBorders>
              <w:top w:val="nil"/>
              <w:bottom w:val="nil"/>
            </w:tcBorders>
          </w:tcPr>
          <w:p w:rsidR="00F06AC6" w:rsidRPr="005356C3" w:rsidRDefault="00F659E7" w:rsidP="00F06AC6">
            <w:pPr>
              <w:rPr>
                <w:sz w:val="20"/>
                <w:szCs w:val="20"/>
              </w:rPr>
            </w:pPr>
            <w:r>
              <w:rPr>
                <w:sz w:val="20"/>
                <w:szCs w:val="20"/>
              </w:rPr>
              <w:t>Develop online prenatal education module</w:t>
            </w:r>
          </w:p>
        </w:tc>
        <w:tc>
          <w:tcPr>
            <w:tcW w:w="1710" w:type="dxa"/>
            <w:tcBorders>
              <w:top w:val="nil"/>
              <w:bottom w:val="nil"/>
            </w:tcBorders>
          </w:tcPr>
          <w:p w:rsidR="00F06AC6" w:rsidRDefault="00F06AC6" w:rsidP="00F06AC6">
            <w:pPr>
              <w:rPr>
                <w:sz w:val="20"/>
                <w:szCs w:val="20"/>
              </w:rPr>
            </w:pPr>
            <w:r>
              <w:rPr>
                <w:sz w:val="20"/>
                <w:szCs w:val="20"/>
              </w:rPr>
              <w:t xml:space="preserve">Divide SDH-PHN positions among programs in smaller increments – e.g., 0.1 FTE  </w:t>
            </w:r>
          </w:p>
        </w:tc>
        <w:tc>
          <w:tcPr>
            <w:tcW w:w="1620" w:type="dxa"/>
            <w:tcBorders>
              <w:top w:val="nil"/>
              <w:bottom w:val="nil"/>
            </w:tcBorders>
          </w:tcPr>
          <w:p w:rsidR="00F06AC6" w:rsidRDefault="00F06AC6" w:rsidP="00F06AC6">
            <w:pPr>
              <w:rPr>
                <w:sz w:val="20"/>
                <w:szCs w:val="20"/>
              </w:rPr>
            </w:pPr>
          </w:p>
        </w:tc>
        <w:tc>
          <w:tcPr>
            <w:tcW w:w="1710" w:type="dxa"/>
            <w:tcBorders>
              <w:top w:val="nil"/>
              <w:bottom w:val="nil"/>
            </w:tcBorders>
          </w:tcPr>
          <w:p w:rsidR="00F06AC6" w:rsidRPr="005356C3" w:rsidRDefault="00F06AC6" w:rsidP="00F06AC6">
            <w:pPr>
              <w:rPr>
                <w:sz w:val="20"/>
                <w:szCs w:val="20"/>
              </w:rPr>
            </w:pPr>
          </w:p>
        </w:tc>
        <w:tc>
          <w:tcPr>
            <w:tcW w:w="1080" w:type="dxa"/>
            <w:tcBorders>
              <w:top w:val="nil"/>
              <w:bottom w:val="nil"/>
            </w:tcBorders>
          </w:tcPr>
          <w:p w:rsidR="00F06AC6" w:rsidRDefault="00F06AC6" w:rsidP="00F06AC6">
            <w:pPr>
              <w:rPr>
                <w:sz w:val="28"/>
                <w:szCs w:val="28"/>
              </w:rPr>
            </w:pPr>
            <w:r w:rsidRPr="00752859">
              <w:rPr>
                <w:sz w:val="28"/>
                <w:szCs w:val="28"/>
              </w:rPr>
              <w:t>√</w:t>
            </w:r>
          </w:p>
          <w:p w:rsidR="00F06AC6" w:rsidRPr="00752859" w:rsidRDefault="00F06AC6" w:rsidP="00F06AC6">
            <w:pPr>
              <w:rPr>
                <w:sz w:val="28"/>
                <w:szCs w:val="28"/>
              </w:rPr>
            </w:pPr>
          </w:p>
        </w:tc>
        <w:tc>
          <w:tcPr>
            <w:tcW w:w="990" w:type="dxa"/>
            <w:tcBorders>
              <w:top w:val="nil"/>
              <w:bottom w:val="nil"/>
            </w:tcBorders>
          </w:tcPr>
          <w:p w:rsidR="00F06AC6" w:rsidRDefault="00F06AC6" w:rsidP="00F06AC6"/>
        </w:tc>
        <w:tc>
          <w:tcPr>
            <w:tcW w:w="1080" w:type="dxa"/>
            <w:tcBorders>
              <w:top w:val="nil"/>
              <w:bottom w:val="nil"/>
            </w:tcBorders>
          </w:tcPr>
          <w:p w:rsidR="00F06AC6" w:rsidRDefault="00F06AC6" w:rsidP="00F06AC6"/>
        </w:tc>
      </w:tr>
      <w:tr w:rsidR="00F06AC6" w:rsidTr="004D5466">
        <w:tc>
          <w:tcPr>
            <w:tcW w:w="1525" w:type="dxa"/>
            <w:tcBorders>
              <w:top w:val="nil"/>
              <w:bottom w:val="nil"/>
            </w:tcBorders>
          </w:tcPr>
          <w:p w:rsidR="00F06AC6" w:rsidRPr="000B0E3D" w:rsidRDefault="00F06AC6" w:rsidP="00F06AC6">
            <w:pPr>
              <w:rPr>
                <w:b/>
                <w:sz w:val="20"/>
                <w:szCs w:val="20"/>
              </w:rPr>
            </w:pPr>
          </w:p>
        </w:tc>
        <w:tc>
          <w:tcPr>
            <w:tcW w:w="1530" w:type="dxa"/>
            <w:tcBorders>
              <w:top w:val="nil"/>
              <w:bottom w:val="nil"/>
            </w:tcBorders>
          </w:tcPr>
          <w:p w:rsidR="00F06AC6" w:rsidRPr="005356C3" w:rsidRDefault="00F06AC6" w:rsidP="00F06AC6">
            <w:pPr>
              <w:rPr>
                <w:sz w:val="20"/>
                <w:szCs w:val="20"/>
              </w:rPr>
            </w:pPr>
          </w:p>
        </w:tc>
        <w:tc>
          <w:tcPr>
            <w:tcW w:w="1710" w:type="dxa"/>
            <w:tcBorders>
              <w:top w:val="nil"/>
              <w:bottom w:val="nil"/>
            </w:tcBorders>
          </w:tcPr>
          <w:p w:rsidR="00F06AC6" w:rsidRDefault="00F06AC6" w:rsidP="00F06AC6">
            <w:pPr>
              <w:rPr>
                <w:sz w:val="20"/>
                <w:szCs w:val="20"/>
              </w:rPr>
            </w:pPr>
          </w:p>
        </w:tc>
        <w:tc>
          <w:tcPr>
            <w:tcW w:w="1620" w:type="dxa"/>
            <w:tcBorders>
              <w:top w:val="nil"/>
              <w:bottom w:val="nil"/>
            </w:tcBorders>
          </w:tcPr>
          <w:p w:rsidR="00F06AC6" w:rsidRPr="005356C3" w:rsidRDefault="00F659E7" w:rsidP="00F06AC6">
            <w:pPr>
              <w:rPr>
                <w:sz w:val="20"/>
                <w:szCs w:val="20"/>
              </w:rPr>
            </w:pPr>
            <w:r>
              <w:rPr>
                <w:sz w:val="20"/>
                <w:szCs w:val="20"/>
              </w:rPr>
              <w:t>Develop website for agency to address SDH</w:t>
            </w:r>
          </w:p>
        </w:tc>
        <w:tc>
          <w:tcPr>
            <w:tcW w:w="1710" w:type="dxa"/>
            <w:tcBorders>
              <w:top w:val="nil"/>
              <w:bottom w:val="nil"/>
            </w:tcBorders>
          </w:tcPr>
          <w:p w:rsidR="00F06AC6" w:rsidRDefault="00F06AC6" w:rsidP="00F06AC6">
            <w:pPr>
              <w:rPr>
                <w:sz w:val="20"/>
                <w:szCs w:val="20"/>
              </w:rPr>
            </w:pPr>
            <w:r>
              <w:rPr>
                <w:sz w:val="20"/>
                <w:szCs w:val="20"/>
              </w:rPr>
              <w:t xml:space="preserve">Develop </w:t>
            </w:r>
            <w:r w:rsidR="0001723A">
              <w:rPr>
                <w:sz w:val="20"/>
                <w:szCs w:val="20"/>
              </w:rPr>
              <w:t xml:space="preserve">agency-wide SDH and </w:t>
            </w:r>
            <w:r>
              <w:rPr>
                <w:sz w:val="20"/>
                <w:szCs w:val="20"/>
              </w:rPr>
              <w:t xml:space="preserve">health equity </w:t>
            </w:r>
            <w:r w:rsidR="0001723A">
              <w:rPr>
                <w:sz w:val="20"/>
                <w:szCs w:val="20"/>
              </w:rPr>
              <w:t xml:space="preserve">tools – equity </w:t>
            </w:r>
            <w:r>
              <w:rPr>
                <w:sz w:val="20"/>
                <w:szCs w:val="20"/>
              </w:rPr>
              <w:t>impact assessment tool</w:t>
            </w:r>
            <w:r w:rsidR="0001723A">
              <w:rPr>
                <w:sz w:val="20"/>
                <w:szCs w:val="20"/>
              </w:rPr>
              <w:t xml:space="preserve">, framework, guidance document, decision making tools, process to  identify priority populations </w:t>
            </w:r>
          </w:p>
        </w:tc>
        <w:tc>
          <w:tcPr>
            <w:tcW w:w="1620" w:type="dxa"/>
            <w:tcBorders>
              <w:top w:val="nil"/>
              <w:bottom w:val="nil"/>
            </w:tcBorders>
          </w:tcPr>
          <w:p w:rsidR="00F06AC6" w:rsidRDefault="00F06AC6" w:rsidP="00F06AC6">
            <w:pPr>
              <w:rPr>
                <w:sz w:val="20"/>
                <w:szCs w:val="20"/>
              </w:rPr>
            </w:pPr>
          </w:p>
        </w:tc>
        <w:tc>
          <w:tcPr>
            <w:tcW w:w="1710" w:type="dxa"/>
            <w:tcBorders>
              <w:top w:val="nil"/>
              <w:bottom w:val="nil"/>
            </w:tcBorders>
          </w:tcPr>
          <w:p w:rsidR="00F06AC6" w:rsidRPr="005356C3" w:rsidRDefault="00F06AC6" w:rsidP="00F06AC6">
            <w:pPr>
              <w:rPr>
                <w:sz w:val="20"/>
                <w:szCs w:val="20"/>
              </w:rPr>
            </w:pPr>
          </w:p>
        </w:tc>
        <w:tc>
          <w:tcPr>
            <w:tcW w:w="1080" w:type="dxa"/>
            <w:tcBorders>
              <w:top w:val="nil"/>
              <w:bottom w:val="nil"/>
            </w:tcBorders>
          </w:tcPr>
          <w:p w:rsidR="00F06AC6" w:rsidRDefault="00F06AC6" w:rsidP="00F06AC6">
            <w:pPr>
              <w:rPr>
                <w:sz w:val="28"/>
                <w:szCs w:val="28"/>
              </w:rPr>
            </w:pPr>
            <w:r w:rsidRPr="00752859">
              <w:rPr>
                <w:sz w:val="28"/>
                <w:szCs w:val="28"/>
              </w:rPr>
              <w:t>√</w:t>
            </w:r>
          </w:p>
          <w:p w:rsidR="00F06AC6" w:rsidRPr="00752859" w:rsidRDefault="00F06AC6" w:rsidP="00F06AC6">
            <w:pPr>
              <w:rPr>
                <w:sz w:val="28"/>
                <w:szCs w:val="28"/>
              </w:rPr>
            </w:pPr>
          </w:p>
        </w:tc>
        <w:tc>
          <w:tcPr>
            <w:tcW w:w="990" w:type="dxa"/>
            <w:tcBorders>
              <w:top w:val="nil"/>
              <w:bottom w:val="nil"/>
            </w:tcBorders>
          </w:tcPr>
          <w:p w:rsidR="0001723A" w:rsidRDefault="0001723A" w:rsidP="0001723A">
            <w:pPr>
              <w:rPr>
                <w:sz w:val="28"/>
                <w:szCs w:val="28"/>
              </w:rPr>
            </w:pPr>
            <w:r w:rsidRPr="00752859">
              <w:rPr>
                <w:sz w:val="28"/>
                <w:szCs w:val="28"/>
              </w:rPr>
              <w:t>√</w:t>
            </w:r>
          </w:p>
          <w:p w:rsidR="00F06AC6" w:rsidRDefault="00F06AC6" w:rsidP="00F06AC6"/>
        </w:tc>
        <w:tc>
          <w:tcPr>
            <w:tcW w:w="1080" w:type="dxa"/>
            <w:tcBorders>
              <w:top w:val="nil"/>
              <w:bottom w:val="nil"/>
            </w:tcBorders>
          </w:tcPr>
          <w:p w:rsidR="00F06AC6" w:rsidRDefault="00F06AC6" w:rsidP="00F06AC6"/>
        </w:tc>
      </w:tr>
      <w:tr w:rsidR="00F06AC6" w:rsidTr="00134A15">
        <w:tc>
          <w:tcPr>
            <w:tcW w:w="1525" w:type="dxa"/>
            <w:tcBorders>
              <w:bottom w:val="nil"/>
            </w:tcBorders>
          </w:tcPr>
          <w:p w:rsidR="00F06AC6" w:rsidRPr="000B0E3D" w:rsidRDefault="00F06AC6" w:rsidP="00F06AC6">
            <w:pPr>
              <w:rPr>
                <w:b/>
                <w:sz w:val="20"/>
                <w:szCs w:val="20"/>
              </w:rPr>
            </w:pPr>
            <w:r w:rsidRPr="000B0E3D">
              <w:rPr>
                <w:b/>
                <w:sz w:val="20"/>
                <w:szCs w:val="20"/>
              </w:rPr>
              <w:t>Engage in community &amp; intersectoral collaboration</w:t>
            </w:r>
          </w:p>
        </w:tc>
        <w:tc>
          <w:tcPr>
            <w:tcW w:w="1530" w:type="dxa"/>
            <w:tcBorders>
              <w:bottom w:val="nil"/>
            </w:tcBorders>
          </w:tcPr>
          <w:p w:rsidR="00F06AC6" w:rsidRPr="005356C3" w:rsidRDefault="00F06AC6" w:rsidP="00F06AC6">
            <w:pPr>
              <w:rPr>
                <w:sz w:val="20"/>
                <w:szCs w:val="20"/>
              </w:rPr>
            </w:pPr>
          </w:p>
        </w:tc>
        <w:tc>
          <w:tcPr>
            <w:tcW w:w="1710" w:type="dxa"/>
            <w:tcBorders>
              <w:bottom w:val="nil"/>
            </w:tcBorders>
          </w:tcPr>
          <w:p w:rsidR="00F06AC6" w:rsidRPr="005356C3" w:rsidRDefault="00F06AC6" w:rsidP="00F06AC6">
            <w:pPr>
              <w:rPr>
                <w:sz w:val="20"/>
                <w:szCs w:val="20"/>
              </w:rPr>
            </w:pPr>
          </w:p>
        </w:tc>
        <w:tc>
          <w:tcPr>
            <w:tcW w:w="1620" w:type="dxa"/>
            <w:tcBorders>
              <w:bottom w:val="nil"/>
            </w:tcBorders>
          </w:tcPr>
          <w:p w:rsidR="00F06AC6" w:rsidRPr="005356C3" w:rsidRDefault="00F06AC6" w:rsidP="00F06AC6">
            <w:pPr>
              <w:rPr>
                <w:sz w:val="20"/>
                <w:szCs w:val="20"/>
              </w:rPr>
            </w:pPr>
            <w:r>
              <w:rPr>
                <w:sz w:val="20"/>
                <w:szCs w:val="20"/>
              </w:rPr>
              <w:t xml:space="preserve">Knowledge broker to other health care providers – community health </w:t>
            </w:r>
            <w:proofErr w:type="spellStart"/>
            <w:r>
              <w:rPr>
                <w:sz w:val="20"/>
                <w:szCs w:val="20"/>
              </w:rPr>
              <w:t>centres</w:t>
            </w:r>
            <w:proofErr w:type="spellEnd"/>
            <w:r>
              <w:rPr>
                <w:sz w:val="20"/>
                <w:szCs w:val="20"/>
              </w:rPr>
              <w:t xml:space="preserve">, primary </w:t>
            </w:r>
            <w:r w:rsidR="00D633F3">
              <w:rPr>
                <w:sz w:val="20"/>
                <w:szCs w:val="20"/>
              </w:rPr>
              <w:t xml:space="preserve">care </w:t>
            </w:r>
            <w:r>
              <w:rPr>
                <w:sz w:val="20"/>
                <w:szCs w:val="20"/>
              </w:rPr>
              <w:t>practitioners</w:t>
            </w:r>
          </w:p>
        </w:tc>
        <w:tc>
          <w:tcPr>
            <w:tcW w:w="1710" w:type="dxa"/>
            <w:tcBorders>
              <w:bottom w:val="nil"/>
            </w:tcBorders>
          </w:tcPr>
          <w:p w:rsidR="00F06AC6" w:rsidRPr="005356C3" w:rsidRDefault="00F06AC6" w:rsidP="00F06AC6">
            <w:pPr>
              <w:rPr>
                <w:sz w:val="20"/>
                <w:szCs w:val="20"/>
              </w:rPr>
            </w:pPr>
          </w:p>
        </w:tc>
        <w:tc>
          <w:tcPr>
            <w:tcW w:w="1620" w:type="dxa"/>
            <w:tcBorders>
              <w:bottom w:val="nil"/>
            </w:tcBorders>
          </w:tcPr>
          <w:p w:rsidR="00F06AC6" w:rsidRPr="005356C3" w:rsidRDefault="00544D28" w:rsidP="00F06AC6">
            <w:pPr>
              <w:rPr>
                <w:sz w:val="20"/>
                <w:szCs w:val="20"/>
              </w:rPr>
            </w:pPr>
            <w:r>
              <w:rPr>
                <w:sz w:val="20"/>
                <w:szCs w:val="20"/>
              </w:rPr>
              <w:t>Organize workshops and training on SDH for community partners</w:t>
            </w:r>
          </w:p>
        </w:tc>
        <w:tc>
          <w:tcPr>
            <w:tcW w:w="1710" w:type="dxa"/>
            <w:tcBorders>
              <w:bottom w:val="nil"/>
            </w:tcBorders>
          </w:tcPr>
          <w:p w:rsidR="00F06AC6" w:rsidRPr="005356C3" w:rsidRDefault="00544D28" w:rsidP="00544D28">
            <w:pPr>
              <w:rPr>
                <w:sz w:val="20"/>
                <w:szCs w:val="20"/>
              </w:rPr>
            </w:pPr>
            <w:r>
              <w:rPr>
                <w:sz w:val="20"/>
                <w:szCs w:val="20"/>
              </w:rPr>
              <w:t xml:space="preserve">Link with external agencies that work with SDH affected clients – e.g., newcomer agencies, housing  </w:t>
            </w:r>
          </w:p>
        </w:tc>
        <w:tc>
          <w:tcPr>
            <w:tcW w:w="1080" w:type="dxa"/>
            <w:tcBorders>
              <w:bottom w:val="nil"/>
            </w:tcBorders>
          </w:tcPr>
          <w:p w:rsidR="00F06AC6" w:rsidRDefault="00F06AC6" w:rsidP="00F06AC6"/>
        </w:tc>
        <w:tc>
          <w:tcPr>
            <w:tcW w:w="990" w:type="dxa"/>
            <w:tcBorders>
              <w:bottom w:val="nil"/>
            </w:tcBorders>
          </w:tcPr>
          <w:p w:rsidR="00F06AC6" w:rsidRDefault="00F06AC6" w:rsidP="00F06AC6">
            <w:r w:rsidRPr="00752859">
              <w:rPr>
                <w:sz w:val="28"/>
                <w:szCs w:val="28"/>
              </w:rPr>
              <w:t>√</w:t>
            </w:r>
          </w:p>
        </w:tc>
        <w:tc>
          <w:tcPr>
            <w:tcW w:w="1080" w:type="dxa"/>
            <w:tcBorders>
              <w:bottom w:val="nil"/>
            </w:tcBorders>
          </w:tcPr>
          <w:p w:rsidR="00F06AC6" w:rsidRDefault="00F06AC6" w:rsidP="00F06AC6"/>
        </w:tc>
      </w:tr>
      <w:tr w:rsidR="00F06AC6" w:rsidTr="00134A15">
        <w:tc>
          <w:tcPr>
            <w:tcW w:w="1525" w:type="dxa"/>
            <w:tcBorders>
              <w:top w:val="nil"/>
              <w:bottom w:val="nil"/>
            </w:tcBorders>
          </w:tcPr>
          <w:p w:rsidR="00F06AC6" w:rsidRPr="000B0E3D" w:rsidRDefault="00F06AC6" w:rsidP="00F06AC6">
            <w:pPr>
              <w:rPr>
                <w:b/>
                <w:sz w:val="20"/>
                <w:szCs w:val="20"/>
              </w:rPr>
            </w:pPr>
          </w:p>
        </w:tc>
        <w:tc>
          <w:tcPr>
            <w:tcW w:w="1530" w:type="dxa"/>
            <w:tcBorders>
              <w:top w:val="nil"/>
              <w:bottom w:val="nil"/>
            </w:tcBorders>
          </w:tcPr>
          <w:p w:rsidR="00F06AC6" w:rsidRPr="005356C3" w:rsidRDefault="00F06AC6" w:rsidP="00F06AC6">
            <w:pPr>
              <w:rPr>
                <w:sz w:val="20"/>
                <w:szCs w:val="20"/>
              </w:rPr>
            </w:pPr>
          </w:p>
        </w:tc>
        <w:tc>
          <w:tcPr>
            <w:tcW w:w="1710" w:type="dxa"/>
            <w:tcBorders>
              <w:top w:val="nil"/>
              <w:bottom w:val="nil"/>
            </w:tcBorders>
          </w:tcPr>
          <w:p w:rsidR="00F06AC6" w:rsidRPr="005356C3" w:rsidRDefault="00F06AC6" w:rsidP="00F06AC6">
            <w:pPr>
              <w:rPr>
                <w:sz w:val="20"/>
                <w:szCs w:val="20"/>
              </w:rPr>
            </w:pPr>
          </w:p>
        </w:tc>
        <w:tc>
          <w:tcPr>
            <w:tcW w:w="1620" w:type="dxa"/>
            <w:tcBorders>
              <w:top w:val="nil"/>
              <w:bottom w:val="nil"/>
            </w:tcBorders>
          </w:tcPr>
          <w:p w:rsidR="00F06AC6" w:rsidRPr="005356C3" w:rsidRDefault="00F06AC6" w:rsidP="00F06AC6">
            <w:pPr>
              <w:rPr>
                <w:sz w:val="20"/>
                <w:szCs w:val="20"/>
              </w:rPr>
            </w:pPr>
          </w:p>
        </w:tc>
        <w:tc>
          <w:tcPr>
            <w:tcW w:w="1710" w:type="dxa"/>
            <w:tcBorders>
              <w:top w:val="nil"/>
              <w:bottom w:val="nil"/>
            </w:tcBorders>
          </w:tcPr>
          <w:p w:rsidR="00F06AC6" w:rsidRPr="005356C3" w:rsidRDefault="00F06AC6" w:rsidP="00F06AC6">
            <w:pPr>
              <w:rPr>
                <w:sz w:val="20"/>
                <w:szCs w:val="20"/>
              </w:rPr>
            </w:pPr>
          </w:p>
        </w:tc>
        <w:tc>
          <w:tcPr>
            <w:tcW w:w="1620" w:type="dxa"/>
            <w:tcBorders>
              <w:top w:val="nil"/>
              <w:bottom w:val="nil"/>
            </w:tcBorders>
          </w:tcPr>
          <w:p w:rsidR="00F06AC6" w:rsidRPr="005356C3" w:rsidRDefault="00F06AC6" w:rsidP="00F06AC6">
            <w:pPr>
              <w:rPr>
                <w:sz w:val="20"/>
                <w:szCs w:val="20"/>
              </w:rPr>
            </w:pPr>
          </w:p>
        </w:tc>
        <w:tc>
          <w:tcPr>
            <w:tcW w:w="1710" w:type="dxa"/>
            <w:tcBorders>
              <w:top w:val="nil"/>
              <w:bottom w:val="nil"/>
            </w:tcBorders>
          </w:tcPr>
          <w:p w:rsidR="00F06AC6" w:rsidRDefault="00F06AC6" w:rsidP="00F06AC6">
            <w:pPr>
              <w:rPr>
                <w:sz w:val="20"/>
                <w:szCs w:val="20"/>
              </w:rPr>
            </w:pPr>
            <w:r>
              <w:rPr>
                <w:sz w:val="20"/>
                <w:szCs w:val="20"/>
              </w:rPr>
              <w:t>Work with stakeholders to understand how SDH impact health</w:t>
            </w:r>
          </w:p>
        </w:tc>
        <w:tc>
          <w:tcPr>
            <w:tcW w:w="1080" w:type="dxa"/>
            <w:tcBorders>
              <w:top w:val="nil"/>
              <w:bottom w:val="nil"/>
            </w:tcBorders>
          </w:tcPr>
          <w:p w:rsidR="00F06AC6" w:rsidRDefault="00F06AC6" w:rsidP="00F06AC6"/>
        </w:tc>
        <w:tc>
          <w:tcPr>
            <w:tcW w:w="990" w:type="dxa"/>
            <w:tcBorders>
              <w:top w:val="nil"/>
              <w:bottom w:val="nil"/>
            </w:tcBorders>
          </w:tcPr>
          <w:p w:rsidR="00F06AC6" w:rsidRPr="00752859" w:rsidRDefault="00F06AC6" w:rsidP="00F06AC6">
            <w:pPr>
              <w:rPr>
                <w:sz w:val="28"/>
                <w:szCs w:val="28"/>
              </w:rPr>
            </w:pPr>
            <w:r w:rsidRPr="00752859">
              <w:rPr>
                <w:sz w:val="28"/>
                <w:szCs w:val="28"/>
              </w:rPr>
              <w:t>√</w:t>
            </w:r>
          </w:p>
        </w:tc>
        <w:tc>
          <w:tcPr>
            <w:tcW w:w="1080" w:type="dxa"/>
            <w:tcBorders>
              <w:top w:val="nil"/>
              <w:bottom w:val="nil"/>
            </w:tcBorders>
          </w:tcPr>
          <w:p w:rsidR="00F06AC6" w:rsidRDefault="00F06AC6" w:rsidP="00F06AC6"/>
        </w:tc>
      </w:tr>
      <w:tr w:rsidR="00F06AC6" w:rsidTr="00022CD4">
        <w:tc>
          <w:tcPr>
            <w:tcW w:w="1525" w:type="dxa"/>
            <w:tcBorders>
              <w:top w:val="nil"/>
              <w:bottom w:val="single" w:sz="4" w:space="0" w:color="auto"/>
            </w:tcBorders>
          </w:tcPr>
          <w:p w:rsidR="00F06AC6" w:rsidRPr="000B0E3D" w:rsidRDefault="00F06AC6" w:rsidP="00F06AC6">
            <w:pPr>
              <w:rPr>
                <w:b/>
                <w:sz w:val="20"/>
                <w:szCs w:val="20"/>
              </w:rPr>
            </w:pPr>
          </w:p>
        </w:tc>
        <w:tc>
          <w:tcPr>
            <w:tcW w:w="1530" w:type="dxa"/>
            <w:tcBorders>
              <w:top w:val="nil"/>
              <w:bottom w:val="single" w:sz="4" w:space="0" w:color="auto"/>
            </w:tcBorders>
          </w:tcPr>
          <w:p w:rsidR="00F06AC6" w:rsidRPr="005356C3" w:rsidRDefault="00F06AC6" w:rsidP="00F06AC6">
            <w:pPr>
              <w:rPr>
                <w:sz w:val="20"/>
                <w:szCs w:val="20"/>
              </w:rPr>
            </w:pPr>
          </w:p>
        </w:tc>
        <w:tc>
          <w:tcPr>
            <w:tcW w:w="1710" w:type="dxa"/>
            <w:tcBorders>
              <w:top w:val="nil"/>
              <w:bottom w:val="single" w:sz="4" w:space="0" w:color="auto"/>
            </w:tcBorders>
          </w:tcPr>
          <w:p w:rsidR="00F06AC6" w:rsidRPr="005356C3" w:rsidRDefault="00F06AC6" w:rsidP="00F06AC6">
            <w:pPr>
              <w:rPr>
                <w:sz w:val="20"/>
                <w:szCs w:val="20"/>
              </w:rPr>
            </w:pPr>
          </w:p>
        </w:tc>
        <w:tc>
          <w:tcPr>
            <w:tcW w:w="1620" w:type="dxa"/>
            <w:tcBorders>
              <w:top w:val="nil"/>
              <w:bottom w:val="single" w:sz="4" w:space="0" w:color="auto"/>
            </w:tcBorders>
          </w:tcPr>
          <w:p w:rsidR="00F06AC6" w:rsidRPr="005356C3" w:rsidRDefault="00F06AC6" w:rsidP="00F06AC6">
            <w:pPr>
              <w:rPr>
                <w:sz w:val="20"/>
                <w:szCs w:val="20"/>
              </w:rPr>
            </w:pPr>
          </w:p>
        </w:tc>
        <w:tc>
          <w:tcPr>
            <w:tcW w:w="1710" w:type="dxa"/>
            <w:tcBorders>
              <w:top w:val="nil"/>
              <w:bottom w:val="single" w:sz="4" w:space="0" w:color="auto"/>
            </w:tcBorders>
          </w:tcPr>
          <w:p w:rsidR="00F06AC6" w:rsidRPr="005356C3" w:rsidRDefault="00F06AC6" w:rsidP="00F06AC6">
            <w:pPr>
              <w:rPr>
                <w:sz w:val="20"/>
                <w:szCs w:val="20"/>
              </w:rPr>
            </w:pPr>
          </w:p>
        </w:tc>
        <w:tc>
          <w:tcPr>
            <w:tcW w:w="1620" w:type="dxa"/>
            <w:tcBorders>
              <w:top w:val="nil"/>
              <w:bottom w:val="single" w:sz="4" w:space="0" w:color="auto"/>
            </w:tcBorders>
          </w:tcPr>
          <w:p w:rsidR="00F06AC6" w:rsidRPr="005356C3" w:rsidRDefault="00F06AC6" w:rsidP="00F06AC6">
            <w:pPr>
              <w:rPr>
                <w:sz w:val="20"/>
                <w:szCs w:val="20"/>
              </w:rPr>
            </w:pPr>
          </w:p>
        </w:tc>
        <w:tc>
          <w:tcPr>
            <w:tcW w:w="1710" w:type="dxa"/>
            <w:tcBorders>
              <w:top w:val="nil"/>
              <w:bottom w:val="single" w:sz="4" w:space="0" w:color="auto"/>
            </w:tcBorders>
          </w:tcPr>
          <w:p w:rsidR="00F06AC6" w:rsidRDefault="00544D28" w:rsidP="00544D28">
            <w:pPr>
              <w:rPr>
                <w:sz w:val="20"/>
                <w:szCs w:val="20"/>
              </w:rPr>
            </w:pPr>
            <w:r>
              <w:rPr>
                <w:sz w:val="20"/>
                <w:szCs w:val="20"/>
              </w:rPr>
              <w:t xml:space="preserve">Outreach to urban Aboriginal area and organizations </w:t>
            </w:r>
          </w:p>
        </w:tc>
        <w:tc>
          <w:tcPr>
            <w:tcW w:w="1080" w:type="dxa"/>
            <w:tcBorders>
              <w:top w:val="nil"/>
              <w:bottom w:val="single" w:sz="4" w:space="0" w:color="auto"/>
            </w:tcBorders>
          </w:tcPr>
          <w:p w:rsidR="00F06AC6" w:rsidRDefault="00F06AC6" w:rsidP="00F06AC6"/>
        </w:tc>
        <w:tc>
          <w:tcPr>
            <w:tcW w:w="990" w:type="dxa"/>
            <w:tcBorders>
              <w:top w:val="nil"/>
              <w:bottom w:val="single" w:sz="4" w:space="0" w:color="auto"/>
            </w:tcBorders>
          </w:tcPr>
          <w:p w:rsidR="00F06AC6" w:rsidRPr="00752859" w:rsidRDefault="00F06AC6" w:rsidP="00F06AC6">
            <w:pPr>
              <w:rPr>
                <w:sz w:val="28"/>
                <w:szCs w:val="28"/>
              </w:rPr>
            </w:pPr>
            <w:r w:rsidRPr="00752859">
              <w:rPr>
                <w:sz w:val="28"/>
                <w:szCs w:val="28"/>
              </w:rPr>
              <w:t>√</w:t>
            </w:r>
          </w:p>
        </w:tc>
        <w:tc>
          <w:tcPr>
            <w:tcW w:w="1080" w:type="dxa"/>
            <w:tcBorders>
              <w:top w:val="nil"/>
              <w:bottom w:val="single" w:sz="4" w:space="0" w:color="auto"/>
            </w:tcBorders>
          </w:tcPr>
          <w:p w:rsidR="00F06AC6" w:rsidRDefault="00F06AC6" w:rsidP="00F06AC6"/>
        </w:tc>
      </w:tr>
      <w:tr w:rsidR="00F06AC6" w:rsidTr="00022CD4">
        <w:tc>
          <w:tcPr>
            <w:tcW w:w="1525" w:type="dxa"/>
            <w:tcBorders>
              <w:bottom w:val="single" w:sz="4" w:space="0" w:color="auto"/>
            </w:tcBorders>
          </w:tcPr>
          <w:p w:rsidR="00F06AC6" w:rsidRPr="000B0E3D" w:rsidRDefault="00F06AC6" w:rsidP="00F06AC6">
            <w:pPr>
              <w:rPr>
                <w:b/>
                <w:sz w:val="20"/>
                <w:szCs w:val="20"/>
              </w:rPr>
            </w:pPr>
            <w:r>
              <w:rPr>
                <w:b/>
                <w:sz w:val="20"/>
                <w:szCs w:val="20"/>
              </w:rPr>
              <w:t>Leadership; p</w:t>
            </w:r>
            <w:r w:rsidRPr="000B0E3D">
              <w:rPr>
                <w:b/>
                <w:sz w:val="20"/>
                <w:szCs w:val="20"/>
              </w:rPr>
              <w:t>olicy analysis, development, &amp; advocacy</w:t>
            </w:r>
          </w:p>
        </w:tc>
        <w:tc>
          <w:tcPr>
            <w:tcW w:w="1530" w:type="dxa"/>
            <w:tcBorders>
              <w:bottom w:val="single" w:sz="4" w:space="0" w:color="auto"/>
            </w:tcBorders>
          </w:tcPr>
          <w:p w:rsidR="00F06AC6" w:rsidRPr="005356C3" w:rsidRDefault="00F06AC6" w:rsidP="00F06AC6">
            <w:pPr>
              <w:rPr>
                <w:sz w:val="20"/>
                <w:szCs w:val="20"/>
              </w:rPr>
            </w:pPr>
          </w:p>
        </w:tc>
        <w:tc>
          <w:tcPr>
            <w:tcW w:w="1710" w:type="dxa"/>
            <w:tcBorders>
              <w:bottom w:val="single" w:sz="4" w:space="0" w:color="auto"/>
            </w:tcBorders>
          </w:tcPr>
          <w:p w:rsidR="00F06AC6" w:rsidRPr="005356C3" w:rsidRDefault="00F06AC6" w:rsidP="00F06AC6">
            <w:pPr>
              <w:rPr>
                <w:sz w:val="20"/>
                <w:szCs w:val="20"/>
              </w:rPr>
            </w:pPr>
          </w:p>
        </w:tc>
        <w:tc>
          <w:tcPr>
            <w:tcW w:w="1620" w:type="dxa"/>
            <w:tcBorders>
              <w:bottom w:val="single" w:sz="4" w:space="0" w:color="auto"/>
            </w:tcBorders>
          </w:tcPr>
          <w:p w:rsidR="00F06AC6" w:rsidRPr="005356C3" w:rsidRDefault="00F06AC6" w:rsidP="00F06AC6">
            <w:pPr>
              <w:rPr>
                <w:sz w:val="20"/>
                <w:szCs w:val="20"/>
              </w:rPr>
            </w:pPr>
          </w:p>
        </w:tc>
        <w:tc>
          <w:tcPr>
            <w:tcW w:w="1710" w:type="dxa"/>
            <w:tcBorders>
              <w:bottom w:val="single" w:sz="4" w:space="0" w:color="auto"/>
            </w:tcBorders>
          </w:tcPr>
          <w:p w:rsidR="00F06AC6" w:rsidRPr="005356C3" w:rsidRDefault="00F06AC6" w:rsidP="00F06AC6">
            <w:pPr>
              <w:rPr>
                <w:sz w:val="20"/>
                <w:szCs w:val="20"/>
              </w:rPr>
            </w:pPr>
          </w:p>
        </w:tc>
        <w:tc>
          <w:tcPr>
            <w:tcW w:w="1620" w:type="dxa"/>
            <w:tcBorders>
              <w:bottom w:val="single" w:sz="4" w:space="0" w:color="auto"/>
            </w:tcBorders>
          </w:tcPr>
          <w:p w:rsidR="00F06AC6" w:rsidRPr="005356C3" w:rsidRDefault="00022CD4" w:rsidP="00F06AC6">
            <w:pPr>
              <w:rPr>
                <w:sz w:val="20"/>
                <w:szCs w:val="20"/>
              </w:rPr>
            </w:pPr>
            <w:r>
              <w:rPr>
                <w:sz w:val="20"/>
                <w:szCs w:val="20"/>
              </w:rPr>
              <w:t>Participate in local coalitions linked with sdh-related factors</w:t>
            </w:r>
          </w:p>
        </w:tc>
        <w:tc>
          <w:tcPr>
            <w:tcW w:w="1710" w:type="dxa"/>
            <w:tcBorders>
              <w:bottom w:val="single" w:sz="4" w:space="0" w:color="auto"/>
            </w:tcBorders>
          </w:tcPr>
          <w:p w:rsidR="00F06AC6" w:rsidRPr="005356C3" w:rsidRDefault="00F06AC6" w:rsidP="00F06AC6">
            <w:pPr>
              <w:rPr>
                <w:sz w:val="20"/>
                <w:szCs w:val="20"/>
              </w:rPr>
            </w:pPr>
            <w:r>
              <w:rPr>
                <w:sz w:val="20"/>
                <w:szCs w:val="20"/>
              </w:rPr>
              <w:t xml:space="preserve">Involvement with Ontario provincial SDH-PHN network and </w:t>
            </w:r>
            <w:r>
              <w:rPr>
                <w:sz w:val="20"/>
                <w:szCs w:val="20"/>
              </w:rPr>
              <w:lastRenderedPageBreak/>
              <w:t>alpha-OPHA health equity work group</w:t>
            </w:r>
          </w:p>
        </w:tc>
        <w:tc>
          <w:tcPr>
            <w:tcW w:w="1080" w:type="dxa"/>
            <w:tcBorders>
              <w:bottom w:val="single" w:sz="4" w:space="0" w:color="auto"/>
            </w:tcBorders>
          </w:tcPr>
          <w:p w:rsidR="00F06AC6" w:rsidRDefault="00F06AC6" w:rsidP="00F06AC6"/>
        </w:tc>
        <w:tc>
          <w:tcPr>
            <w:tcW w:w="990" w:type="dxa"/>
            <w:tcBorders>
              <w:bottom w:val="single" w:sz="4" w:space="0" w:color="auto"/>
            </w:tcBorders>
          </w:tcPr>
          <w:p w:rsidR="00F06AC6" w:rsidRDefault="00022CD4" w:rsidP="00F06AC6">
            <w:r w:rsidRPr="00752859">
              <w:rPr>
                <w:sz w:val="28"/>
                <w:szCs w:val="28"/>
              </w:rPr>
              <w:t>√</w:t>
            </w:r>
          </w:p>
        </w:tc>
        <w:tc>
          <w:tcPr>
            <w:tcW w:w="1080" w:type="dxa"/>
            <w:tcBorders>
              <w:bottom w:val="single" w:sz="4" w:space="0" w:color="auto"/>
            </w:tcBorders>
          </w:tcPr>
          <w:p w:rsidR="00F06AC6" w:rsidRDefault="00F06AC6" w:rsidP="00F06AC6">
            <w:r w:rsidRPr="00752859">
              <w:rPr>
                <w:sz w:val="28"/>
                <w:szCs w:val="28"/>
              </w:rPr>
              <w:t>√</w:t>
            </w:r>
          </w:p>
        </w:tc>
      </w:tr>
    </w:tbl>
    <w:p w:rsidR="00A114D8" w:rsidRDefault="00A114D8"/>
    <w:sectPr w:rsidR="00A114D8" w:rsidSect="00A114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8"/>
    <w:rsid w:val="00004EF6"/>
    <w:rsid w:val="0001723A"/>
    <w:rsid w:val="00022CD4"/>
    <w:rsid w:val="00051D89"/>
    <w:rsid w:val="00066B4D"/>
    <w:rsid w:val="00077B5C"/>
    <w:rsid w:val="00080802"/>
    <w:rsid w:val="000B0E3D"/>
    <w:rsid w:val="00134A15"/>
    <w:rsid w:val="00135042"/>
    <w:rsid w:val="001366AF"/>
    <w:rsid w:val="00142190"/>
    <w:rsid w:val="00300263"/>
    <w:rsid w:val="00337897"/>
    <w:rsid w:val="004D5466"/>
    <w:rsid w:val="005356C3"/>
    <w:rsid w:val="00544D28"/>
    <w:rsid w:val="00563B39"/>
    <w:rsid w:val="005A0871"/>
    <w:rsid w:val="00652217"/>
    <w:rsid w:val="00791793"/>
    <w:rsid w:val="0079613B"/>
    <w:rsid w:val="00841B72"/>
    <w:rsid w:val="00932CC8"/>
    <w:rsid w:val="00944750"/>
    <w:rsid w:val="009B5407"/>
    <w:rsid w:val="00A114D8"/>
    <w:rsid w:val="00B13E4D"/>
    <w:rsid w:val="00B24A42"/>
    <w:rsid w:val="00C073BA"/>
    <w:rsid w:val="00C627C1"/>
    <w:rsid w:val="00C71604"/>
    <w:rsid w:val="00CC1123"/>
    <w:rsid w:val="00D533CE"/>
    <w:rsid w:val="00D633F3"/>
    <w:rsid w:val="00DC746C"/>
    <w:rsid w:val="00E73150"/>
    <w:rsid w:val="00EA1EFC"/>
    <w:rsid w:val="00F06AC6"/>
    <w:rsid w:val="00F659E7"/>
    <w:rsid w:val="00F71BA4"/>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4683B-99DC-4998-BFE8-233E31AD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Oickle</dc:creator>
  <cp:keywords/>
  <dc:description/>
  <cp:lastModifiedBy>CMcP</cp:lastModifiedBy>
  <cp:revision>3</cp:revision>
  <dcterms:created xsi:type="dcterms:W3CDTF">2016-04-04T16:33:00Z</dcterms:created>
  <dcterms:modified xsi:type="dcterms:W3CDTF">2016-04-04T16:34:00Z</dcterms:modified>
</cp:coreProperties>
</file>