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09" w:rsidRPr="00FD0F09" w:rsidRDefault="00FD0F09" w:rsidP="00E06CEC">
      <w:pPr>
        <w:spacing w:after="0" w:line="276" w:lineRule="auto"/>
        <w:contextualSpacing/>
        <w:outlineLvl w:val="0"/>
        <w:rPr>
          <w:rFonts w:ascii="Times New Roman" w:eastAsia="Times New Roman" w:hAnsi="Times New Roman" w:cs="Times New Roman"/>
          <w:b/>
          <w:bCs/>
          <w:sz w:val="24"/>
          <w:szCs w:val="24"/>
          <w:u w:val="single"/>
        </w:rPr>
      </w:pPr>
      <w:r w:rsidRPr="00FD0F09">
        <w:rPr>
          <w:rFonts w:ascii="Times New Roman" w:eastAsia="Times New Roman" w:hAnsi="Times New Roman" w:cs="Times New Roman"/>
          <w:b/>
          <w:bCs/>
          <w:sz w:val="24"/>
          <w:szCs w:val="24"/>
          <w:u w:val="single"/>
        </w:rPr>
        <w:t xml:space="preserve">Supplementary Methods (Appendix 1) and </w:t>
      </w:r>
      <w:proofErr w:type="spellStart"/>
      <w:r w:rsidRPr="00FD0F09">
        <w:rPr>
          <w:rFonts w:ascii="Times New Roman" w:eastAsia="Times New Roman" w:hAnsi="Times New Roman" w:cs="Times New Roman"/>
          <w:b/>
          <w:bCs/>
          <w:sz w:val="24"/>
          <w:szCs w:val="24"/>
          <w:u w:val="single"/>
        </w:rPr>
        <w:t>eTables</w:t>
      </w:r>
      <w:proofErr w:type="spellEnd"/>
      <w:r w:rsidRPr="00FD0F09">
        <w:rPr>
          <w:rFonts w:ascii="Times New Roman" w:eastAsia="Times New Roman" w:hAnsi="Times New Roman" w:cs="Times New Roman"/>
          <w:b/>
          <w:bCs/>
          <w:sz w:val="24"/>
          <w:szCs w:val="24"/>
          <w:u w:val="single"/>
        </w:rPr>
        <w:t xml:space="preserve"> 1 to 3 for online viewing only</w:t>
      </w:r>
    </w:p>
    <w:p w:rsidR="00FD0F09" w:rsidRPr="00FD0F09" w:rsidRDefault="00FD0F09" w:rsidP="00FD0F09">
      <w:pPr>
        <w:spacing w:after="200" w:line="276" w:lineRule="auto"/>
        <w:rPr>
          <w:rFonts w:ascii="Times New Roman" w:eastAsia="Times New Roman" w:hAnsi="Times New Roman" w:cs="Times New Roman"/>
          <w:b/>
          <w:sz w:val="24"/>
          <w:szCs w:val="24"/>
        </w:rPr>
      </w:pPr>
    </w:p>
    <w:p w:rsidR="00FD0F09" w:rsidRPr="00FD0F09" w:rsidRDefault="00FD0F09" w:rsidP="00FD0F09">
      <w:pPr>
        <w:spacing w:after="200" w:line="276" w:lineRule="auto"/>
        <w:rPr>
          <w:rFonts w:ascii="Times New Roman" w:eastAsia="Times New Roman" w:hAnsi="Times New Roman" w:cs="Times New Roman"/>
          <w:b/>
          <w:sz w:val="24"/>
          <w:szCs w:val="24"/>
        </w:rPr>
      </w:pPr>
      <w:r w:rsidRPr="00FD0F09">
        <w:rPr>
          <w:rFonts w:ascii="Times New Roman" w:eastAsia="Times New Roman" w:hAnsi="Times New Roman" w:cs="Times New Roman"/>
          <w:b/>
          <w:sz w:val="24"/>
          <w:szCs w:val="24"/>
        </w:rPr>
        <w:t>Outline:</w:t>
      </w:r>
    </w:p>
    <w:p w:rsidR="00FD0F09" w:rsidRPr="00FD0F09" w:rsidRDefault="00FD0F09" w:rsidP="00FD0F09">
      <w:pPr>
        <w:spacing w:before="200" w:after="0" w:line="271" w:lineRule="auto"/>
        <w:outlineLvl w:val="2"/>
        <w:rPr>
          <w:rFonts w:ascii="Times New Roman" w:eastAsia="Times New Roman" w:hAnsi="Times New Roman" w:cs="Times New Roman"/>
          <w:b/>
          <w:bCs/>
          <w:sz w:val="24"/>
          <w:szCs w:val="24"/>
        </w:rPr>
      </w:pPr>
      <w:r w:rsidRPr="00FD0F09">
        <w:rPr>
          <w:rFonts w:ascii="Times New Roman" w:eastAsia="Times New Roman" w:hAnsi="Times New Roman" w:cs="Times New Roman"/>
          <w:b/>
          <w:bCs/>
          <w:sz w:val="24"/>
          <w:szCs w:val="24"/>
        </w:rPr>
        <w:t>Appendix 1: Supplementary methods</w:t>
      </w:r>
    </w:p>
    <w:p w:rsidR="00FD0F09" w:rsidRPr="00FD0F09" w:rsidRDefault="00FD0F09" w:rsidP="00FD0F09">
      <w:pPr>
        <w:spacing w:before="200" w:after="0" w:line="276" w:lineRule="auto"/>
        <w:outlineLvl w:val="1"/>
        <w:rPr>
          <w:rFonts w:ascii="Times New Roman" w:eastAsia="Times New Roman" w:hAnsi="Times New Roman" w:cs="Times New Roman"/>
          <w:bCs/>
          <w:i/>
          <w:sz w:val="24"/>
          <w:szCs w:val="24"/>
        </w:rPr>
      </w:pPr>
      <w:r w:rsidRPr="00FD0F09">
        <w:rPr>
          <w:rFonts w:ascii="Times New Roman" w:eastAsia="Times New Roman" w:hAnsi="Times New Roman" w:cs="Times New Roman"/>
          <w:bCs/>
          <w:i/>
          <w:sz w:val="24"/>
          <w:szCs w:val="24"/>
        </w:rPr>
        <w:t xml:space="preserve">1.1: Diversity metrics  </w:t>
      </w:r>
    </w:p>
    <w:p w:rsidR="00FD0F09" w:rsidRPr="00FD0F09" w:rsidRDefault="00FD0F09" w:rsidP="00FD0F09">
      <w:pPr>
        <w:spacing w:before="200" w:after="0" w:line="276" w:lineRule="auto"/>
        <w:outlineLvl w:val="1"/>
        <w:rPr>
          <w:rFonts w:ascii="Times New Roman" w:eastAsia="Times New Roman" w:hAnsi="Times New Roman" w:cs="Times New Roman"/>
          <w:bCs/>
          <w:i/>
          <w:sz w:val="24"/>
          <w:szCs w:val="24"/>
        </w:rPr>
      </w:pPr>
      <w:r w:rsidRPr="00FD0F09">
        <w:rPr>
          <w:rFonts w:ascii="Times New Roman" w:eastAsia="Times New Roman" w:hAnsi="Times New Roman" w:cs="Times New Roman"/>
          <w:bCs/>
          <w:i/>
          <w:sz w:val="24"/>
          <w:szCs w:val="24"/>
        </w:rPr>
        <w:t xml:space="preserve">1.2: Multivariable linear regression models  </w:t>
      </w:r>
    </w:p>
    <w:p w:rsidR="00FD0F09" w:rsidRPr="00FD0F09" w:rsidRDefault="00FD0F09" w:rsidP="00FD0F09">
      <w:pPr>
        <w:spacing w:before="200" w:after="0" w:line="276" w:lineRule="auto"/>
        <w:outlineLvl w:val="1"/>
        <w:rPr>
          <w:rFonts w:ascii="Times New Roman" w:eastAsia="Times New Roman" w:hAnsi="Times New Roman" w:cs="Times New Roman"/>
          <w:b/>
          <w:bCs/>
          <w:sz w:val="24"/>
          <w:szCs w:val="24"/>
        </w:rPr>
      </w:pPr>
    </w:p>
    <w:p w:rsidR="00FD0F09" w:rsidRPr="00FD0F09" w:rsidRDefault="00FD0F09" w:rsidP="00FD0F09">
      <w:pPr>
        <w:spacing w:before="200" w:after="0" w:line="276" w:lineRule="auto"/>
        <w:outlineLvl w:val="1"/>
        <w:rPr>
          <w:rFonts w:ascii="Times New Roman" w:eastAsia="Times New Roman" w:hAnsi="Times New Roman" w:cs="Times New Roman"/>
          <w:b/>
          <w:bCs/>
          <w:sz w:val="24"/>
          <w:szCs w:val="24"/>
        </w:rPr>
      </w:pPr>
      <w:proofErr w:type="spellStart"/>
      <w:proofErr w:type="gramStart"/>
      <w:r w:rsidRPr="00FD0F09">
        <w:rPr>
          <w:rFonts w:ascii="Times New Roman" w:eastAsia="Times New Roman" w:hAnsi="Times New Roman" w:cs="Times New Roman"/>
          <w:b/>
          <w:bCs/>
          <w:sz w:val="24"/>
          <w:szCs w:val="24"/>
        </w:rPr>
        <w:t>eTable</w:t>
      </w:r>
      <w:proofErr w:type="spellEnd"/>
      <w:proofErr w:type="gramEnd"/>
      <w:r w:rsidRPr="00FD0F09">
        <w:rPr>
          <w:rFonts w:ascii="Times New Roman" w:eastAsia="Times New Roman" w:hAnsi="Times New Roman" w:cs="Times New Roman"/>
          <w:b/>
          <w:bCs/>
          <w:sz w:val="24"/>
          <w:szCs w:val="24"/>
        </w:rPr>
        <w:t xml:space="preserve"> 1 (1.1 and 1.2): Additional characteristics of the pediatric multiple sclerosis (MS) cases and controls</w:t>
      </w:r>
    </w:p>
    <w:p w:rsidR="00FD0F09" w:rsidRPr="00FD0F09" w:rsidRDefault="00FD0F09" w:rsidP="00FD0F09">
      <w:pPr>
        <w:spacing w:before="200" w:after="0" w:line="276" w:lineRule="auto"/>
        <w:outlineLvl w:val="1"/>
        <w:rPr>
          <w:rFonts w:ascii="Times New Roman" w:eastAsia="Times New Roman" w:hAnsi="Times New Roman" w:cs="Times New Roman"/>
          <w:bCs/>
          <w:i/>
          <w:sz w:val="24"/>
          <w:szCs w:val="24"/>
        </w:rPr>
      </w:pPr>
      <w:r w:rsidRPr="00FD0F09">
        <w:rPr>
          <w:rFonts w:ascii="Times New Roman" w:eastAsia="Times New Roman" w:hAnsi="Times New Roman" w:cs="Times New Roman"/>
          <w:bCs/>
          <w:i/>
          <w:sz w:val="24"/>
          <w:szCs w:val="24"/>
        </w:rPr>
        <w:t>1.1: Diet, lifestyle and very early life exposures for the cases and controls</w:t>
      </w:r>
    </w:p>
    <w:p w:rsidR="00FD0F09" w:rsidRPr="00FD0F09" w:rsidRDefault="00FD0F09" w:rsidP="00FD0F09">
      <w:pPr>
        <w:spacing w:before="200" w:after="0" w:line="276" w:lineRule="auto"/>
        <w:outlineLvl w:val="1"/>
        <w:rPr>
          <w:rFonts w:ascii="Times New Roman" w:eastAsia="Times New Roman" w:hAnsi="Times New Roman" w:cs="Times New Roman"/>
          <w:bCs/>
          <w:i/>
          <w:sz w:val="24"/>
          <w:szCs w:val="24"/>
        </w:rPr>
      </w:pPr>
      <w:r w:rsidRPr="00FD0F09">
        <w:rPr>
          <w:rFonts w:ascii="Times New Roman" w:eastAsia="Times New Roman" w:hAnsi="Times New Roman" w:cs="Times New Roman"/>
          <w:bCs/>
          <w:i/>
          <w:sz w:val="24"/>
          <w:szCs w:val="24"/>
        </w:rPr>
        <w:t xml:space="preserve">1.2: Clinical characteristics of the children with multiple sclerosis (cases)  </w:t>
      </w:r>
    </w:p>
    <w:p w:rsidR="00FD0F09" w:rsidRPr="00FD0F09" w:rsidRDefault="00FD0F09" w:rsidP="00FD0F09">
      <w:pPr>
        <w:spacing w:before="200" w:after="0" w:line="276" w:lineRule="auto"/>
        <w:outlineLvl w:val="1"/>
        <w:rPr>
          <w:rFonts w:ascii="Times New Roman" w:eastAsia="Times New Roman" w:hAnsi="Times New Roman" w:cs="Times New Roman"/>
          <w:b/>
          <w:bCs/>
          <w:sz w:val="24"/>
          <w:szCs w:val="24"/>
        </w:rPr>
      </w:pPr>
      <w:proofErr w:type="spellStart"/>
      <w:proofErr w:type="gramStart"/>
      <w:r w:rsidRPr="00FD0F09">
        <w:rPr>
          <w:rFonts w:ascii="Times New Roman" w:eastAsia="Times New Roman" w:hAnsi="Times New Roman" w:cs="Times New Roman"/>
          <w:b/>
          <w:bCs/>
          <w:sz w:val="24"/>
          <w:szCs w:val="24"/>
        </w:rPr>
        <w:t>eTable</w:t>
      </w:r>
      <w:proofErr w:type="spellEnd"/>
      <w:proofErr w:type="gramEnd"/>
      <w:r w:rsidRPr="00FD0F09">
        <w:rPr>
          <w:rFonts w:ascii="Times New Roman" w:eastAsia="Times New Roman" w:hAnsi="Times New Roman" w:cs="Times New Roman"/>
          <w:b/>
          <w:bCs/>
          <w:sz w:val="24"/>
          <w:szCs w:val="24"/>
        </w:rPr>
        <w:t xml:space="preserve"> 2: Summary of the diversity metrics and immune markers for cases and controls, and by disease-modifying drug (DMD) exposure </w:t>
      </w:r>
    </w:p>
    <w:p w:rsidR="00FD0F09" w:rsidRPr="00FD0F09" w:rsidRDefault="00FD0F09" w:rsidP="00FD0F09">
      <w:pPr>
        <w:spacing w:after="0" w:line="240" w:lineRule="auto"/>
        <w:rPr>
          <w:rFonts w:ascii="Times New Roman" w:eastAsia="Times New Roman" w:hAnsi="Times New Roman" w:cs="Times New Roman"/>
          <w:b/>
          <w:color w:val="000000"/>
          <w:sz w:val="24"/>
          <w:szCs w:val="24"/>
          <w:lang w:eastAsia="en-GB"/>
        </w:rPr>
      </w:pPr>
    </w:p>
    <w:p w:rsidR="00FD0F09" w:rsidRPr="00FD0F09" w:rsidRDefault="00FD0F09" w:rsidP="00FD0F09">
      <w:pPr>
        <w:spacing w:after="0" w:line="240" w:lineRule="auto"/>
        <w:rPr>
          <w:rFonts w:ascii="Times New Roman" w:eastAsia="Times New Roman" w:hAnsi="Times New Roman" w:cs="Times New Roman"/>
          <w:b/>
          <w:color w:val="000000"/>
          <w:sz w:val="24"/>
          <w:szCs w:val="24"/>
          <w:lang w:eastAsia="en-GB"/>
        </w:rPr>
      </w:pPr>
      <w:proofErr w:type="spellStart"/>
      <w:proofErr w:type="gramStart"/>
      <w:r w:rsidRPr="00FD0F09">
        <w:rPr>
          <w:rFonts w:ascii="Times New Roman" w:eastAsia="Times New Roman" w:hAnsi="Times New Roman" w:cs="Times New Roman"/>
          <w:b/>
          <w:color w:val="000000"/>
          <w:sz w:val="24"/>
          <w:szCs w:val="24"/>
          <w:lang w:eastAsia="en-GB"/>
        </w:rPr>
        <w:t>eTable</w:t>
      </w:r>
      <w:proofErr w:type="spellEnd"/>
      <w:proofErr w:type="gramEnd"/>
      <w:r w:rsidRPr="00FD0F09">
        <w:rPr>
          <w:rFonts w:ascii="Times New Roman" w:eastAsia="Times New Roman" w:hAnsi="Times New Roman" w:cs="Times New Roman"/>
          <w:b/>
          <w:color w:val="000000"/>
          <w:sz w:val="24"/>
          <w:szCs w:val="24"/>
          <w:lang w:eastAsia="en-GB"/>
        </w:rPr>
        <w:t xml:space="preserve"> 3.1: Gut </w:t>
      </w:r>
      <w:proofErr w:type="spellStart"/>
      <w:r w:rsidRPr="00FD0F09">
        <w:rPr>
          <w:rFonts w:ascii="Times New Roman" w:eastAsia="Times New Roman" w:hAnsi="Times New Roman" w:cs="Times New Roman"/>
          <w:b/>
          <w:color w:val="000000"/>
          <w:sz w:val="24"/>
          <w:szCs w:val="24"/>
          <w:lang w:eastAsia="en-GB"/>
        </w:rPr>
        <w:t>microbiota</w:t>
      </w:r>
      <w:proofErr w:type="spellEnd"/>
      <w:r w:rsidRPr="00FD0F09">
        <w:rPr>
          <w:rFonts w:ascii="Times New Roman" w:eastAsia="Times New Roman" w:hAnsi="Times New Roman" w:cs="Times New Roman"/>
          <w:b/>
          <w:color w:val="000000"/>
          <w:sz w:val="24"/>
          <w:szCs w:val="24"/>
          <w:lang w:eastAsia="en-GB"/>
        </w:rPr>
        <w:t xml:space="preserve"> diversity metrics as independent predictors of peripheral blood immune markers: multivariable linear regression</w:t>
      </w:r>
    </w:p>
    <w:p w:rsidR="00FD0F09" w:rsidRPr="00FD0F09" w:rsidRDefault="00FD0F09" w:rsidP="00FD0F09">
      <w:pPr>
        <w:spacing w:after="0" w:line="240" w:lineRule="auto"/>
        <w:rPr>
          <w:rFonts w:ascii="Times New Roman" w:eastAsia="Times New Roman" w:hAnsi="Times New Roman" w:cs="Times New Roman"/>
          <w:b/>
          <w:color w:val="000000"/>
          <w:sz w:val="24"/>
          <w:szCs w:val="24"/>
          <w:lang w:eastAsia="en-GB"/>
        </w:rPr>
      </w:pPr>
    </w:p>
    <w:p w:rsidR="00FD0F09" w:rsidRPr="00FD0F09" w:rsidRDefault="00FD0F09" w:rsidP="00FD0F09">
      <w:pPr>
        <w:spacing w:after="0" w:line="240" w:lineRule="auto"/>
        <w:rPr>
          <w:rFonts w:ascii="Times New Roman" w:eastAsia="Times New Roman" w:hAnsi="Times New Roman" w:cs="Times New Roman"/>
          <w:b/>
          <w:color w:val="000000"/>
          <w:sz w:val="24"/>
          <w:szCs w:val="24"/>
          <w:lang w:eastAsia="en-GB"/>
        </w:rPr>
      </w:pPr>
      <w:proofErr w:type="spellStart"/>
      <w:proofErr w:type="gramStart"/>
      <w:r w:rsidRPr="00FD0F09">
        <w:rPr>
          <w:rFonts w:ascii="Times New Roman" w:eastAsia="Times New Roman" w:hAnsi="Times New Roman" w:cs="Times New Roman"/>
          <w:b/>
          <w:color w:val="000000"/>
          <w:sz w:val="24"/>
          <w:szCs w:val="24"/>
          <w:lang w:eastAsia="en-GB"/>
        </w:rPr>
        <w:t>eTable</w:t>
      </w:r>
      <w:proofErr w:type="spellEnd"/>
      <w:proofErr w:type="gramEnd"/>
      <w:r w:rsidRPr="00FD0F09">
        <w:rPr>
          <w:rFonts w:ascii="Times New Roman" w:eastAsia="Times New Roman" w:hAnsi="Times New Roman" w:cs="Times New Roman"/>
          <w:b/>
          <w:color w:val="000000"/>
          <w:sz w:val="24"/>
          <w:szCs w:val="24"/>
          <w:lang w:eastAsia="en-GB"/>
        </w:rPr>
        <w:t xml:space="preserve"> 3.2: Phylum-level gut microbiota abundances as independent predictors of blood immune markers: multivariable linear regression</w:t>
      </w:r>
    </w:p>
    <w:p w:rsidR="00FD0F09" w:rsidRPr="00FD0F09" w:rsidRDefault="00FD0F09" w:rsidP="00FD0F09">
      <w:pPr>
        <w:spacing w:after="0" w:line="240" w:lineRule="auto"/>
        <w:rPr>
          <w:rFonts w:ascii="Times New Roman" w:eastAsia="Times New Roman" w:hAnsi="Times New Roman" w:cs="Times New Roman"/>
          <w:b/>
          <w:color w:val="000000"/>
          <w:sz w:val="24"/>
          <w:szCs w:val="24"/>
          <w:lang w:eastAsia="en-GB"/>
        </w:rPr>
      </w:pPr>
    </w:p>
    <w:p w:rsidR="00FD0F09" w:rsidRPr="00FD0F09" w:rsidRDefault="00FD0F09" w:rsidP="00FD0F09">
      <w:pPr>
        <w:spacing w:after="200" w:line="276" w:lineRule="auto"/>
        <w:rPr>
          <w:rFonts w:ascii="Times New Roman" w:eastAsia="Calibri" w:hAnsi="Times New Roman" w:cs="Times New Roman"/>
          <w:sz w:val="24"/>
          <w:szCs w:val="24"/>
        </w:rPr>
      </w:pPr>
    </w:p>
    <w:p w:rsidR="00FD0F09" w:rsidRPr="00FD0F09" w:rsidRDefault="00FD0F09" w:rsidP="00FD0F09">
      <w:pPr>
        <w:spacing w:after="200" w:line="276" w:lineRule="auto"/>
        <w:rPr>
          <w:rFonts w:ascii="Times New Roman" w:eastAsia="Calibri" w:hAnsi="Times New Roman" w:cs="Times New Roman"/>
          <w:sz w:val="24"/>
          <w:szCs w:val="24"/>
        </w:rPr>
      </w:pPr>
    </w:p>
    <w:p w:rsidR="00FD0F09" w:rsidRPr="00FD0F09" w:rsidRDefault="00FD0F09" w:rsidP="00FD0F09">
      <w:pPr>
        <w:spacing w:after="200" w:line="276" w:lineRule="auto"/>
        <w:rPr>
          <w:rFonts w:ascii="Times New Roman" w:eastAsia="Calibri" w:hAnsi="Times New Roman" w:cs="Times New Roman"/>
          <w:sz w:val="24"/>
          <w:szCs w:val="24"/>
        </w:rPr>
      </w:pPr>
    </w:p>
    <w:p w:rsidR="00FD0F09" w:rsidRPr="00FD0F09" w:rsidRDefault="00FD0F09" w:rsidP="00FD0F09">
      <w:pPr>
        <w:spacing w:after="200" w:line="276" w:lineRule="auto"/>
        <w:rPr>
          <w:rFonts w:ascii="Times New Roman" w:eastAsia="Times New Roman" w:hAnsi="Times New Roman" w:cs="Times New Roman"/>
          <w:b/>
          <w:bCs/>
          <w:sz w:val="24"/>
          <w:szCs w:val="24"/>
        </w:rPr>
      </w:pPr>
      <w:r w:rsidRPr="00FD0F09">
        <w:rPr>
          <w:rFonts w:ascii="Times New Roman" w:eastAsia="Times New Roman" w:hAnsi="Times New Roman" w:cs="Times New Roman"/>
          <w:b/>
          <w:bCs/>
          <w:sz w:val="24"/>
          <w:szCs w:val="24"/>
        </w:rPr>
        <w:br w:type="page"/>
      </w:r>
    </w:p>
    <w:p w:rsidR="00FD0F09" w:rsidRPr="00FD0F09" w:rsidRDefault="00FD0F09" w:rsidP="00FD0F09">
      <w:pPr>
        <w:spacing w:before="200" w:after="0" w:line="480" w:lineRule="auto"/>
        <w:outlineLvl w:val="2"/>
        <w:rPr>
          <w:rFonts w:ascii="Times New Roman" w:eastAsia="Times New Roman" w:hAnsi="Times New Roman" w:cs="Times New Roman"/>
          <w:b/>
          <w:bCs/>
          <w:sz w:val="24"/>
          <w:szCs w:val="24"/>
        </w:rPr>
      </w:pPr>
      <w:r w:rsidRPr="00FD0F09">
        <w:rPr>
          <w:rFonts w:ascii="Times New Roman" w:eastAsia="Times New Roman" w:hAnsi="Times New Roman" w:cs="Times New Roman"/>
          <w:b/>
          <w:bCs/>
          <w:sz w:val="24"/>
          <w:szCs w:val="24"/>
        </w:rPr>
        <w:lastRenderedPageBreak/>
        <w:t>Appendix 1: Supplementary methods</w:t>
      </w:r>
    </w:p>
    <w:p w:rsidR="00FD0F09" w:rsidRPr="00FD0F09" w:rsidRDefault="00FD0F09" w:rsidP="00FD0F09">
      <w:pPr>
        <w:spacing w:before="200" w:after="0" w:line="480" w:lineRule="auto"/>
        <w:outlineLvl w:val="1"/>
        <w:rPr>
          <w:rFonts w:ascii="Times New Roman" w:eastAsia="Times New Roman" w:hAnsi="Times New Roman" w:cs="Times New Roman"/>
          <w:bCs/>
          <w:i/>
          <w:sz w:val="24"/>
          <w:szCs w:val="24"/>
        </w:rPr>
      </w:pPr>
      <w:r w:rsidRPr="00FD0F09">
        <w:rPr>
          <w:rFonts w:ascii="Times New Roman" w:eastAsia="Times New Roman" w:hAnsi="Times New Roman" w:cs="Times New Roman"/>
          <w:bCs/>
          <w:i/>
          <w:sz w:val="24"/>
          <w:szCs w:val="24"/>
        </w:rPr>
        <w:t xml:space="preserve">1.1: Diversity metrics  </w:t>
      </w:r>
    </w:p>
    <w:p w:rsidR="00FD0F09" w:rsidRPr="00FD0F09" w:rsidRDefault="00FD0F09" w:rsidP="00FD0F09">
      <w:pPr>
        <w:spacing w:after="200" w:line="480" w:lineRule="auto"/>
        <w:rPr>
          <w:rFonts w:ascii="Times New Roman" w:eastAsia="Calibri" w:hAnsi="Times New Roman" w:cs="Times New Roman"/>
          <w:color w:val="000000"/>
          <w:sz w:val="24"/>
          <w:szCs w:val="24"/>
          <w:shd w:val="clear" w:color="auto" w:fill="FFFFFF"/>
        </w:rPr>
      </w:pPr>
      <w:r w:rsidRPr="00FD0F09">
        <w:rPr>
          <w:rFonts w:ascii="Times New Roman" w:eastAsia="Calibri" w:hAnsi="Times New Roman" w:cs="Times New Roman"/>
          <w:color w:val="000000"/>
          <w:sz w:val="24"/>
          <w:szCs w:val="24"/>
        </w:rPr>
        <w:t>Alpha diversity, as measured here, represents a global measure of the ‘within sample’ biodiversity of a given stool sample.  Originally developed to describe ecological landscapes,</w:t>
      </w:r>
      <w:r w:rsidR="00693CE0" w:rsidRPr="00FD0F09">
        <w:rPr>
          <w:rFonts w:ascii="Times New Roman" w:eastAsia="Calibri" w:hAnsi="Times New Roman" w:cs="Times New Roman"/>
          <w:color w:val="000000"/>
          <w:sz w:val="24"/>
          <w:szCs w:val="24"/>
        </w:rPr>
        <w:fldChar w:fldCharType="begin"/>
      </w:r>
      <w:r w:rsidRPr="00FD0F09">
        <w:rPr>
          <w:rFonts w:ascii="Times New Roman" w:eastAsia="Calibri" w:hAnsi="Times New Roman" w:cs="Times New Roman"/>
          <w:color w:val="000000"/>
          <w:sz w:val="24"/>
          <w:szCs w:val="24"/>
        </w:rPr>
        <w:instrText xml:space="preserve"> ADDIN EN.CITE &lt;EndNote&gt;&lt;Cite&gt;&lt;Author&gt;Whittaker&lt;/Author&gt;&lt;Year&gt;1972&lt;/Year&gt;&lt;RecNum&gt;7119&lt;/RecNum&gt;&lt;DisplayText&gt;[30]&lt;/DisplayText&gt;&lt;record&gt;&lt;rec-number&gt;7119&lt;/rec-number&gt;&lt;foreign-keys&gt;&lt;key app="EN" db-id="xrsrvs9eowwwvbex0fk5vxv10w2xe0re5wep" timestamp="1450129643"&gt;7119&lt;/key&gt;&lt;/foreign-keys&gt;&lt;ref-type name="Journal Article"&gt;17&lt;/ref-type&gt;&lt;contributors&gt;&lt;authors&gt;&lt;author&gt;Whittaker, R. H.&lt;/author&gt;&lt;/authors&gt;&lt;/contributors&gt;&lt;titles&gt;&lt;title&gt;Evolution and Measurement of Species Diversity&lt;/title&gt;&lt;secondary-title&gt;Taxon&lt;/secondary-title&gt;&lt;/titles&gt;&lt;periodical&gt;&lt;full-title&gt;Taxon&lt;/full-title&gt;&lt;/periodical&gt;&lt;pages&gt;213-251&lt;/pages&gt;&lt;volume&gt;21&lt;/volume&gt;&lt;dates&gt;&lt;year&gt;1972&lt;/year&gt;&lt;/dates&gt;&lt;urls&gt;&lt;/urls&gt;&lt;electronic-resource-num&gt;10.2307/1218190 &lt;/electronic-resource-num&gt;&lt;/record&gt;&lt;/Cite&gt;&lt;/EndNote&gt;</w:instrText>
      </w:r>
      <w:r w:rsidR="00693CE0" w:rsidRPr="00FD0F09">
        <w:rPr>
          <w:rFonts w:ascii="Times New Roman" w:eastAsia="Calibri" w:hAnsi="Times New Roman" w:cs="Times New Roman"/>
          <w:color w:val="000000"/>
          <w:sz w:val="24"/>
          <w:szCs w:val="24"/>
        </w:rPr>
        <w:fldChar w:fldCharType="separate"/>
      </w:r>
      <w:r w:rsidRPr="00FD0F09">
        <w:rPr>
          <w:rFonts w:ascii="Times New Roman" w:eastAsia="Calibri" w:hAnsi="Times New Roman" w:cs="Times New Roman"/>
          <w:noProof/>
          <w:color w:val="000000"/>
          <w:sz w:val="24"/>
          <w:szCs w:val="24"/>
        </w:rPr>
        <w:t>[</w:t>
      </w:r>
      <w:hyperlink w:anchor="_ENREF_30" w:tooltip="Whittaker, 1972 #7119" w:history="1">
        <w:r w:rsidRPr="00FD0F09">
          <w:rPr>
            <w:rFonts w:ascii="Times New Roman" w:eastAsia="Calibri" w:hAnsi="Times New Roman" w:cs="Times New Roman"/>
            <w:noProof/>
            <w:color w:val="000000"/>
            <w:sz w:val="24"/>
            <w:szCs w:val="24"/>
          </w:rPr>
          <w:t>30</w:t>
        </w:r>
      </w:hyperlink>
      <w:r w:rsidRPr="00FD0F09">
        <w:rPr>
          <w:rFonts w:ascii="Times New Roman" w:eastAsia="Calibri" w:hAnsi="Times New Roman" w:cs="Times New Roman"/>
          <w:noProof/>
          <w:color w:val="000000"/>
          <w:sz w:val="24"/>
          <w:szCs w:val="24"/>
        </w:rPr>
        <w:t>]</w:t>
      </w:r>
      <w:r w:rsidR="00693CE0" w:rsidRPr="00FD0F09">
        <w:rPr>
          <w:rFonts w:ascii="Times New Roman" w:eastAsia="Calibri" w:hAnsi="Times New Roman" w:cs="Times New Roman"/>
          <w:color w:val="000000"/>
          <w:sz w:val="24"/>
          <w:szCs w:val="24"/>
        </w:rPr>
        <w:fldChar w:fldCharType="end"/>
      </w:r>
      <w:r w:rsidRPr="00FD0F09">
        <w:rPr>
          <w:rFonts w:ascii="Times New Roman" w:eastAsia="Calibri" w:hAnsi="Times New Roman" w:cs="Times New Roman"/>
          <w:color w:val="000000"/>
          <w:sz w:val="24"/>
          <w:szCs w:val="24"/>
        </w:rPr>
        <w:t xml:space="preserve"> this metric has been readily adapted to describe the ecology of the gut microbiota. </w:t>
      </w:r>
      <w:r w:rsidRPr="00FD0F09">
        <w:rPr>
          <w:rFonts w:ascii="Times New Roman" w:eastAsia="Times New Roman" w:hAnsi="Times New Roman" w:cs="Times New Roman"/>
          <w:bCs/>
          <w:color w:val="000000"/>
          <w:sz w:val="24"/>
          <w:szCs w:val="24"/>
        </w:rPr>
        <w:t xml:space="preserve">Richness represented the number of unique taxa (species-level OTUs). Evenness indicated how evenly (or equally) distributed these taxa were.  Faith’s </w:t>
      </w:r>
      <w:proofErr w:type="spellStart"/>
      <w:r w:rsidRPr="00FD0F09">
        <w:rPr>
          <w:rFonts w:ascii="Times New Roman" w:eastAsia="Calibri" w:hAnsi="Times New Roman" w:cs="Times New Roman"/>
          <w:color w:val="000000"/>
          <w:sz w:val="24"/>
          <w:szCs w:val="24"/>
        </w:rPr>
        <w:t>phylogenic</w:t>
      </w:r>
      <w:proofErr w:type="spellEnd"/>
      <w:r w:rsidRPr="00FD0F09">
        <w:rPr>
          <w:rFonts w:ascii="Times New Roman" w:eastAsia="Calibri" w:hAnsi="Times New Roman" w:cs="Times New Roman"/>
          <w:color w:val="000000"/>
          <w:sz w:val="24"/>
          <w:szCs w:val="24"/>
        </w:rPr>
        <w:t xml:space="preserve"> diversity metric</w:t>
      </w:r>
      <w:r w:rsidR="00693CE0" w:rsidRPr="00FD0F09">
        <w:rPr>
          <w:rFonts w:ascii="Times New Roman" w:eastAsia="Calibri" w:hAnsi="Times New Roman" w:cs="Times New Roman"/>
          <w:color w:val="000000"/>
          <w:sz w:val="24"/>
          <w:szCs w:val="24"/>
          <w:shd w:val="clear" w:color="auto" w:fill="FFFFFF"/>
        </w:rPr>
        <w:fldChar w:fldCharType="begin"/>
      </w:r>
      <w:r w:rsidRPr="00FD0F09">
        <w:rPr>
          <w:rFonts w:ascii="Times New Roman" w:eastAsia="Calibri" w:hAnsi="Times New Roman" w:cs="Times New Roman"/>
          <w:color w:val="000000"/>
          <w:sz w:val="24"/>
          <w:szCs w:val="24"/>
          <w:shd w:val="clear" w:color="auto" w:fill="FFFFFF"/>
        </w:rPr>
        <w:instrText xml:space="preserve"> ADDIN EN.CITE &lt;EndNote&gt;&lt;Cite&gt;&lt;Author&gt;Faith&lt;/Author&gt;&lt;Year&gt;2006&lt;/Year&gt;&lt;RecNum&gt;7533&lt;/RecNum&gt;&lt;DisplayText&gt;[8]&lt;/DisplayText&gt;&lt;record&gt;&lt;rec-number&gt;7533&lt;/rec-number&gt;&lt;foreign-keys&gt;&lt;key app="EN" db-id="xrsrvs9eowwwvbex0fk5vxv10w2xe0re5wep" timestamp="1450142926"&gt;7533&lt;/key&gt;&lt;/foreign-keys&gt;&lt;ref-type name="Journal Article"&gt;17&lt;/ref-type&gt;&lt;contributors&gt;&lt;authors&gt;&lt;author&gt;Faith, D. P.&lt;/author&gt;&lt;author&gt;Baker, A. M.&lt;/author&gt;&lt;/authors&gt;&lt;/contributors&gt;&lt;auth-address&gt;The Australian Museum, 6 College St., Sydney, NSW 2010, Australia. danf@austmus.gov.au&lt;/auth-address&gt;&lt;titles&gt;&lt;title&gt;Phylogenetic diversity (PD) and biodiversity conservation: some bioinformatics challenges&lt;/title&gt;&lt;secondary-title&gt;Evol Bioinform Online&lt;/secondary-title&gt;&lt;alt-title&gt;Evolutionary bioinformatics online&lt;/alt-title&gt;&lt;/titles&gt;&lt;periodical&gt;&lt;full-title&gt;Evol Bioinform Online&lt;/full-title&gt;&lt;abbr-1&gt;Evolutionary bioinformatics online&lt;/abbr-1&gt;&lt;/periodical&gt;&lt;alt-periodical&gt;&lt;full-title&gt;Evol Bioinform Online&lt;/full-title&gt;&lt;abbr-1&gt;Evolutionary bioinformatics online&lt;/abbr-1&gt;&lt;/alt-periodical&gt;&lt;pages&gt;121-8&lt;/pages&gt;&lt;volume&gt;2&lt;/volume&gt;&lt;dates&gt;&lt;year&gt;2006&lt;/year&gt;&lt;/dates&gt;&lt;isbn&gt;1176-9343 (Electronic)&amp;#xD;1176-9343 (Linking)&lt;/isbn&gt;&lt;accession-num&gt;19455206&lt;/accession-num&gt;&lt;urls&gt;&lt;related-urls&gt;&lt;url&gt;http://www.ncbi.nlm.nih.gov/pubmed/19455206&lt;/url&gt;&lt;/related-urls&gt;&lt;/urls&gt;&lt;custom2&gt;2674678&lt;/custom2&gt;&lt;/record&gt;&lt;/Cite&gt;&lt;/EndNote&gt;</w:instrText>
      </w:r>
      <w:r w:rsidR="00693CE0" w:rsidRPr="00FD0F09">
        <w:rPr>
          <w:rFonts w:ascii="Times New Roman" w:eastAsia="Calibri" w:hAnsi="Times New Roman" w:cs="Times New Roman"/>
          <w:color w:val="000000"/>
          <w:sz w:val="24"/>
          <w:szCs w:val="24"/>
          <w:shd w:val="clear" w:color="auto" w:fill="FFFFFF"/>
        </w:rPr>
        <w:fldChar w:fldCharType="separate"/>
      </w:r>
      <w:r w:rsidRPr="00FD0F09">
        <w:rPr>
          <w:rFonts w:ascii="Times New Roman" w:eastAsia="Calibri" w:hAnsi="Times New Roman" w:cs="Times New Roman"/>
          <w:noProof/>
          <w:color w:val="000000"/>
          <w:sz w:val="24"/>
          <w:szCs w:val="24"/>
          <w:shd w:val="clear" w:color="auto" w:fill="FFFFFF"/>
        </w:rPr>
        <w:t>[</w:t>
      </w:r>
      <w:hyperlink w:anchor="_ENREF_8" w:tooltip="Faith, 2006 #7533" w:history="1">
        <w:r w:rsidRPr="00FD0F09">
          <w:rPr>
            <w:rFonts w:ascii="Times New Roman" w:eastAsia="Calibri" w:hAnsi="Times New Roman" w:cs="Times New Roman"/>
            <w:noProof/>
            <w:color w:val="000000"/>
            <w:sz w:val="24"/>
            <w:szCs w:val="24"/>
            <w:shd w:val="clear" w:color="auto" w:fill="FFFFFF"/>
          </w:rPr>
          <w:t>8</w:t>
        </w:r>
      </w:hyperlink>
      <w:r w:rsidRPr="00FD0F09">
        <w:rPr>
          <w:rFonts w:ascii="Times New Roman" w:eastAsia="Calibri" w:hAnsi="Times New Roman" w:cs="Times New Roman"/>
          <w:noProof/>
          <w:color w:val="000000"/>
          <w:sz w:val="24"/>
          <w:szCs w:val="24"/>
          <w:shd w:val="clear" w:color="auto" w:fill="FFFFFF"/>
        </w:rPr>
        <w:t>]</w:t>
      </w:r>
      <w:r w:rsidR="00693CE0" w:rsidRPr="00FD0F09">
        <w:rPr>
          <w:rFonts w:ascii="Times New Roman" w:eastAsia="Calibri" w:hAnsi="Times New Roman" w:cs="Times New Roman"/>
          <w:color w:val="000000"/>
          <w:sz w:val="24"/>
          <w:szCs w:val="24"/>
          <w:shd w:val="clear" w:color="auto" w:fill="FFFFFF"/>
        </w:rPr>
        <w:fldChar w:fldCharType="end"/>
      </w:r>
      <w:r w:rsidRPr="00FD0F09">
        <w:rPr>
          <w:rFonts w:ascii="Times New Roman" w:eastAsia="Calibri" w:hAnsi="Times New Roman" w:cs="Times New Roman"/>
          <w:color w:val="000000"/>
          <w:sz w:val="24"/>
          <w:szCs w:val="24"/>
          <w:shd w:val="clear" w:color="auto" w:fill="FFFFFF"/>
        </w:rPr>
        <w:t xml:space="preserve"> takes into consideration the phylogenetic (i.e. based on the ‘evolutionary tree’) relationship between taxa for each sample. From the wider literature, a higher diversity (richness, evenness or Faith’s) is typically considered a better marker of the overall health of the microbiota. Conversely, a low diversity is generally considered unfavourable. Examples include disease such as inflammatory bowel disease and whereby presence of disease is associated with low gut microbiota diversity, relative to healthy controls.</w:t>
      </w:r>
      <w:r w:rsidR="00693CE0" w:rsidRPr="00FD0F09">
        <w:rPr>
          <w:rFonts w:ascii="Times New Roman" w:eastAsia="Calibri" w:hAnsi="Times New Roman" w:cs="Times New Roman"/>
          <w:color w:val="000000"/>
          <w:sz w:val="24"/>
          <w:szCs w:val="24"/>
          <w:shd w:val="clear" w:color="auto" w:fill="FFFFFF"/>
        </w:rPr>
        <w:fldChar w:fldCharType="begin"/>
      </w:r>
      <w:r w:rsidRPr="00FD0F09">
        <w:rPr>
          <w:rFonts w:ascii="Times New Roman" w:eastAsia="Calibri" w:hAnsi="Times New Roman" w:cs="Times New Roman"/>
          <w:color w:val="000000"/>
          <w:sz w:val="24"/>
          <w:szCs w:val="24"/>
          <w:shd w:val="clear" w:color="auto" w:fill="FFFFFF"/>
        </w:rPr>
        <w:instrText xml:space="preserve"> ADDIN EN.CITE &lt;EndNote&gt;&lt;Cite&gt;&lt;Author&gt;Nagalingam&lt;/Author&gt;&lt;Year&gt;2012&lt;/Year&gt;&lt;RecNum&gt;7419&lt;/RecNum&gt;&lt;DisplayText&gt;[23]&lt;/DisplayText&gt;&lt;record&gt;&lt;rec-number&gt;7419&lt;/rec-number&gt;&lt;foreign-keys&gt;&lt;key app="EN" db-id="xrsrvs9eowwwvbex0fk5vxv10w2xe0re5wep" timestamp="1450142427"&gt;7419&lt;/key&gt;&lt;/foreign-keys&gt;&lt;ref-type name="Journal Article"&gt;17&lt;/ref-type&gt;&lt;contributors&gt;&lt;authors&gt;&lt;author&gt;Nagalingam, N. A.&lt;/author&gt;&lt;author&gt;Lynch, S. V.&lt;/author&gt;&lt;/authors&gt;&lt;/contributors&gt;&lt;auth-address&gt;Colitis and Crohn&amp;apos;s Disease Microbiome Research Core, Division of Gastroenterology, University of California, San Francisco, Calfornia 94143-0538, USA.&lt;/auth-address&gt;&lt;titles&gt;&lt;title&gt;Role of the microbiota in inflammatory bowel diseases&lt;/title&gt;&lt;secondary-title&gt;Inflamm Bowel Dis&lt;/secondary-title&gt;&lt;alt-title&gt;Inflammatory bowel diseases&lt;/alt-title&gt;&lt;/titles&gt;&lt;periodical&gt;&lt;full-title&gt;Inflamm Bowel Dis&lt;/full-title&gt;&lt;/periodical&gt;&lt;pages&gt;968-84&lt;/pages&gt;&lt;volume&gt;18&lt;/volume&gt;&lt;number&gt;5&lt;/number&gt;&lt;keywords&gt;&lt;keyword&gt;Humans&lt;/keyword&gt;&lt;keyword&gt;Inflammatory Bowel Diseases/classification/*genetics/*microbiology&lt;/keyword&gt;&lt;keyword&gt;Metagenome/*physiology&lt;/keyword&gt;&lt;/keywords&gt;&lt;dates&gt;&lt;year&gt;2012&lt;/year&gt;&lt;pub-dates&gt;&lt;date&gt;May&lt;/date&gt;&lt;/pub-dates&gt;&lt;/dates&gt;&lt;isbn&gt;1536-4844 (Electronic)&amp;#xD;1078-0998 (Linking)&lt;/isbn&gt;&lt;accession-num&gt;21936031&lt;/accession-num&gt;&lt;urls&gt;&lt;related-urls&gt;&lt;url&gt;http://www.ncbi.nlm.nih.gov/pubmed/21936031&lt;/url&gt;&lt;/related-urls&gt;&lt;/urls&gt;&lt;electronic-resource-num&gt;10.1002/ibd.21866&lt;/electronic-resource-num&gt;&lt;/record&gt;&lt;/Cite&gt;&lt;/EndNote&gt;</w:instrText>
      </w:r>
      <w:r w:rsidR="00693CE0" w:rsidRPr="00FD0F09">
        <w:rPr>
          <w:rFonts w:ascii="Times New Roman" w:eastAsia="Calibri" w:hAnsi="Times New Roman" w:cs="Times New Roman"/>
          <w:color w:val="000000"/>
          <w:sz w:val="24"/>
          <w:szCs w:val="24"/>
          <w:shd w:val="clear" w:color="auto" w:fill="FFFFFF"/>
        </w:rPr>
        <w:fldChar w:fldCharType="separate"/>
      </w:r>
      <w:r w:rsidRPr="00FD0F09">
        <w:rPr>
          <w:rFonts w:ascii="Times New Roman" w:eastAsia="Calibri" w:hAnsi="Times New Roman" w:cs="Times New Roman"/>
          <w:noProof/>
          <w:color w:val="000000"/>
          <w:sz w:val="24"/>
          <w:szCs w:val="24"/>
          <w:shd w:val="clear" w:color="auto" w:fill="FFFFFF"/>
        </w:rPr>
        <w:t>[</w:t>
      </w:r>
      <w:hyperlink w:anchor="_ENREF_23" w:tooltip="Nagalingam, 2012 #7419" w:history="1">
        <w:r w:rsidRPr="00FD0F09">
          <w:rPr>
            <w:rFonts w:ascii="Times New Roman" w:eastAsia="Calibri" w:hAnsi="Times New Roman" w:cs="Times New Roman"/>
            <w:noProof/>
            <w:color w:val="000000"/>
            <w:sz w:val="24"/>
            <w:szCs w:val="24"/>
            <w:shd w:val="clear" w:color="auto" w:fill="FFFFFF"/>
          </w:rPr>
          <w:t>23</w:t>
        </w:r>
      </w:hyperlink>
      <w:r w:rsidRPr="00FD0F09">
        <w:rPr>
          <w:rFonts w:ascii="Times New Roman" w:eastAsia="Calibri" w:hAnsi="Times New Roman" w:cs="Times New Roman"/>
          <w:noProof/>
          <w:color w:val="000000"/>
          <w:sz w:val="24"/>
          <w:szCs w:val="24"/>
          <w:shd w:val="clear" w:color="auto" w:fill="FFFFFF"/>
        </w:rPr>
        <w:t>]</w:t>
      </w:r>
      <w:r w:rsidR="00693CE0" w:rsidRPr="00FD0F09">
        <w:rPr>
          <w:rFonts w:ascii="Times New Roman" w:eastAsia="Calibri" w:hAnsi="Times New Roman" w:cs="Times New Roman"/>
          <w:color w:val="000000"/>
          <w:sz w:val="24"/>
          <w:szCs w:val="24"/>
          <w:shd w:val="clear" w:color="auto" w:fill="FFFFFF"/>
        </w:rPr>
        <w:fldChar w:fldCharType="end"/>
      </w:r>
      <w:r w:rsidRPr="00FD0F09">
        <w:rPr>
          <w:rFonts w:ascii="Times New Roman" w:eastAsia="Calibri" w:hAnsi="Times New Roman" w:cs="Times New Roman"/>
          <w:color w:val="000000"/>
          <w:sz w:val="24"/>
          <w:szCs w:val="24"/>
          <w:shd w:val="clear" w:color="auto" w:fill="FFFFFF"/>
        </w:rPr>
        <w:t xml:space="preserve"> </w:t>
      </w:r>
    </w:p>
    <w:p w:rsidR="00FD0F09" w:rsidRPr="00FD0F09" w:rsidRDefault="00FD0F09" w:rsidP="00FD0F09">
      <w:pPr>
        <w:spacing w:before="200" w:after="0" w:line="480" w:lineRule="auto"/>
        <w:outlineLvl w:val="1"/>
        <w:rPr>
          <w:rFonts w:ascii="Times New Roman" w:eastAsia="Times New Roman" w:hAnsi="Times New Roman" w:cs="Times New Roman"/>
          <w:bCs/>
          <w:i/>
          <w:sz w:val="24"/>
          <w:szCs w:val="24"/>
        </w:rPr>
      </w:pPr>
      <w:r w:rsidRPr="00FD0F09">
        <w:rPr>
          <w:rFonts w:ascii="Times New Roman" w:eastAsia="Times New Roman" w:hAnsi="Times New Roman" w:cs="Times New Roman"/>
          <w:bCs/>
          <w:i/>
          <w:sz w:val="24"/>
          <w:szCs w:val="24"/>
        </w:rPr>
        <w:t xml:space="preserve">1.2: Multivariable linear regression models  </w:t>
      </w:r>
    </w:p>
    <w:p w:rsidR="00FD0F09" w:rsidRPr="00FD0F09" w:rsidRDefault="00FD0F09" w:rsidP="00FD0F09">
      <w:pPr>
        <w:spacing w:after="0" w:line="480" w:lineRule="auto"/>
        <w:rPr>
          <w:rFonts w:ascii="Times New Roman" w:eastAsia="Times New Roman" w:hAnsi="Times New Roman" w:cs="Times New Roman"/>
          <w:color w:val="000000"/>
          <w:sz w:val="24"/>
          <w:szCs w:val="24"/>
          <w:lang w:eastAsia="en-GB"/>
        </w:rPr>
      </w:pPr>
      <w:r w:rsidRPr="00FD0F09">
        <w:rPr>
          <w:rFonts w:ascii="Times New Roman" w:eastAsia="Times New Roman" w:hAnsi="Times New Roman" w:cs="Times New Roman"/>
          <w:color w:val="000000"/>
          <w:sz w:val="24"/>
          <w:szCs w:val="24"/>
          <w:lang w:eastAsia="en-GB"/>
        </w:rPr>
        <w:t xml:space="preserve">Selection of the gut microbiota and blood immune markers to include in multivariable linear regression models were based on the (univariate) Pearson’s correlation coefficients from Tables 2 and 3. Data distribution and the relationship between variables were initially assessed via histograms and scatter plots. Judicious selection of models and covariates were made, with the following principles in mind: </w:t>
      </w:r>
      <w:proofErr w:type="spellStart"/>
      <w:r w:rsidRPr="00FD0F09">
        <w:rPr>
          <w:rFonts w:ascii="Times New Roman" w:eastAsia="Times New Roman" w:hAnsi="Times New Roman" w:cs="Times New Roman"/>
          <w:color w:val="000000"/>
          <w:sz w:val="24"/>
          <w:szCs w:val="24"/>
          <w:lang w:eastAsia="en-GB"/>
        </w:rPr>
        <w:t>i</w:t>
      </w:r>
      <w:proofErr w:type="spellEnd"/>
      <w:r w:rsidRPr="00FD0F09">
        <w:rPr>
          <w:rFonts w:ascii="Times New Roman" w:eastAsia="Times New Roman" w:hAnsi="Times New Roman" w:cs="Times New Roman"/>
          <w:color w:val="000000"/>
          <w:sz w:val="24"/>
          <w:szCs w:val="24"/>
          <w:lang w:eastAsia="en-GB"/>
        </w:rPr>
        <w:t xml:space="preserve">) if at least ‘modest’ and significant correlation was observed (absolute r&gt;0.5 and p&lt;0.05, from Pearson’s correlation), then a multivariable linear model was developed; ii) as only a limited number of covariates could be included in each model (using the ‘1 in 10’ rule of thumb, two covariates could be included when ‘all children’ were analysed, 1-2 </w:t>
      </w:r>
      <w:r w:rsidRPr="00FD0F09">
        <w:rPr>
          <w:rFonts w:ascii="Times New Roman" w:eastAsia="Times New Roman" w:hAnsi="Times New Roman" w:cs="Times New Roman"/>
          <w:color w:val="000000"/>
          <w:sz w:val="24"/>
          <w:szCs w:val="24"/>
          <w:lang w:eastAsia="en-GB"/>
        </w:rPr>
        <w:lastRenderedPageBreak/>
        <w:t>covariates for the MS cases only and 1 covariate for the other subgroups (controls only or DMD naïve or exposed cases only).</w:t>
      </w:r>
    </w:p>
    <w:p w:rsidR="00FD0F09" w:rsidRPr="00FD0F09" w:rsidRDefault="00FD0F09" w:rsidP="00FD0F09">
      <w:pPr>
        <w:spacing w:after="0" w:line="480" w:lineRule="auto"/>
        <w:rPr>
          <w:rFonts w:ascii="Times New Roman" w:eastAsia="Times New Roman" w:hAnsi="Times New Roman" w:cs="Times New Roman"/>
          <w:color w:val="000000"/>
          <w:sz w:val="24"/>
          <w:szCs w:val="24"/>
          <w:lang w:eastAsia="en-GB"/>
        </w:rPr>
      </w:pPr>
      <w:r w:rsidRPr="00FD0F09">
        <w:rPr>
          <w:rFonts w:ascii="Times New Roman" w:eastAsia="Times New Roman" w:hAnsi="Times New Roman" w:cs="Times New Roman"/>
          <w:color w:val="000000"/>
          <w:sz w:val="24"/>
          <w:szCs w:val="24"/>
          <w:lang w:eastAsia="en-GB"/>
        </w:rPr>
        <w:t xml:space="preserve">The potential confounders selected for model adjustment were: age (continuous); case or control status; disease duration (continuous); DMD exposure (exposed or naïve); or </w:t>
      </w:r>
      <w:r w:rsidRPr="00FD0F09">
        <w:rPr>
          <w:rFonts w:ascii="Times New Roman" w:eastAsia="Calibri" w:hAnsi="Times New Roman" w:cs="Times New Roman"/>
          <w:sz w:val="24"/>
          <w:szCs w:val="24"/>
        </w:rPr>
        <w:t>MS/DMD exposed status (DMD exposed cases, DMD naïve cases or control). For the latter, as only continuous or binomial covariates can be include in the linear regression models, binary dummy variables were created for inclusion, derived from the three-level categorical variable ‘DMD exposed, DMD naïve or control.’</w:t>
      </w:r>
    </w:p>
    <w:p w:rsidR="00FD0F09" w:rsidRPr="00FD0F09" w:rsidRDefault="00FD0F09" w:rsidP="00FD0F09">
      <w:pPr>
        <w:spacing w:after="0" w:line="480" w:lineRule="auto"/>
        <w:rPr>
          <w:rFonts w:ascii="Times New Roman" w:eastAsia="Times New Roman" w:hAnsi="Times New Roman" w:cs="Times New Roman"/>
          <w:color w:val="000000"/>
          <w:sz w:val="24"/>
          <w:szCs w:val="24"/>
          <w:lang w:eastAsia="en-GB"/>
        </w:rPr>
      </w:pPr>
      <w:r w:rsidRPr="00FD0F09">
        <w:rPr>
          <w:rFonts w:ascii="Times New Roman" w:eastAsia="Times New Roman" w:hAnsi="Times New Roman" w:cs="Times New Roman"/>
          <w:color w:val="000000"/>
          <w:sz w:val="24"/>
          <w:szCs w:val="24"/>
          <w:lang w:eastAsia="en-GB"/>
        </w:rPr>
        <w:t xml:space="preserve">Based on the principles outlined above, for each gut microbiota/ immune marker linear regression analyses performed, model adjustments were made as follows: when all children were analysed, age (model 1), age and case or control (model 2) and MS/DMD exposed (model 3). When cases only were analysed, age (model 1), disease duration (model 2) and DMD exposure (model 3). When DMD naïve or DMD exposed cases only were analysed, age (model 1), disease duration (model 2). When controls only were analysed, age (model 1). </w:t>
      </w:r>
    </w:p>
    <w:p w:rsidR="00FD0F09" w:rsidRPr="00FD0F09" w:rsidRDefault="00FD0F09" w:rsidP="00FD0F09">
      <w:pPr>
        <w:spacing w:after="200" w:line="276" w:lineRule="auto"/>
        <w:rPr>
          <w:rFonts w:ascii="Times New Roman" w:eastAsia="Times New Roman" w:hAnsi="Times New Roman" w:cs="Times New Roman"/>
          <w:b/>
          <w:bCs/>
          <w:sz w:val="24"/>
          <w:szCs w:val="24"/>
        </w:rPr>
      </w:pPr>
      <w:bookmarkStart w:id="0" w:name="_Toc420576722"/>
      <w:r w:rsidRPr="00FD0F09">
        <w:rPr>
          <w:rFonts w:ascii="Times New Roman" w:eastAsia="Calibri" w:hAnsi="Times New Roman" w:cs="Times New Roman"/>
          <w:sz w:val="24"/>
          <w:szCs w:val="24"/>
        </w:rPr>
        <w:br w:type="page"/>
      </w:r>
    </w:p>
    <w:p w:rsidR="00FD0F09" w:rsidRPr="00FD0F09" w:rsidRDefault="00FD0F09" w:rsidP="00FD0F09">
      <w:pPr>
        <w:spacing w:before="200" w:after="0" w:line="276" w:lineRule="auto"/>
        <w:outlineLvl w:val="1"/>
        <w:rPr>
          <w:rFonts w:ascii="Times New Roman" w:eastAsia="Times New Roman" w:hAnsi="Times New Roman" w:cs="Times New Roman"/>
          <w:b/>
          <w:bCs/>
          <w:sz w:val="24"/>
          <w:szCs w:val="24"/>
        </w:rPr>
      </w:pPr>
      <w:proofErr w:type="spellStart"/>
      <w:proofErr w:type="gramStart"/>
      <w:r w:rsidRPr="00FD0F09">
        <w:rPr>
          <w:rFonts w:ascii="Times New Roman" w:eastAsia="Times New Roman" w:hAnsi="Times New Roman" w:cs="Times New Roman"/>
          <w:b/>
          <w:bCs/>
          <w:sz w:val="24"/>
          <w:szCs w:val="24"/>
        </w:rPr>
        <w:lastRenderedPageBreak/>
        <w:t>eTables</w:t>
      </w:r>
      <w:proofErr w:type="spellEnd"/>
      <w:proofErr w:type="gramEnd"/>
      <w:r w:rsidRPr="00FD0F09">
        <w:rPr>
          <w:rFonts w:ascii="Times New Roman" w:eastAsia="Times New Roman" w:hAnsi="Times New Roman" w:cs="Times New Roman"/>
          <w:b/>
          <w:bCs/>
          <w:sz w:val="24"/>
          <w:szCs w:val="24"/>
        </w:rPr>
        <w:t xml:space="preserve"> 1.1 and 1.2: Additional characteristics of the pediatric multiple sclerosis (MS) cases and controls</w:t>
      </w:r>
    </w:p>
    <w:p w:rsidR="00FD0F09" w:rsidRPr="00FD0F09" w:rsidRDefault="00FD0F09" w:rsidP="00FD0F09">
      <w:pPr>
        <w:spacing w:before="200" w:after="0" w:line="276" w:lineRule="auto"/>
        <w:outlineLvl w:val="1"/>
        <w:rPr>
          <w:rFonts w:ascii="Times New Roman" w:eastAsia="Times New Roman" w:hAnsi="Times New Roman" w:cs="Times New Roman"/>
          <w:b/>
          <w:bCs/>
          <w:i/>
          <w:sz w:val="24"/>
          <w:szCs w:val="24"/>
        </w:rPr>
      </w:pPr>
      <w:r w:rsidRPr="00FD0F09">
        <w:rPr>
          <w:rFonts w:ascii="Times New Roman" w:eastAsia="Times New Roman" w:hAnsi="Times New Roman" w:cs="Times New Roman"/>
          <w:b/>
          <w:bCs/>
          <w:i/>
          <w:sz w:val="24"/>
          <w:szCs w:val="24"/>
        </w:rPr>
        <w:t>1.1: Diet, lifestyle and very early life exposures for the cases and controls</w:t>
      </w:r>
    </w:p>
    <w:tbl>
      <w:tblPr>
        <w:tblStyle w:val="TableGrid1"/>
        <w:tblW w:w="0" w:type="auto"/>
        <w:tblLook w:val="04A0"/>
      </w:tblPr>
      <w:tblGrid>
        <w:gridCol w:w="2840"/>
        <w:gridCol w:w="1954"/>
        <w:gridCol w:w="2391"/>
        <w:gridCol w:w="2391"/>
      </w:tblGrid>
      <w:tr w:rsidR="00FD0F09" w:rsidRPr="00FD0F09" w:rsidTr="00CA0ADA">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 xml:space="preserve">Characteristic, </w:t>
            </w:r>
            <w:r w:rsidRPr="00FD0F09">
              <w:rPr>
                <w:rFonts w:ascii="Times New Roman" w:eastAsia="Calibri" w:hAnsi="Times New Roman" w:cs="Times New Roman"/>
                <w:sz w:val="24"/>
                <w:szCs w:val="24"/>
              </w:rPr>
              <w:t>n (%) unless stated otherwise</w:t>
            </w:r>
          </w:p>
        </w:tc>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MS cases, n=15</w:t>
            </w:r>
          </w:p>
        </w:tc>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 xml:space="preserve">Controls, n=9 </w:t>
            </w:r>
          </w:p>
        </w:tc>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Cases and controls, n=24</w:t>
            </w:r>
          </w:p>
        </w:tc>
      </w:tr>
      <w:tr w:rsidR="00FD0F09" w:rsidRPr="00FD0F09" w:rsidTr="00FD0F09">
        <w:tc>
          <w:tcPr>
            <w:tcW w:w="0" w:type="auto"/>
            <w:gridSpan w:val="3"/>
            <w:shd w:val="clear" w:color="auto" w:fill="D9D9D9"/>
          </w:tcPr>
          <w:p w:rsidR="00FD0F09" w:rsidRPr="00FD0F09" w:rsidRDefault="00FD0F09" w:rsidP="00FD0F09">
            <w:pPr>
              <w:spacing w:after="200" w:line="276" w:lineRule="auto"/>
              <w:rPr>
                <w:rFonts w:ascii="Times New Roman" w:eastAsia="Calibri" w:hAnsi="Times New Roman" w:cs="Times New Roman"/>
                <w:b/>
                <w:i/>
                <w:sz w:val="24"/>
                <w:szCs w:val="24"/>
              </w:rPr>
            </w:pPr>
            <w:r w:rsidRPr="00FD0F09">
              <w:rPr>
                <w:rFonts w:ascii="Times New Roman" w:eastAsia="Calibri" w:hAnsi="Times New Roman" w:cs="Times New Roman"/>
                <w:b/>
                <w:i/>
                <w:sz w:val="24"/>
                <w:szCs w:val="24"/>
              </w:rPr>
              <w:t>Diet, lifestyle and very early life exposures</w:t>
            </w:r>
          </w:p>
        </w:tc>
        <w:tc>
          <w:tcPr>
            <w:tcW w:w="0" w:type="auto"/>
            <w:shd w:val="clear" w:color="auto" w:fill="D9D9D9"/>
          </w:tcPr>
          <w:p w:rsidR="00FD0F09" w:rsidRPr="00FD0F09" w:rsidRDefault="00FD0F09" w:rsidP="00FD0F09">
            <w:pPr>
              <w:spacing w:after="200" w:line="276" w:lineRule="auto"/>
              <w:rPr>
                <w:rFonts w:ascii="Times New Roman" w:eastAsia="Calibri" w:hAnsi="Times New Roman" w:cs="Times New Roman"/>
                <w:b/>
                <w:i/>
                <w:sz w:val="24"/>
                <w:szCs w:val="24"/>
              </w:rPr>
            </w:pPr>
          </w:p>
        </w:tc>
      </w:tr>
      <w:tr w:rsidR="00FD0F09" w:rsidRPr="00FD0F09" w:rsidTr="00CA0ADA">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 xml:space="preserve">Mode of delivery: </w:t>
            </w:r>
            <w:r w:rsidRPr="00FD0F09">
              <w:rPr>
                <w:rFonts w:ascii="Times New Roman" w:eastAsia="Calibri" w:hAnsi="Times New Roman" w:cs="Times New Roman"/>
                <w:sz w:val="24"/>
                <w:szCs w:val="24"/>
              </w:rPr>
              <w:t>vaginal birth</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13 (87%)</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9 (100%)</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22 (92%)</w:t>
            </w:r>
          </w:p>
        </w:tc>
      </w:tr>
      <w:tr w:rsidR="00FD0F09" w:rsidRPr="00FD0F09" w:rsidTr="00CA0ADA">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Caesarean section</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2 (13%)</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0</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2 (8%)</w:t>
            </w:r>
          </w:p>
        </w:tc>
      </w:tr>
      <w:tr w:rsidR="00FD0F09" w:rsidRPr="00FD0F09" w:rsidTr="00CA0ADA">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 xml:space="preserve">Breastfed: </w:t>
            </w:r>
            <w:r w:rsidRPr="00FD0F09">
              <w:rPr>
                <w:rFonts w:ascii="Times New Roman" w:eastAsia="Calibri" w:hAnsi="Times New Roman" w:cs="Times New Roman"/>
                <w:sz w:val="24"/>
                <w:szCs w:val="24"/>
              </w:rPr>
              <w:t>&lt;12 months</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10 (67%)</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6 (67%)</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16 (67%)</w:t>
            </w:r>
          </w:p>
        </w:tc>
      </w:tr>
      <w:tr w:rsidR="00FD0F09" w:rsidRPr="00FD0F09" w:rsidTr="00CA0ADA">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color w:val="000000"/>
                <w:sz w:val="24"/>
                <w:szCs w:val="24"/>
              </w:rPr>
              <w:t>≥12 months</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5 (33%)</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3 (33%)</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8 (33%)</w:t>
            </w:r>
          </w:p>
        </w:tc>
      </w:tr>
      <w:tr w:rsidR="00FD0F09" w:rsidRPr="00FD0F09" w:rsidTr="00CA0ADA">
        <w:tc>
          <w:tcPr>
            <w:tcW w:w="0" w:type="auto"/>
            <w:shd w:val="clear" w:color="auto" w:fill="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Antibiotic exposure in 1</w:t>
            </w:r>
            <w:r w:rsidRPr="00FD0F09">
              <w:rPr>
                <w:rFonts w:ascii="Times New Roman" w:eastAsia="Calibri" w:hAnsi="Times New Roman" w:cs="Times New Roman"/>
                <w:b/>
                <w:sz w:val="24"/>
                <w:szCs w:val="24"/>
                <w:vertAlign w:val="superscript"/>
              </w:rPr>
              <w:t>st</w:t>
            </w:r>
            <w:r w:rsidRPr="00FD0F09">
              <w:rPr>
                <w:rFonts w:ascii="Times New Roman" w:eastAsia="Calibri" w:hAnsi="Times New Roman" w:cs="Times New Roman"/>
                <w:b/>
                <w:sz w:val="24"/>
                <w:szCs w:val="24"/>
              </w:rPr>
              <w:t xml:space="preserve"> year of life</w:t>
            </w:r>
            <w:r w:rsidRPr="00FD0F09">
              <w:rPr>
                <w:rFonts w:ascii="Times New Roman" w:eastAsia="Calibri" w:hAnsi="Times New Roman" w:cs="Times New Roman"/>
                <w:sz w:val="24"/>
                <w:szCs w:val="24"/>
              </w:rPr>
              <w:t>:</w:t>
            </w:r>
            <w:r w:rsidRPr="00FD0F09">
              <w:rPr>
                <w:rFonts w:ascii="Times New Roman" w:eastAsia="Calibri" w:hAnsi="Times New Roman" w:cs="Times New Roman"/>
                <w:b/>
                <w:sz w:val="24"/>
                <w:szCs w:val="24"/>
              </w:rPr>
              <w:t xml:space="preserve"> </w:t>
            </w:r>
            <w:r w:rsidRPr="00FD0F09">
              <w:rPr>
                <w:rFonts w:ascii="Times New Roman" w:eastAsia="Calibri" w:hAnsi="Times New Roman" w:cs="Times New Roman"/>
                <w:sz w:val="24"/>
                <w:szCs w:val="24"/>
              </w:rPr>
              <w:t>yes</w:t>
            </w:r>
          </w:p>
        </w:tc>
        <w:tc>
          <w:tcPr>
            <w:tcW w:w="0" w:type="auto"/>
            <w:shd w:val="clear" w:color="auto" w:fill="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4 (27%)</w:t>
            </w:r>
          </w:p>
        </w:tc>
        <w:tc>
          <w:tcPr>
            <w:tcW w:w="0" w:type="auto"/>
            <w:shd w:val="clear" w:color="auto" w:fill="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3 (33%)</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7 (30%)</w:t>
            </w:r>
          </w:p>
        </w:tc>
      </w:tr>
      <w:tr w:rsidR="00FD0F09" w:rsidRPr="00FD0F09" w:rsidTr="00CA0ADA">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No</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10 (67%)</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5 (56%)</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15 (63%)</w:t>
            </w:r>
          </w:p>
        </w:tc>
      </w:tr>
      <w:tr w:rsidR="00FD0F09" w:rsidRPr="00FD0F09" w:rsidTr="00CA0ADA">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 xml:space="preserve">Unknown </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 (7%)</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 (11%)</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2 (8%)</w:t>
            </w:r>
          </w:p>
        </w:tc>
      </w:tr>
      <w:tr w:rsidR="00FD0F09" w:rsidRPr="00FD0F09" w:rsidTr="00CA0ADA">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Attended day-care (‘preschool’)</w:t>
            </w:r>
            <w:r w:rsidRPr="00FD0F09">
              <w:rPr>
                <w:rFonts w:ascii="Times New Roman" w:eastAsia="Calibri" w:hAnsi="Times New Roman" w:cs="Times New Roman"/>
                <w:sz w:val="24"/>
                <w:szCs w:val="24"/>
              </w:rPr>
              <w:t>: yes</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11 (73%)</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7 (78%)</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18 (75%)</w:t>
            </w:r>
          </w:p>
        </w:tc>
      </w:tr>
      <w:tr w:rsidR="00FD0F09" w:rsidRPr="00FD0F09" w:rsidTr="00CA0ADA">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No</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2 (13%)</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 (11%)</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3 (13%)</w:t>
            </w:r>
          </w:p>
        </w:tc>
      </w:tr>
      <w:tr w:rsidR="00FD0F09" w:rsidRPr="00FD0F09" w:rsidTr="00CA0ADA">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 xml:space="preserve">Unknown </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2 (13%)</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 (11%)</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3 (13%)</w:t>
            </w:r>
          </w:p>
        </w:tc>
      </w:tr>
      <w:tr w:rsidR="00FD0F09" w:rsidRPr="00FD0F09" w:rsidTr="00CA0ADA">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b/>
                <w:sz w:val="24"/>
                <w:szCs w:val="24"/>
              </w:rPr>
              <w:t>BMI</w:t>
            </w:r>
            <w:r w:rsidRPr="00FD0F09">
              <w:rPr>
                <w:rFonts w:ascii="Times New Roman" w:eastAsia="Calibri" w:hAnsi="Times New Roman" w:cs="Times New Roman"/>
                <w:sz w:val="24"/>
                <w:szCs w:val="24"/>
              </w:rPr>
              <w:t xml:space="preserve"> [1]: crude mean (SD; range)</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22.2 (SD:6.21; range:15.1-35.3)</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20.9 (SD:4.89; range:15.1-28.7) [missing=1]</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21.8 (SD:5.70; range:15.1-35.3) [missing=1]</w:t>
            </w:r>
          </w:p>
        </w:tc>
      </w:tr>
      <w:tr w:rsidR="00FD0F09" w:rsidRPr="00FD0F09" w:rsidTr="00CA0ADA">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Healthy or underweight(&lt;85</w:t>
            </w:r>
            <w:r w:rsidRPr="00FD0F09">
              <w:rPr>
                <w:rFonts w:ascii="Times New Roman" w:eastAsia="Calibri" w:hAnsi="Times New Roman" w:cs="Times New Roman"/>
                <w:sz w:val="24"/>
                <w:szCs w:val="24"/>
                <w:vertAlign w:val="superscript"/>
              </w:rPr>
              <w:t>th</w:t>
            </w:r>
            <w:r w:rsidRPr="00FD0F09">
              <w:rPr>
                <w:rFonts w:ascii="Times New Roman" w:eastAsia="Calibri" w:hAnsi="Times New Roman" w:cs="Times New Roman"/>
                <w:sz w:val="24"/>
                <w:szCs w:val="24"/>
              </w:rPr>
              <w:t xml:space="preserve"> percentile)</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9 (60%)</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6 (75%)</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15 (65%)</w:t>
            </w:r>
          </w:p>
        </w:tc>
      </w:tr>
      <w:tr w:rsidR="00FD0F09" w:rsidRPr="00FD0F09" w:rsidTr="00CA0ADA">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Overweight or obese (≥85</w:t>
            </w:r>
            <w:r w:rsidRPr="00FD0F09">
              <w:rPr>
                <w:rFonts w:ascii="Times New Roman" w:eastAsia="Calibri" w:hAnsi="Times New Roman" w:cs="Times New Roman"/>
                <w:sz w:val="24"/>
                <w:szCs w:val="24"/>
                <w:vertAlign w:val="superscript"/>
              </w:rPr>
              <w:t xml:space="preserve">th </w:t>
            </w:r>
            <w:r w:rsidRPr="00FD0F09">
              <w:rPr>
                <w:rFonts w:ascii="Times New Roman" w:eastAsia="Calibri" w:hAnsi="Times New Roman" w:cs="Times New Roman"/>
                <w:sz w:val="24"/>
                <w:szCs w:val="24"/>
              </w:rPr>
              <w:t>percentile)</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6 (40%)</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2 (25%) [missing=1]</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8 (35%) [missing=1]</w:t>
            </w:r>
          </w:p>
        </w:tc>
      </w:tr>
      <w:tr w:rsidR="00FD0F09" w:rsidRPr="00FD0F09" w:rsidTr="00CA0ADA">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b/>
                <w:sz w:val="24"/>
                <w:szCs w:val="24"/>
              </w:rPr>
              <w:t xml:space="preserve">Fat/fibre diet groups </w:t>
            </w:r>
            <w:r w:rsidRPr="00FD0F09">
              <w:rPr>
                <w:rFonts w:ascii="Times New Roman" w:eastAsia="Calibri" w:hAnsi="Times New Roman" w:cs="Times New Roman"/>
                <w:sz w:val="24"/>
                <w:szCs w:val="24"/>
              </w:rPr>
              <w:t>[2]:</w:t>
            </w:r>
          </w:p>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 xml:space="preserve">High fat, and low or very </w:t>
            </w:r>
            <w:r w:rsidRPr="00FD0F09">
              <w:rPr>
                <w:rFonts w:ascii="Times New Roman" w:eastAsia="Calibri" w:hAnsi="Times New Roman" w:cs="Times New Roman"/>
                <w:sz w:val="24"/>
                <w:szCs w:val="24"/>
              </w:rPr>
              <w:lastRenderedPageBreak/>
              <w:t>fibre – yes</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lastRenderedPageBreak/>
              <w:t>3 (20%)</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2 (22%)</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5 (21%)</w:t>
            </w:r>
          </w:p>
        </w:tc>
      </w:tr>
      <w:tr w:rsidR="00FD0F09" w:rsidRPr="00FD0F09" w:rsidTr="00CA0ADA">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lastRenderedPageBreak/>
              <w:t>No</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12 (80%)</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7 (78%)</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19 (79%)</w:t>
            </w:r>
          </w:p>
        </w:tc>
      </w:tr>
    </w:tbl>
    <w:p w:rsidR="00FD0F09" w:rsidRPr="00FD0F09" w:rsidRDefault="00FD0F09" w:rsidP="00FD0F09">
      <w:pPr>
        <w:spacing w:after="200" w:line="276" w:lineRule="auto"/>
        <w:rPr>
          <w:rFonts w:ascii="Times New Roman" w:eastAsia="Calibri" w:hAnsi="Times New Roman" w:cs="Times New Roman"/>
          <w:sz w:val="24"/>
          <w:szCs w:val="24"/>
        </w:rPr>
      </w:pPr>
    </w:p>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br w:type="page"/>
      </w:r>
    </w:p>
    <w:p w:rsidR="00FD0F09" w:rsidRPr="00FD0F09" w:rsidRDefault="00FD0F09" w:rsidP="00FD0F09">
      <w:pPr>
        <w:spacing w:before="200" w:after="0" w:line="276" w:lineRule="auto"/>
        <w:outlineLvl w:val="1"/>
        <w:rPr>
          <w:rFonts w:ascii="Times New Roman" w:eastAsia="Times New Roman" w:hAnsi="Times New Roman" w:cs="Times New Roman"/>
          <w:b/>
          <w:bCs/>
          <w:i/>
          <w:sz w:val="24"/>
          <w:szCs w:val="24"/>
          <w:u w:val="single"/>
        </w:rPr>
      </w:pPr>
      <w:r w:rsidRPr="00FD0F09">
        <w:rPr>
          <w:rFonts w:ascii="Times New Roman" w:eastAsia="Times New Roman" w:hAnsi="Times New Roman" w:cs="Times New Roman"/>
          <w:b/>
          <w:bCs/>
          <w:i/>
          <w:sz w:val="24"/>
          <w:szCs w:val="24"/>
        </w:rPr>
        <w:lastRenderedPageBreak/>
        <w:t xml:space="preserve">1.2: Clinical characteristics of the children with multiple sclerosis (cases) </w:t>
      </w:r>
      <w:bookmarkEnd w:id="0"/>
      <w:r w:rsidRPr="00FD0F09">
        <w:rPr>
          <w:rFonts w:ascii="Times New Roman" w:eastAsia="Times New Roman" w:hAnsi="Times New Roman" w:cs="Times New Roman"/>
          <w:b/>
          <w:bCs/>
          <w:i/>
          <w:sz w:val="24"/>
          <w:szCs w:val="24"/>
        </w:rPr>
        <w:t xml:space="preserve"> </w:t>
      </w:r>
    </w:p>
    <w:tbl>
      <w:tblPr>
        <w:tblStyle w:val="TableGrid1"/>
        <w:tblW w:w="5000" w:type="pct"/>
        <w:tblLook w:val="04A0"/>
      </w:tblPr>
      <w:tblGrid>
        <w:gridCol w:w="6378"/>
        <w:gridCol w:w="3198"/>
      </w:tblGrid>
      <w:tr w:rsidR="00FD0F09" w:rsidRPr="00FD0F09" w:rsidTr="00CA0ADA">
        <w:tc>
          <w:tcPr>
            <w:tcW w:w="3330" w:type="pct"/>
          </w:tcPr>
          <w:p w:rsidR="00FD0F09" w:rsidRPr="00FD0F09" w:rsidRDefault="00FD0F09" w:rsidP="00FD0F09">
            <w:pPr>
              <w:spacing w:after="200" w:line="276" w:lineRule="auto"/>
              <w:rPr>
                <w:rFonts w:ascii="Times New Roman" w:eastAsia="Calibri" w:hAnsi="Times New Roman" w:cs="Times New Roman"/>
                <w:b/>
                <w:i/>
                <w:sz w:val="24"/>
                <w:szCs w:val="24"/>
              </w:rPr>
            </w:pPr>
            <w:r w:rsidRPr="00FD0F09">
              <w:rPr>
                <w:rFonts w:ascii="Times New Roman" w:eastAsia="Calibri" w:hAnsi="Times New Roman" w:cs="Times New Roman"/>
                <w:b/>
                <w:sz w:val="24"/>
                <w:szCs w:val="24"/>
              </w:rPr>
              <w:t xml:space="preserve">Characteristic, </w:t>
            </w:r>
            <w:r w:rsidRPr="00FD0F09">
              <w:rPr>
                <w:rFonts w:ascii="Times New Roman" w:eastAsia="Calibri" w:hAnsi="Times New Roman" w:cs="Times New Roman"/>
                <w:sz w:val="24"/>
                <w:szCs w:val="24"/>
              </w:rPr>
              <w:t>n (%) unless stated otherwise</w:t>
            </w:r>
          </w:p>
        </w:tc>
        <w:tc>
          <w:tcPr>
            <w:tcW w:w="1670" w:type="pct"/>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N=15</w:t>
            </w:r>
          </w:p>
        </w:tc>
      </w:tr>
      <w:tr w:rsidR="00FD0F09" w:rsidRPr="00FD0F09" w:rsidTr="00CA0ADA">
        <w:tc>
          <w:tcPr>
            <w:tcW w:w="3330" w:type="pct"/>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b/>
                <w:sz w:val="24"/>
                <w:szCs w:val="24"/>
              </w:rPr>
              <w:t>Age at MS symptom onset</w:t>
            </w:r>
            <w:r w:rsidRPr="00FD0F09">
              <w:rPr>
                <w:rFonts w:ascii="Times New Roman" w:eastAsia="Calibri" w:hAnsi="Times New Roman" w:cs="Times New Roman"/>
                <w:sz w:val="24"/>
                <w:szCs w:val="24"/>
              </w:rPr>
              <w:t>, years: mean (SD; range)</w:t>
            </w:r>
          </w:p>
        </w:tc>
        <w:tc>
          <w:tcPr>
            <w:tcW w:w="1670" w:type="pct"/>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11.5 years (SD=4.84; 4-17)</w:t>
            </w:r>
          </w:p>
        </w:tc>
      </w:tr>
      <w:tr w:rsidR="00FD0F09" w:rsidRPr="00FD0F09" w:rsidTr="00CA0ADA">
        <w:tc>
          <w:tcPr>
            <w:tcW w:w="3330" w:type="pct"/>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 xml:space="preserve">Disease duration at stool collection </w:t>
            </w:r>
            <w:r w:rsidRPr="00FD0F09">
              <w:rPr>
                <w:rFonts w:ascii="Times New Roman" w:eastAsia="Calibri" w:hAnsi="Times New Roman" w:cs="Times New Roman"/>
                <w:sz w:val="24"/>
                <w:szCs w:val="24"/>
              </w:rPr>
              <w:t>[3],</w:t>
            </w:r>
            <w:r w:rsidRPr="00FD0F09">
              <w:rPr>
                <w:rFonts w:ascii="Times New Roman" w:eastAsia="Calibri" w:hAnsi="Times New Roman" w:cs="Times New Roman"/>
                <w:b/>
                <w:sz w:val="24"/>
                <w:szCs w:val="24"/>
              </w:rPr>
              <w:t xml:space="preserve"> </w:t>
            </w:r>
            <w:r w:rsidRPr="00FD0F09">
              <w:rPr>
                <w:rFonts w:ascii="Times New Roman" w:eastAsia="Calibri" w:hAnsi="Times New Roman" w:cs="Times New Roman"/>
                <w:sz w:val="24"/>
                <w:szCs w:val="24"/>
              </w:rPr>
              <w:t>months: mean (SD; range)</w:t>
            </w:r>
          </w:p>
        </w:tc>
        <w:tc>
          <w:tcPr>
            <w:tcW w:w="1670" w:type="pct"/>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 xml:space="preserve">10.0 months </w:t>
            </w:r>
          </w:p>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(SD=6.42; 2.3-23.1)</w:t>
            </w:r>
          </w:p>
        </w:tc>
      </w:tr>
      <w:tr w:rsidR="00FD0F09" w:rsidRPr="00FD0F09" w:rsidTr="00CA0ADA">
        <w:tc>
          <w:tcPr>
            <w:tcW w:w="3330" w:type="pct"/>
          </w:tcPr>
          <w:p w:rsidR="00FD0F09" w:rsidRPr="00FD0F09" w:rsidRDefault="00FD0F09" w:rsidP="00FD0F09">
            <w:pPr>
              <w:spacing w:after="200" w:line="276" w:lineRule="auto"/>
              <w:rPr>
                <w:rFonts w:ascii="Times New Roman" w:eastAsia="Calibri" w:hAnsi="Times New Roman" w:cs="Times New Roman"/>
                <w:b/>
                <w:color w:val="000000"/>
                <w:sz w:val="24"/>
                <w:szCs w:val="24"/>
              </w:rPr>
            </w:pPr>
            <w:r w:rsidRPr="00FD0F09">
              <w:rPr>
                <w:rFonts w:ascii="Times New Roman" w:eastAsia="Calibri" w:hAnsi="Times New Roman" w:cs="Times New Roman"/>
                <w:b/>
                <w:color w:val="000000"/>
                <w:sz w:val="24"/>
                <w:szCs w:val="24"/>
              </w:rPr>
              <w:t xml:space="preserve">Annualized relapse rate pre-stool sample </w:t>
            </w:r>
            <w:r w:rsidRPr="00FD0F09">
              <w:rPr>
                <w:rFonts w:ascii="Times New Roman" w:eastAsia="Calibri" w:hAnsi="Times New Roman" w:cs="Times New Roman"/>
                <w:color w:val="000000"/>
                <w:sz w:val="24"/>
                <w:szCs w:val="24"/>
              </w:rPr>
              <w:t>[excl. onset attack], mean (SD; range) [4]</w:t>
            </w:r>
          </w:p>
        </w:tc>
        <w:tc>
          <w:tcPr>
            <w:tcW w:w="1670" w:type="pct"/>
            <w:shd w:val="clear" w:color="auto" w:fill="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0.91 (SD=0.951; range: 0-2.9)</w:t>
            </w:r>
          </w:p>
        </w:tc>
      </w:tr>
      <w:tr w:rsidR="00FD0F09" w:rsidRPr="00FD0F09" w:rsidTr="00CA0ADA">
        <w:tc>
          <w:tcPr>
            <w:tcW w:w="3330" w:type="pct"/>
          </w:tcPr>
          <w:p w:rsidR="00FD0F09" w:rsidRPr="00FD0F09" w:rsidRDefault="00FD0F09" w:rsidP="00FD0F09">
            <w:pPr>
              <w:spacing w:after="200" w:line="276" w:lineRule="auto"/>
              <w:rPr>
                <w:rFonts w:ascii="Times New Roman" w:eastAsia="Calibri" w:hAnsi="Times New Roman" w:cs="Times New Roman"/>
                <w:b/>
                <w:color w:val="000000"/>
                <w:sz w:val="24"/>
                <w:szCs w:val="24"/>
              </w:rPr>
            </w:pPr>
            <w:r w:rsidRPr="00FD0F09">
              <w:rPr>
                <w:rFonts w:ascii="Times New Roman" w:eastAsia="Calibri" w:hAnsi="Times New Roman" w:cs="Times New Roman"/>
                <w:b/>
                <w:color w:val="000000"/>
                <w:sz w:val="24"/>
                <w:szCs w:val="24"/>
              </w:rPr>
              <w:t xml:space="preserve">Time since last relapse </w:t>
            </w:r>
            <w:r w:rsidRPr="00FD0F09">
              <w:rPr>
                <w:rFonts w:ascii="Times New Roman" w:eastAsia="Calibri" w:hAnsi="Times New Roman" w:cs="Times New Roman"/>
                <w:color w:val="000000"/>
                <w:sz w:val="24"/>
                <w:szCs w:val="24"/>
              </w:rPr>
              <w:t>(in relation to stool sample; onset attack considered):</w:t>
            </w:r>
            <w:r w:rsidRPr="00FD0F09">
              <w:rPr>
                <w:rFonts w:ascii="Times New Roman" w:eastAsia="Calibri" w:hAnsi="Times New Roman" w:cs="Times New Roman"/>
                <w:b/>
                <w:color w:val="000000"/>
                <w:sz w:val="24"/>
                <w:szCs w:val="24"/>
              </w:rPr>
              <w:t xml:space="preserve"> </w:t>
            </w:r>
            <w:r w:rsidRPr="00FD0F09">
              <w:rPr>
                <w:rFonts w:ascii="Times New Roman" w:eastAsia="Calibri" w:hAnsi="Times New Roman" w:cs="Times New Roman"/>
                <w:color w:val="000000"/>
                <w:sz w:val="24"/>
                <w:szCs w:val="24"/>
              </w:rPr>
              <w:t>days: mean (SD; range)</w:t>
            </w:r>
          </w:p>
        </w:tc>
        <w:tc>
          <w:tcPr>
            <w:tcW w:w="1670" w:type="pct"/>
          </w:tcPr>
          <w:p w:rsidR="00FD0F09" w:rsidRPr="00FD0F09" w:rsidRDefault="00FD0F09" w:rsidP="00FD0F09">
            <w:pPr>
              <w:spacing w:after="200" w:line="276" w:lineRule="auto"/>
              <w:rPr>
                <w:rFonts w:ascii="Times New Roman" w:eastAsia="Calibri" w:hAnsi="Times New Roman" w:cs="Times New Roman"/>
                <w:sz w:val="24"/>
                <w:szCs w:val="24"/>
                <w:highlight w:val="yellow"/>
              </w:rPr>
            </w:pPr>
            <w:r w:rsidRPr="00FD0F09">
              <w:rPr>
                <w:rFonts w:ascii="Times New Roman" w:eastAsia="Calibri" w:hAnsi="Times New Roman" w:cs="Times New Roman"/>
                <w:sz w:val="24"/>
                <w:szCs w:val="24"/>
              </w:rPr>
              <w:t>181.1 days (SD=142.17; 4 to 489 days)</w:t>
            </w:r>
          </w:p>
        </w:tc>
      </w:tr>
      <w:tr w:rsidR="00FD0F09" w:rsidRPr="00FD0F09" w:rsidTr="00CA0ADA">
        <w:tc>
          <w:tcPr>
            <w:tcW w:w="3330" w:type="pct"/>
          </w:tcPr>
          <w:p w:rsidR="00FD0F09" w:rsidRPr="00FD0F09" w:rsidRDefault="00FD0F09" w:rsidP="00FD0F09">
            <w:pPr>
              <w:spacing w:after="200" w:line="276" w:lineRule="auto"/>
              <w:rPr>
                <w:rFonts w:ascii="Times New Roman" w:eastAsia="Calibri" w:hAnsi="Times New Roman" w:cs="Times New Roman"/>
                <w:b/>
                <w:color w:val="000000"/>
                <w:sz w:val="24"/>
                <w:szCs w:val="24"/>
              </w:rPr>
            </w:pPr>
            <w:r w:rsidRPr="00FD0F09">
              <w:rPr>
                <w:rFonts w:ascii="Times New Roman" w:eastAsia="Calibri" w:hAnsi="Times New Roman" w:cs="Times New Roman"/>
                <w:b/>
                <w:color w:val="000000"/>
                <w:sz w:val="24"/>
                <w:szCs w:val="24"/>
              </w:rPr>
              <w:t xml:space="preserve">Time since last relapse </w:t>
            </w:r>
            <w:r w:rsidRPr="00FD0F09">
              <w:rPr>
                <w:rFonts w:ascii="Times New Roman" w:eastAsia="Calibri" w:hAnsi="Times New Roman" w:cs="Times New Roman"/>
                <w:color w:val="000000"/>
                <w:sz w:val="24"/>
                <w:szCs w:val="24"/>
              </w:rPr>
              <w:t>(in relation to stool sample; onset attack considered): n (%):</w:t>
            </w:r>
            <w:r w:rsidRPr="00FD0F09">
              <w:rPr>
                <w:rFonts w:ascii="Times New Roman" w:eastAsia="Calibri" w:hAnsi="Times New Roman" w:cs="Times New Roman"/>
                <w:b/>
                <w:color w:val="000000"/>
                <w:sz w:val="24"/>
                <w:szCs w:val="24"/>
              </w:rPr>
              <w:t xml:space="preserve"> </w:t>
            </w:r>
            <w:r w:rsidRPr="00FD0F09">
              <w:rPr>
                <w:rFonts w:ascii="Times New Roman" w:eastAsia="Calibri" w:hAnsi="Times New Roman" w:cs="Times New Roman"/>
                <w:color w:val="000000"/>
                <w:sz w:val="24"/>
                <w:szCs w:val="24"/>
              </w:rPr>
              <w:t>&lt;90 days</w:t>
            </w:r>
          </w:p>
        </w:tc>
        <w:tc>
          <w:tcPr>
            <w:tcW w:w="1670" w:type="pct"/>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6 (40%)</w:t>
            </w:r>
          </w:p>
        </w:tc>
      </w:tr>
      <w:tr w:rsidR="00FD0F09" w:rsidRPr="00FD0F09" w:rsidTr="00CA0ADA">
        <w:tc>
          <w:tcPr>
            <w:tcW w:w="3330" w:type="pct"/>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90-&lt;200 days</w:t>
            </w:r>
          </w:p>
        </w:tc>
        <w:tc>
          <w:tcPr>
            <w:tcW w:w="1670" w:type="pct"/>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4 (27%)</w:t>
            </w:r>
          </w:p>
        </w:tc>
      </w:tr>
      <w:tr w:rsidR="00FD0F09" w:rsidRPr="00FD0F09" w:rsidTr="00CA0ADA">
        <w:tc>
          <w:tcPr>
            <w:tcW w:w="3330" w:type="pct"/>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200+days</w:t>
            </w:r>
          </w:p>
        </w:tc>
        <w:tc>
          <w:tcPr>
            <w:tcW w:w="1670" w:type="pct"/>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5 (33%)</w:t>
            </w:r>
          </w:p>
        </w:tc>
      </w:tr>
      <w:tr w:rsidR="00FD0F09" w:rsidRPr="00FD0F09" w:rsidTr="00CA0ADA">
        <w:tc>
          <w:tcPr>
            <w:tcW w:w="3330" w:type="pct"/>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b/>
                <w:color w:val="000000"/>
                <w:sz w:val="24"/>
                <w:szCs w:val="24"/>
              </w:rPr>
              <w:t xml:space="preserve">Disability level - EDSS </w:t>
            </w:r>
            <w:r w:rsidRPr="00FD0F09">
              <w:rPr>
                <w:rFonts w:ascii="Times New Roman" w:eastAsia="Calibri" w:hAnsi="Times New Roman" w:cs="Times New Roman"/>
                <w:color w:val="000000"/>
                <w:sz w:val="24"/>
                <w:szCs w:val="24"/>
              </w:rPr>
              <w:t>at enrolment, median (range)</w:t>
            </w:r>
          </w:p>
        </w:tc>
        <w:tc>
          <w:tcPr>
            <w:tcW w:w="1670" w:type="pct"/>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2.0 (0-4.0)</w:t>
            </w:r>
          </w:p>
        </w:tc>
      </w:tr>
      <w:tr w:rsidR="00FD0F09" w:rsidRPr="00FD0F09" w:rsidTr="00CA0ADA">
        <w:tc>
          <w:tcPr>
            <w:tcW w:w="3330" w:type="pct"/>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0-&lt;2.0</w:t>
            </w:r>
          </w:p>
        </w:tc>
        <w:tc>
          <w:tcPr>
            <w:tcW w:w="1670" w:type="pct"/>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5</w:t>
            </w:r>
          </w:p>
        </w:tc>
      </w:tr>
      <w:tr w:rsidR="00FD0F09" w:rsidRPr="00FD0F09" w:rsidTr="00CA0ADA">
        <w:tc>
          <w:tcPr>
            <w:tcW w:w="3330" w:type="pct"/>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2.0-&lt;3.0</w:t>
            </w:r>
          </w:p>
        </w:tc>
        <w:tc>
          <w:tcPr>
            <w:tcW w:w="1670" w:type="pct"/>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7</w:t>
            </w:r>
          </w:p>
        </w:tc>
      </w:tr>
      <w:tr w:rsidR="00FD0F09" w:rsidRPr="00FD0F09" w:rsidTr="00CA0ADA">
        <w:tc>
          <w:tcPr>
            <w:tcW w:w="3330" w:type="pct"/>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3.0+</w:t>
            </w:r>
          </w:p>
        </w:tc>
        <w:tc>
          <w:tcPr>
            <w:tcW w:w="1670" w:type="pct"/>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3</w:t>
            </w:r>
          </w:p>
        </w:tc>
      </w:tr>
      <w:tr w:rsidR="00FD0F09" w:rsidRPr="00FD0F09" w:rsidTr="00CA0ADA">
        <w:tc>
          <w:tcPr>
            <w:tcW w:w="3330" w:type="pct"/>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 xml:space="preserve">Disease-modifying drug exposure status </w:t>
            </w:r>
            <w:r w:rsidRPr="00FD0F09">
              <w:rPr>
                <w:rFonts w:ascii="Times New Roman" w:eastAsia="Calibri" w:hAnsi="Times New Roman" w:cs="Times New Roman"/>
                <w:sz w:val="24"/>
                <w:szCs w:val="24"/>
              </w:rPr>
              <w:t>[5]: DMD naïve</w:t>
            </w:r>
          </w:p>
        </w:tc>
        <w:tc>
          <w:tcPr>
            <w:tcW w:w="1670" w:type="pct"/>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8 (53%)</w:t>
            </w:r>
          </w:p>
        </w:tc>
      </w:tr>
      <w:tr w:rsidR="00FD0F09" w:rsidRPr="00FD0F09" w:rsidTr="00CA0ADA">
        <w:tc>
          <w:tcPr>
            <w:tcW w:w="3330" w:type="pct"/>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DMD exposed</w:t>
            </w:r>
          </w:p>
        </w:tc>
        <w:tc>
          <w:tcPr>
            <w:tcW w:w="1670" w:type="pct"/>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7 (47%)</w:t>
            </w:r>
          </w:p>
        </w:tc>
      </w:tr>
      <w:tr w:rsidR="00FD0F09" w:rsidRPr="00FD0F09" w:rsidTr="00CA0ADA">
        <w:tc>
          <w:tcPr>
            <w:tcW w:w="3330" w:type="pct"/>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b/>
                <w:sz w:val="24"/>
                <w:szCs w:val="24"/>
              </w:rPr>
              <w:t xml:space="preserve">Corticosteroids – systemic </w:t>
            </w:r>
            <w:r w:rsidRPr="00FD0F09">
              <w:rPr>
                <w:rFonts w:ascii="Times New Roman" w:eastAsia="Calibri" w:hAnsi="Times New Roman" w:cs="Times New Roman"/>
                <w:sz w:val="24"/>
                <w:szCs w:val="24"/>
              </w:rPr>
              <w:t>[6]:</w:t>
            </w:r>
            <w:r w:rsidRPr="00FD0F09">
              <w:rPr>
                <w:rFonts w:ascii="Times New Roman" w:eastAsia="Calibri" w:hAnsi="Times New Roman" w:cs="Times New Roman"/>
                <w:b/>
                <w:sz w:val="24"/>
                <w:szCs w:val="24"/>
              </w:rPr>
              <w:t xml:space="preserve"> </w:t>
            </w:r>
            <w:r w:rsidRPr="00FD0F09">
              <w:rPr>
                <w:rFonts w:ascii="Times New Roman" w:eastAsia="Calibri" w:hAnsi="Times New Roman" w:cs="Times New Roman"/>
                <w:sz w:val="24"/>
                <w:szCs w:val="24"/>
              </w:rPr>
              <w:t>No</w:t>
            </w:r>
          </w:p>
        </w:tc>
        <w:tc>
          <w:tcPr>
            <w:tcW w:w="1670" w:type="pct"/>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10 (67%)</w:t>
            </w:r>
          </w:p>
        </w:tc>
      </w:tr>
      <w:tr w:rsidR="00FD0F09" w:rsidRPr="00FD0F09" w:rsidTr="00CA0ADA">
        <w:tc>
          <w:tcPr>
            <w:tcW w:w="3330" w:type="pct"/>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Yes</w:t>
            </w:r>
          </w:p>
        </w:tc>
        <w:tc>
          <w:tcPr>
            <w:tcW w:w="1670" w:type="pct"/>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 xml:space="preserve">5 (33%) </w:t>
            </w:r>
          </w:p>
        </w:tc>
      </w:tr>
    </w:tbl>
    <w:p w:rsidR="00FD0F09" w:rsidRPr="00FD0F09" w:rsidRDefault="00FD0F09" w:rsidP="00FD0F09">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FD0F09">
        <w:rPr>
          <w:rFonts w:ascii="Times New Roman" w:eastAsia="Calibri" w:hAnsi="Times New Roman" w:cs="Times New Roman"/>
          <w:bCs/>
          <w:color w:val="000000"/>
          <w:sz w:val="24"/>
          <w:szCs w:val="24"/>
          <w:u w:val="single"/>
          <w:bdr w:val="none" w:sz="0" w:space="0" w:color="auto" w:frame="1"/>
          <w:shd w:val="clear" w:color="auto" w:fill="FFFFFF"/>
        </w:rPr>
        <w:t>Key</w:t>
      </w:r>
      <w:r w:rsidRPr="00FD0F09">
        <w:rPr>
          <w:rFonts w:ascii="Times New Roman" w:eastAsia="Calibri" w:hAnsi="Times New Roman" w:cs="Times New Roman"/>
          <w:bCs/>
          <w:color w:val="000000"/>
          <w:sz w:val="24"/>
          <w:szCs w:val="24"/>
          <w:bdr w:val="none" w:sz="0" w:space="0" w:color="auto" w:frame="1"/>
          <w:shd w:val="clear" w:color="auto" w:fill="FFFFFF"/>
        </w:rPr>
        <w:t>: SD=standard deviation; excl</w:t>
      </w:r>
      <w:proofErr w:type="gramStart"/>
      <w:r w:rsidRPr="00FD0F09">
        <w:rPr>
          <w:rFonts w:ascii="Times New Roman" w:eastAsia="Calibri" w:hAnsi="Times New Roman" w:cs="Times New Roman"/>
          <w:bCs/>
          <w:color w:val="000000"/>
          <w:sz w:val="24"/>
          <w:szCs w:val="24"/>
          <w:bdr w:val="none" w:sz="0" w:space="0" w:color="auto" w:frame="1"/>
          <w:shd w:val="clear" w:color="auto" w:fill="FFFFFF"/>
        </w:rPr>
        <w:t>.=</w:t>
      </w:r>
      <w:proofErr w:type="gramEnd"/>
      <w:r w:rsidRPr="00FD0F09">
        <w:rPr>
          <w:rFonts w:ascii="Times New Roman" w:eastAsia="Calibri" w:hAnsi="Times New Roman" w:cs="Times New Roman"/>
          <w:bCs/>
          <w:color w:val="000000"/>
          <w:sz w:val="24"/>
          <w:szCs w:val="24"/>
          <w:bdr w:val="none" w:sz="0" w:space="0" w:color="auto" w:frame="1"/>
          <w:shd w:val="clear" w:color="auto" w:fill="FFFFFF"/>
        </w:rPr>
        <w:t>excluding; EDSS=Expanded Disability Status Scale score; DMD=disease-modifying drug</w:t>
      </w:r>
    </w:p>
    <w:p w:rsidR="00FD0F09" w:rsidRPr="00FD0F09" w:rsidRDefault="00FD0F09" w:rsidP="00FD0F09">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FD0F09">
        <w:rPr>
          <w:rFonts w:ascii="Times New Roman" w:eastAsia="Calibri" w:hAnsi="Times New Roman" w:cs="Times New Roman"/>
          <w:bCs/>
          <w:color w:val="000000"/>
          <w:sz w:val="24"/>
          <w:szCs w:val="24"/>
          <w:bdr w:val="none" w:sz="0" w:space="0" w:color="auto" w:frame="1"/>
          <w:shd w:val="clear" w:color="auto" w:fill="FFFFFF"/>
        </w:rPr>
        <w:t>[1] Body Mass Index (BMI)=height(kg)/weight(m)sq, with age and sex-specific percentiles (</w:t>
      </w:r>
      <w:r w:rsidRPr="00FD0F09">
        <w:rPr>
          <w:rFonts w:ascii="Times New Roman" w:eastAsia="Calibri" w:hAnsi="Times New Roman" w:cs="Times New Roman"/>
          <w:sz w:val="24"/>
          <w:szCs w:val="24"/>
        </w:rPr>
        <w:t>standardized against age and sex growth charts from the</w:t>
      </w:r>
      <w:r w:rsidRPr="00FD0F09">
        <w:rPr>
          <w:rFonts w:ascii="Times New Roman" w:eastAsia="Calibri" w:hAnsi="Times New Roman" w:cs="Times New Roman"/>
          <w:bCs/>
          <w:color w:val="000000"/>
          <w:sz w:val="24"/>
          <w:szCs w:val="24"/>
          <w:bdr w:val="none" w:sz="0" w:space="0" w:color="auto" w:frame="1"/>
          <w:shd w:val="clear" w:color="auto" w:fill="FFFFFF"/>
        </w:rPr>
        <w:t xml:space="preserve"> </w:t>
      </w:r>
      <w:r w:rsidRPr="00FD0F09">
        <w:rPr>
          <w:rFonts w:ascii="Times New Roman" w:eastAsia="Calibri" w:hAnsi="Times New Roman" w:cs="Times New Roman"/>
          <w:color w:val="000000"/>
          <w:sz w:val="24"/>
          <w:szCs w:val="24"/>
          <w:shd w:val="clear" w:color="auto" w:fill="FFFFFF"/>
        </w:rPr>
        <w:t>Center for Disease Control</w:t>
      </w:r>
      <w:r w:rsidR="00693CE0" w:rsidRPr="00FD0F09">
        <w:rPr>
          <w:rFonts w:ascii="Times New Roman" w:eastAsia="Calibri" w:hAnsi="Times New Roman" w:cs="Times New Roman"/>
          <w:sz w:val="24"/>
          <w:szCs w:val="24"/>
        </w:rPr>
        <w:fldChar w:fldCharType="begin"/>
      </w:r>
      <w:r w:rsidRPr="00FD0F09">
        <w:rPr>
          <w:rFonts w:ascii="Times New Roman" w:eastAsia="Calibri" w:hAnsi="Times New Roman" w:cs="Times New Roman"/>
          <w:sz w:val="24"/>
          <w:szCs w:val="24"/>
        </w:rPr>
        <w:instrText xml:space="preserve"> ADDIN EN.CITE &lt;EndNote&gt;&lt;Cite ExcludeAuth="1" ExcludeYear="1"&gt;&lt;Author&gt;USAs Centers for Disease Control and Prevention&lt;/Author&gt;&lt;RecNum&gt;7111&lt;/RecNum&gt;&lt;DisplayText&gt;[29]&lt;/DisplayText&gt;&lt;record&gt;&lt;rec-number&gt;7111&lt;/rec-number&gt;&lt;foreign-keys&gt;&lt;key app="EN" db-id="xrsrvs9eowwwvbex0fk5vxv10w2xe0re5wep" timestamp="1450129634"&gt;7111&lt;/key&gt;&lt;/foreign-keys&gt;&lt;ref-type name="Web Page"&gt;12&lt;/ref-type&gt;&lt;contributors&gt;&lt;authors&gt;&lt;author&gt;USAs Centers for Disease Control and Prevention,&lt;/author&gt;&lt;/authors&gt;&lt;/contributors&gt;&lt;titles&gt;&lt;title&gt;Children&amp;apos;s BMI Tool for Schools&lt;/title&gt;&lt;/titles&gt;&lt;number&gt;July 1, 2014&lt;/number&gt;&lt;dates&gt;&lt;pub-dates&gt;&lt;date&gt;September 13, 2010&lt;/date&gt;&lt;/pub-dates&gt;&lt;/dates&gt;&lt;urls&gt;&lt;related-urls&gt;&lt;url&gt;http://www.cdc.gov/healthyweight/assessing/bmi/childrens_BMI/tool_for_schools.html&lt;/url&gt;&lt;/related-urls&gt;&lt;/urls&gt;&lt;/record&gt;&lt;/Cite&gt;&lt;/EndNote&gt;</w:instrText>
      </w:r>
      <w:r w:rsidR="00693CE0" w:rsidRPr="00FD0F09">
        <w:rPr>
          <w:rFonts w:ascii="Times New Roman" w:eastAsia="Calibri" w:hAnsi="Times New Roman" w:cs="Times New Roman"/>
          <w:sz w:val="24"/>
          <w:szCs w:val="24"/>
        </w:rPr>
        <w:fldChar w:fldCharType="separate"/>
      </w:r>
      <w:r w:rsidRPr="00FD0F09">
        <w:rPr>
          <w:rFonts w:ascii="Times New Roman" w:eastAsia="Calibri" w:hAnsi="Times New Roman" w:cs="Times New Roman"/>
          <w:noProof/>
          <w:sz w:val="24"/>
          <w:szCs w:val="24"/>
        </w:rPr>
        <w:t>[</w:t>
      </w:r>
      <w:hyperlink w:anchor="_ENREF_29" w:tooltip="USAs Centers for Disease Control and Prevention,  #7111" w:history="1">
        <w:r w:rsidRPr="00FD0F09">
          <w:rPr>
            <w:rFonts w:ascii="Times New Roman" w:eastAsia="Calibri" w:hAnsi="Times New Roman" w:cs="Times New Roman"/>
            <w:noProof/>
            <w:sz w:val="24"/>
            <w:szCs w:val="24"/>
          </w:rPr>
          <w:t>29</w:t>
        </w:r>
      </w:hyperlink>
      <w:r w:rsidRPr="00FD0F09">
        <w:rPr>
          <w:rFonts w:ascii="Times New Roman" w:eastAsia="Calibri" w:hAnsi="Times New Roman" w:cs="Times New Roman"/>
          <w:noProof/>
          <w:sz w:val="24"/>
          <w:szCs w:val="24"/>
        </w:rPr>
        <w:t>]</w:t>
      </w:r>
      <w:r w:rsidR="00693CE0" w:rsidRPr="00FD0F09">
        <w:rPr>
          <w:rFonts w:ascii="Times New Roman" w:eastAsia="Calibri" w:hAnsi="Times New Roman" w:cs="Times New Roman"/>
          <w:sz w:val="24"/>
          <w:szCs w:val="24"/>
        </w:rPr>
        <w:fldChar w:fldCharType="end"/>
      </w:r>
      <w:r w:rsidRPr="00FD0F09">
        <w:rPr>
          <w:rFonts w:ascii="Times New Roman" w:eastAsia="Calibri" w:hAnsi="Times New Roman" w:cs="Times New Roman"/>
          <w:color w:val="000000"/>
          <w:sz w:val="24"/>
          <w:szCs w:val="24"/>
          <w:shd w:val="clear" w:color="auto" w:fill="FFFFFF"/>
        </w:rPr>
        <w:t xml:space="preserve"> to obtain a</w:t>
      </w:r>
      <w:r w:rsidRPr="00FD0F09">
        <w:rPr>
          <w:rFonts w:ascii="Times New Roman" w:eastAsia="Calibri" w:hAnsi="Times New Roman" w:cs="Times New Roman"/>
          <w:bCs/>
          <w:color w:val="000000"/>
          <w:sz w:val="24"/>
          <w:szCs w:val="24"/>
          <w:bdr w:val="none" w:sz="0" w:space="0" w:color="auto" w:frame="1"/>
          <w:shd w:val="clear" w:color="auto" w:fill="FFFFFF"/>
        </w:rPr>
        <w:t xml:space="preserve"> percentile ranking). One individual (case) was below the 5</w:t>
      </w:r>
      <w:r w:rsidRPr="00FD0F09">
        <w:rPr>
          <w:rFonts w:ascii="Times New Roman" w:eastAsia="Calibri" w:hAnsi="Times New Roman" w:cs="Times New Roman"/>
          <w:bCs/>
          <w:color w:val="000000"/>
          <w:sz w:val="24"/>
          <w:szCs w:val="24"/>
          <w:bdr w:val="none" w:sz="0" w:space="0" w:color="auto" w:frame="1"/>
          <w:shd w:val="clear" w:color="auto" w:fill="FFFFFF"/>
          <w:vertAlign w:val="superscript"/>
        </w:rPr>
        <w:t>th</w:t>
      </w:r>
      <w:r w:rsidRPr="00FD0F09">
        <w:rPr>
          <w:rFonts w:ascii="Times New Roman" w:eastAsia="Calibri" w:hAnsi="Times New Roman" w:cs="Times New Roman"/>
          <w:bCs/>
          <w:color w:val="000000"/>
          <w:sz w:val="24"/>
          <w:szCs w:val="24"/>
          <w:bdr w:val="none" w:sz="0" w:space="0" w:color="auto" w:frame="1"/>
          <w:shd w:val="clear" w:color="auto" w:fill="FFFFFF"/>
        </w:rPr>
        <w:t xml:space="preserve"> percentile; 3/15 cases and 1/9 control were </w:t>
      </w:r>
      <w:r w:rsidRPr="00FD0F09">
        <w:rPr>
          <w:rFonts w:ascii="Times New Roman" w:eastAsia="Calibri" w:hAnsi="Times New Roman" w:cs="Times New Roman"/>
          <w:sz w:val="24"/>
          <w:szCs w:val="24"/>
        </w:rPr>
        <w:t>≥</w:t>
      </w:r>
      <w:r w:rsidRPr="00FD0F09">
        <w:rPr>
          <w:rFonts w:ascii="Times New Roman" w:eastAsia="Calibri" w:hAnsi="Times New Roman" w:cs="Times New Roman"/>
          <w:bCs/>
          <w:color w:val="000000"/>
          <w:sz w:val="24"/>
          <w:szCs w:val="24"/>
          <w:bdr w:val="none" w:sz="0" w:space="0" w:color="auto" w:frame="1"/>
          <w:shd w:val="clear" w:color="auto" w:fill="FFFFFF"/>
        </w:rPr>
        <w:t>95</w:t>
      </w:r>
      <w:r w:rsidRPr="00FD0F09">
        <w:rPr>
          <w:rFonts w:ascii="Times New Roman" w:eastAsia="Calibri" w:hAnsi="Times New Roman" w:cs="Times New Roman"/>
          <w:bCs/>
          <w:color w:val="000000"/>
          <w:sz w:val="24"/>
          <w:szCs w:val="24"/>
          <w:bdr w:val="none" w:sz="0" w:space="0" w:color="auto" w:frame="1"/>
          <w:shd w:val="clear" w:color="auto" w:fill="FFFFFF"/>
          <w:vertAlign w:val="superscript"/>
        </w:rPr>
        <w:t>th</w:t>
      </w:r>
      <w:r w:rsidRPr="00FD0F09">
        <w:rPr>
          <w:rFonts w:ascii="Times New Roman" w:eastAsia="Calibri" w:hAnsi="Times New Roman" w:cs="Times New Roman"/>
          <w:bCs/>
          <w:color w:val="000000"/>
          <w:sz w:val="24"/>
          <w:szCs w:val="24"/>
          <w:bdr w:val="none" w:sz="0" w:space="0" w:color="auto" w:frame="1"/>
          <w:shd w:val="clear" w:color="auto" w:fill="FFFFFF"/>
        </w:rPr>
        <w:t xml:space="preserve"> percentile (obese)</w:t>
      </w:r>
    </w:p>
    <w:p w:rsidR="00FD0F09" w:rsidRPr="00FD0F09" w:rsidRDefault="00FD0F09" w:rsidP="00FD0F09">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FD0F09">
        <w:rPr>
          <w:rFonts w:ascii="Times New Roman" w:eastAsia="Calibri" w:hAnsi="Times New Roman" w:cs="Times New Roman"/>
          <w:bCs/>
          <w:color w:val="000000"/>
          <w:sz w:val="24"/>
          <w:szCs w:val="24"/>
          <w:bdr w:val="none" w:sz="0" w:space="0" w:color="auto" w:frame="1"/>
          <w:shd w:val="clear" w:color="auto" w:fill="FFFFFF"/>
        </w:rPr>
        <w:t>[2] Recent diet derived from the</w:t>
      </w:r>
      <w:r w:rsidRPr="00FD0F09">
        <w:rPr>
          <w:rFonts w:ascii="Times New Roman" w:eastAsia="TimesNewRomanPSMT" w:hAnsi="Times New Roman" w:cs="Times New Roman"/>
          <w:sz w:val="24"/>
          <w:szCs w:val="24"/>
        </w:rPr>
        <w:t xml:space="preserve"> Block Kids Food Screener (</w:t>
      </w:r>
      <w:proofErr w:type="spellStart"/>
      <w:r w:rsidRPr="00FD0F09">
        <w:rPr>
          <w:rFonts w:ascii="Times New Roman" w:eastAsia="TimesNewRomanPSMT" w:hAnsi="Times New Roman" w:cs="Times New Roman"/>
          <w:sz w:val="24"/>
          <w:szCs w:val="24"/>
        </w:rPr>
        <w:t>NutritionQuest</w:t>
      </w:r>
      <w:proofErr w:type="spellEnd"/>
      <w:r w:rsidRPr="00FD0F09">
        <w:rPr>
          <w:rFonts w:ascii="Times New Roman" w:eastAsia="TimesNewRomanPSMT" w:hAnsi="Times New Roman" w:cs="Times New Roman"/>
          <w:sz w:val="24"/>
          <w:szCs w:val="24"/>
        </w:rPr>
        <w:t xml:space="preserve">©), </w:t>
      </w:r>
      <w:r w:rsidRPr="00FD0F09">
        <w:rPr>
          <w:rFonts w:ascii="Times New Roman" w:eastAsia="Calibri" w:hAnsi="Times New Roman" w:cs="Times New Roman"/>
          <w:bCs/>
          <w:color w:val="000000"/>
          <w:sz w:val="24"/>
          <w:szCs w:val="24"/>
          <w:bdr w:val="none" w:sz="0" w:space="0" w:color="auto" w:frame="1"/>
          <w:shd w:val="clear" w:color="auto" w:fill="FFFFFF"/>
        </w:rPr>
        <w:t>recorded over one week (as described previously</w:t>
      </w:r>
      <w:r w:rsidR="00693CE0" w:rsidRPr="00FD0F09">
        <w:rPr>
          <w:rFonts w:ascii="Times New Roman" w:eastAsia="Calibri" w:hAnsi="Times New Roman" w:cs="Times New Roman"/>
          <w:bCs/>
          <w:color w:val="000000"/>
          <w:sz w:val="24"/>
          <w:szCs w:val="24"/>
          <w:bdr w:val="none" w:sz="0" w:space="0" w:color="auto" w:frame="1"/>
          <w:shd w:val="clear" w:color="auto" w:fill="FFFFFF"/>
        </w:rPr>
        <w:fldChar w:fldCharType="begin"/>
      </w:r>
      <w:r w:rsidRPr="00FD0F09">
        <w:rPr>
          <w:rFonts w:ascii="Times New Roman" w:eastAsia="Calibri" w:hAnsi="Times New Roman" w:cs="Times New Roman"/>
          <w:bCs/>
          <w:color w:val="000000"/>
          <w:sz w:val="24"/>
          <w:szCs w:val="24"/>
          <w:bdr w:val="none" w:sz="0" w:space="0" w:color="auto" w:frame="1"/>
          <w:shd w:val="clear" w:color="auto" w:fill="FFFFFF"/>
        </w:rPr>
        <w:instrText xml:space="preserve"> ADDIN EN.CITE &lt;EndNote&gt;&lt;Cite&gt;&lt;Author&gt;Tremlett H&lt;/Author&gt;&lt;Year&gt;2015&lt;/Year&gt;&lt;RecNum&gt;7124&lt;/RecNum&gt;&lt;DisplayText&gt;[27]&lt;/DisplayText&gt;&lt;record&gt;&lt;rec-number&gt;7124&lt;/rec-number&gt;&lt;foreign-keys&gt;&lt;key app="EN" db-id="xrsrvs9eowwwvbex0fk5vxv10w2xe0re5wep" timestamp="1450130532"&gt;7124&lt;/key&gt;&lt;/foreign-keys&gt;&lt;ref-type name="Journal Article"&gt;17&lt;/ref-type&gt;&lt;contributors&gt;&lt;authors&gt;&lt;author&gt;Tremlett H,&lt;/author&gt;&lt;author&gt;Fadrosh DW, &lt;/author&gt;&lt;author&gt;Faruqi AA, &lt;/author&gt;&lt;author&gt;Zhu F, &lt;/author&gt;&lt;author&gt;Hart J, &lt;/author&gt;&lt;author&gt;Roalstad S,&lt;/author&gt;&lt;author&gt;Graves J, &lt;/author&gt;&lt;author&gt;Lynch S,&lt;/author&gt;&lt;author&gt;Waubant E&lt;/author&gt;&lt;/authors&gt;&lt;/contributors&gt;&lt;titles&gt;&lt;title&gt;Gut microbiota in early pediatric multiple sclerosis: a case-control study. Under Review&lt;/title&gt;&lt;/titles&gt;&lt;dates&gt;&lt;year&gt;2015&lt;/year&gt;&lt;/dates&gt;&lt;urls&gt;&lt;/urls&gt;&lt;/record&gt;&lt;/Cite&gt;&lt;/EndNote&gt;</w:instrText>
      </w:r>
      <w:r w:rsidR="00693CE0" w:rsidRPr="00FD0F09">
        <w:rPr>
          <w:rFonts w:ascii="Times New Roman" w:eastAsia="Calibri" w:hAnsi="Times New Roman" w:cs="Times New Roman"/>
          <w:bCs/>
          <w:color w:val="000000"/>
          <w:sz w:val="24"/>
          <w:szCs w:val="24"/>
          <w:bdr w:val="none" w:sz="0" w:space="0" w:color="auto" w:frame="1"/>
          <w:shd w:val="clear" w:color="auto" w:fill="FFFFFF"/>
        </w:rPr>
        <w:fldChar w:fldCharType="separate"/>
      </w:r>
      <w:r w:rsidRPr="00FD0F09">
        <w:rPr>
          <w:rFonts w:ascii="Times New Roman" w:eastAsia="Calibri" w:hAnsi="Times New Roman" w:cs="Times New Roman"/>
          <w:bCs/>
          <w:noProof/>
          <w:color w:val="000000"/>
          <w:sz w:val="24"/>
          <w:szCs w:val="24"/>
          <w:bdr w:val="none" w:sz="0" w:space="0" w:color="auto" w:frame="1"/>
          <w:shd w:val="clear" w:color="auto" w:fill="FFFFFF"/>
        </w:rPr>
        <w:t>[</w:t>
      </w:r>
      <w:hyperlink w:anchor="_ENREF_27" w:tooltip="Tremlett H, 2015 #7124" w:history="1">
        <w:r w:rsidRPr="00FD0F09">
          <w:rPr>
            <w:rFonts w:ascii="Times New Roman" w:eastAsia="Calibri" w:hAnsi="Times New Roman" w:cs="Times New Roman"/>
            <w:bCs/>
            <w:noProof/>
            <w:color w:val="000000"/>
            <w:sz w:val="24"/>
            <w:szCs w:val="24"/>
            <w:bdr w:val="none" w:sz="0" w:space="0" w:color="auto" w:frame="1"/>
            <w:shd w:val="clear" w:color="auto" w:fill="FFFFFF"/>
          </w:rPr>
          <w:t>27</w:t>
        </w:r>
      </w:hyperlink>
      <w:r w:rsidRPr="00FD0F09">
        <w:rPr>
          <w:rFonts w:ascii="Times New Roman" w:eastAsia="Calibri" w:hAnsi="Times New Roman" w:cs="Times New Roman"/>
          <w:bCs/>
          <w:noProof/>
          <w:color w:val="000000"/>
          <w:sz w:val="24"/>
          <w:szCs w:val="24"/>
          <w:bdr w:val="none" w:sz="0" w:space="0" w:color="auto" w:frame="1"/>
          <w:shd w:val="clear" w:color="auto" w:fill="FFFFFF"/>
        </w:rPr>
        <w:t>]</w:t>
      </w:r>
      <w:r w:rsidR="00693CE0" w:rsidRPr="00FD0F09">
        <w:rPr>
          <w:rFonts w:ascii="Times New Roman" w:eastAsia="Calibri" w:hAnsi="Times New Roman" w:cs="Times New Roman"/>
          <w:bCs/>
          <w:color w:val="000000"/>
          <w:sz w:val="24"/>
          <w:szCs w:val="24"/>
          <w:bdr w:val="none" w:sz="0" w:space="0" w:color="auto" w:frame="1"/>
          <w:shd w:val="clear" w:color="auto" w:fill="FFFFFF"/>
        </w:rPr>
        <w:fldChar w:fldCharType="end"/>
      </w:r>
      <w:r w:rsidRPr="00FD0F09">
        <w:rPr>
          <w:rFonts w:ascii="Times New Roman" w:eastAsia="Calibri" w:hAnsi="Times New Roman" w:cs="Times New Roman"/>
          <w:bCs/>
          <w:color w:val="000000"/>
          <w:sz w:val="24"/>
          <w:szCs w:val="24"/>
          <w:bdr w:val="none" w:sz="0" w:space="0" w:color="auto" w:frame="1"/>
          <w:shd w:val="clear" w:color="auto" w:fill="FFFFFF"/>
        </w:rPr>
        <w:t xml:space="preserve">). </w:t>
      </w:r>
    </w:p>
    <w:p w:rsidR="00FD0F09" w:rsidRPr="00FD0F09" w:rsidRDefault="00FD0F09" w:rsidP="00FD0F09">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FD0F09">
        <w:rPr>
          <w:rFonts w:ascii="Times New Roman" w:eastAsia="Calibri" w:hAnsi="Times New Roman" w:cs="Times New Roman"/>
          <w:bCs/>
          <w:color w:val="000000"/>
          <w:sz w:val="24"/>
          <w:szCs w:val="24"/>
          <w:bdr w:val="none" w:sz="0" w:space="0" w:color="auto" w:frame="1"/>
          <w:shd w:val="clear" w:color="auto" w:fill="FFFFFF"/>
        </w:rPr>
        <w:t xml:space="preserve">[3] </w:t>
      </w:r>
      <w:proofErr w:type="gramStart"/>
      <w:r w:rsidRPr="00FD0F09">
        <w:rPr>
          <w:rFonts w:ascii="Times New Roman" w:eastAsia="Calibri" w:hAnsi="Times New Roman" w:cs="Times New Roman"/>
          <w:bCs/>
          <w:color w:val="000000"/>
          <w:sz w:val="24"/>
          <w:szCs w:val="24"/>
          <w:bdr w:val="none" w:sz="0" w:space="0" w:color="auto" w:frame="1"/>
          <w:shd w:val="clear" w:color="auto" w:fill="FFFFFF"/>
        </w:rPr>
        <w:t>disease</w:t>
      </w:r>
      <w:proofErr w:type="gramEnd"/>
      <w:r w:rsidRPr="00FD0F09">
        <w:rPr>
          <w:rFonts w:ascii="Times New Roman" w:eastAsia="Calibri" w:hAnsi="Times New Roman" w:cs="Times New Roman"/>
          <w:bCs/>
          <w:color w:val="000000"/>
          <w:sz w:val="24"/>
          <w:szCs w:val="24"/>
          <w:bdr w:val="none" w:sz="0" w:space="0" w:color="auto" w:frame="1"/>
          <w:shd w:val="clear" w:color="auto" w:fill="FFFFFF"/>
        </w:rPr>
        <w:t xml:space="preserve"> duration: time from symptom onset to stool collection </w:t>
      </w:r>
    </w:p>
    <w:p w:rsidR="00FD0F09" w:rsidRPr="00FD0F09" w:rsidRDefault="00FD0F09" w:rsidP="00FD0F09">
      <w:pPr>
        <w:autoSpaceDE w:val="0"/>
        <w:autoSpaceDN w:val="0"/>
        <w:adjustRightInd w:val="0"/>
        <w:spacing w:after="0" w:line="240"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lastRenderedPageBreak/>
        <w:t>[4] relapse rate = relapse count/disease duration; note however that while a major strength of the study, the disease duration was low; i.e. those cases with the shortest disease durations pre-stool sample can influence the apparent relapse rates as follows: a very short disease duration implies less opportunity for a relapse to occur, therefore often the relapse rate was ‘zero.’ However, if a relapse did occur, the resulting relapse rate can appear high (inflated) because of the small denominator (disease duration)</w:t>
      </w:r>
    </w:p>
    <w:p w:rsidR="00FD0F09" w:rsidRPr="00FD0F09" w:rsidRDefault="00FD0F09" w:rsidP="00FD0F09">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FD0F09">
        <w:rPr>
          <w:rFonts w:ascii="Times New Roman" w:eastAsia="Calibri" w:hAnsi="Times New Roman" w:cs="Times New Roman"/>
          <w:bCs/>
          <w:color w:val="000000"/>
          <w:sz w:val="24"/>
          <w:szCs w:val="24"/>
          <w:bdr w:val="none" w:sz="0" w:space="0" w:color="auto" w:frame="1"/>
          <w:shd w:val="clear" w:color="auto" w:fill="FFFFFF"/>
        </w:rPr>
        <w:t xml:space="preserve">[5] ‘DMD naïve’ indicates never exposed pre-stool sample. ‘DMD exposed’ indicates ever exposed pre-stool sample; all were also currently exposed (at the time of stool collection) as follows: beta-interferon (n=2); </w:t>
      </w:r>
      <w:proofErr w:type="spellStart"/>
      <w:r w:rsidRPr="00FD0F09">
        <w:rPr>
          <w:rFonts w:ascii="Times New Roman" w:eastAsia="Calibri" w:hAnsi="Times New Roman" w:cs="Times New Roman"/>
          <w:bCs/>
          <w:color w:val="000000"/>
          <w:sz w:val="24"/>
          <w:szCs w:val="24"/>
          <w:bdr w:val="none" w:sz="0" w:space="0" w:color="auto" w:frame="1"/>
          <w:shd w:val="clear" w:color="auto" w:fill="FFFFFF"/>
        </w:rPr>
        <w:t>glatiramer</w:t>
      </w:r>
      <w:proofErr w:type="spellEnd"/>
      <w:r w:rsidRPr="00FD0F09">
        <w:rPr>
          <w:rFonts w:ascii="Times New Roman" w:eastAsia="Calibri" w:hAnsi="Times New Roman" w:cs="Times New Roman"/>
          <w:bCs/>
          <w:color w:val="000000"/>
          <w:sz w:val="24"/>
          <w:szCs w:val="24"/>
          <w:bdr w:val="none" w:sz="0" w:space="0" w:color="auto" w:frame="1"/>
          <w:shd w:val="clear" w:color="auto" w:fill="FFFFFF"/>
        </w:rPr>
        <w:t xml:space="preserve"> acetate (n=5). No child had switched or stopped a DMD (although one child had previously been exposed to plasma exchange before taking </w:t>
      </w:r>
      <w:proofErr w:type="spellStart"/>
      <w:r w:rsidRPr="00FD0F09">
        <w:rPr>
          <w:rFonts w:ascii="Times New Roman" w:eastAsia="Calibri" w:hAnsi="Times New Roman" w:cs="Times New Roman"/>
          <w:bCs/>
          <w:color w:val="000000"/>
          <w:sz w:val="24"/>
          <w:szCs w:val="24"/>
          <w:bdr w:val="none" w:sz="0" w:space="0" w:color="auto" w:frame="1"/>
          <w:shd w:val="clear" w:color="auto" w:fill="FFFFFF"/>
        </w:rPr>
        <w:t>glatiramer</w:t>
      </w:r>
      <w:proofErr w:type="spellEnd"/>
      <w:r w:rsidRPr="00FD0F09">
        <w:rPr>
          <w:rFonts w:ascii="Times New Roman" w:eastAsia="Calibri" w:hAnsi="Times New Roman" w:cs="Times New Roman"/>
          <w:bCs/>
          <w:color w:val="000000"/>
          <w:sz w:val="24"/>
          <w:szCs w:val="24"/>
          <w:bdr w:val="none" w:sz="0" w:space="0" w:color="auto" w:frame="1"/>
          <w:shd w:val="clear" w:color="auto" w:fill="FFFFFF"/>
        </w:rPr>
        <w:t xml:space="preserve"> acetate).</w:t>
      </w:r>
    </w:p>
    <w:p w:rsidR="00FD0F09" w:rsidRPr="00FD0F09" w:rsidRDefault="00FD0F09" w:rsidP="00FD0F09">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FD0F09">
        <w:rPr>
          <w:rFonts w:ascii="Times New Roman" w:eastAsia="Calibri" w:hAnsi="Times New Roman" w:cs="Times New Roman"/>
          <w:bCs/>
          <w:color w:val="000000"/>
          <w:sz w:val="24"/>
          <w:szCs w:val="24"/>
          <w:bdr w:val="none" w:sz="0" w:space="0" w:color="auto" w:frame="1"/>
          <w:shd w:val="clear" w:color="auto" w:fill="FFFFFF"/>
        </w:rPr>
        <w:t xml:space="preserve">[6] </w:t>
      </w:r>
      <w:proofErr w:type="gramStart"/>
      <w:r w:rsidRPr="00FD0F09">
        <w:rPr>
          <w:rFonts w:ascii="Times New Roman" w:eastAsia="Calibri" w:hAnsi="Times New Roman" w:cs="Times New Roman"/>
          <w:bCs/>
          <w:color w:val="000000"/>
          <w:sz w:val="24"/>
          <w:szCs w:val="24"/>
          <w:bdr w:val="none" w:sz="0" w:space="0" w:color="auto" w:frame="1"/>
          <w:shd w:val="clear" w:color="auto" w:fill="FFFFFF"/>
        </w:rPr>
        <w:t>within</w:t>
      </w:r>
      <w:proofErr w:type="gramEnd"/>
      <w:r w:rsidRPr="00FD0F09">
        <w:rPr>
          <w:rFonts w:ascii="Times New Roman" w:eastAsia="Calibri" w:hAnsi="Times New Roman" w:cs="Times New Roman"/>
          <w:bCs/>
          <w:color w:val="000000"/>
          <w:sz w:val="24"/>
          <w:szCs w:val="24"/>
          <w:bdr w:val="none" w:sz="0" w:space="0" w:color="auto" w:frame="1"/>
          <w:shd w:val="clear" w:color="auto" w:fill="FFFFFF"/>
        </w:rPr>
        <w:t xml:space="preserve"> the 2 months prior to stool sample collection </w:t>
      </w:r>
    </w:p>
    <w:p w:rsidR="00FD0F09" w:rsidRPr="00FD0F09" w:rsidRDefault="00FD0F09" w:rsidP="00FD0F09">
      <w:pPr>
        <w:spacing w:after="200" w:line="276" w:lineRule="auto"/>
        <w:rPr>
          <w:rFonts w:ascii="Times New Roman" w:eastAsia="Calibri" w:hAnsi="Times New Roman" w:cs="Times New Roman"/>
          <w:b/>
          <w:sz w:val="24"/>
          <w:szCs w:val="24"/>
        </w:rPr>
      </w:pPr>
    </w:p>
    <w:p w:rsidR="00FD0F09" w:rsidRPr="00FD0F09" w:rsidRDefault="00FD0F09" w:rsidP="00FD0F09">
      <w:pPr>
        <w:spacing w:after="200" w:line="276" w:lineRule="auto"/>
        <w:rPr>
          <w:rFonts w:ascii="Times New Roman" w:eastAsia="Times New Roman" w:hAnsi="Times New Roman" w:cs="Times New Roman"/>
          <w:b/>
          <w:bCs/>
          <w:sz w:val="24"/>
          <w:szCs w:val="24"/>
        </w:rPr>
      </w:pPr>
      <w:r w:rsidRPr="00FD0F09">
        <w:rPr>
          <w:rFonts w:ascii="Times New Roman" w:eastAsia="Calibri" w:hAnsi="Times New Roman" w:cs="Times New Roman"/>
          <w:sz w:val="24"/>
          <w:szCs w:val="24"/>
        </w:rPr>
        <w:br w:type="page"/>
      </w:r>
    </w:p>
    <w:p w:rsidR="00FD0F09" w:rsidRPr="00FD0F09" w:rsidRDefault="00FD0F09" w:rsidP="00FD0F09">
      <w:pPr>
        <w:spacing w:before="200" w:after="0" w:line="276" w:lineRule="auto"/>
        <w:outlineLvl w:val="1"/>
        <w:rPr>
          <w:rFonts w:ascii="Times New Roman" w:eastAsia="Times New Roman" w:hAnsi="Times New Roman" w:cs="Times New Roman"/>
          <w:b/>
          <w:bCs/>
          <w:sz w:val="24"/>
          <w:szCs w:val="24"/>
        </w:rPr>
      </w:pPr>
      <w:proofErr w:type="spellStart"/>
      <w:proofErr w:type="gramStart"/>
      <w:r w:rsidRPr="00FD0F09">
        <w:rPr>
          <w:rFonts w:ascii="Times New Roman" w:eastAsia="Times New Roman" w:hAnsi="Times New Roman" w:cs="Times New Roman"/>
          <w:b/>
          <w:bCs/>
          <w:sz w:val="24"/>
          <w:szCs w:val="24"/>
        </w:rPr>
        <w:lastRenderedPageBreak/>
        <w:t>eTable</w:t>
      </w:r>
      <w:proofErr w:type="spellEnd"/>
      <w:proofErr w:type="gramEnd"/>
      <w:r w:rsidRPr="00FD0F09">
        <w:rPr>
          <w:rFonts w:ascii="Times New Roman" w:eastAsia="Times New Roman" w:hAnsi="Times New Roman" w:cs="Times New Roman"/>
          <w:b/>
          <w:bCs/>
          <w:sz w:val="24"/>
          <w:szCs w:val="24"/>
        </w:rPr>
        <w:t xml:space="preserve"> 2: Summary of the diversity metrics and immune markers for cases and controls, and by disease-modifying drug (DMD) exposure </w:t>
      </w:r>
    </w:p>
    <w:tbl>
      <w:tblPr>
        <w:tblStyle w:val="TableGrid1"/>
        <w:tblW w:w="0" w:type="auto"/>
        <w:tblLook w:val="04A0"/>
      </w:tblPr>
      <w:tblGrid>
        <w:gridCol w:w="1246"/>
        <w:gridCol w:w="1532"/>
        <w:gridCol w:w="2214"/>
        <w:gridCol w:w="1637"/>
        <w:gridCol w:w="1544"/>
        <w:gridCol w:w="1403"/>
      </w:tblGrid>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b/>
                <w:i/>
                <w:sz w:val="24"/>
                <w:szCs w:val="24"/>
              </w:rPr>
            </w:pPr>
          </w:p>
        </w:tc>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 xml:space="preserve">Controls, </w:t>
            </w:r>
            <w:r w:rsidRPr="00FD0F09">
              <w:rPr>
                <w:rFonts w:ascii="Times New Roman" w:eastAsia="Calibri" w:hAnsi="Times New Roman" w:cs="Times New Roman"/>
                <w:sz w:val="24"/>
                <w:szCs w:val="24"/>
              </w:rPr>
              <w:t>n=9 [A]</w:t>
            </w:r>
          </w:p>
        </w:tc>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All MS cases</w:t>
            </w:r>
          </w:p>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 xml:space="preserve">(DMD naïve and exposed combined), </w:t>
            </w:r>
          </w:p>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sz w:val="24"/>
                <w:szCs w:val="24"/>
              </w:rPr>
              <w:t xml:space="preserve">n=15 </w:t>
            </w:r>
          </w:p>
        </w:tc>
        <w:tc>
          <w:tcPr>
            <w:tcW w:w="1637" w:type="dxa"/>
          </w:tcPr>
          <w:p w:rsidR="00FD0F09" w:rsidRPr="00FD0F09" w:rsidRDefault="00FD0F09" w:rsidP="00FD0F09">
            <w:pPr>
              <w:spacing w:after="200" w:line="276" w:lineRule="auto"/>
              <w:rPr>
                <w:rFonts w:ascii="Times New Roman" w:eastAsia="Calibri" w:hAnsi="Times New Roman" w:cs="Times New Roman"/>
                <w:i/>
                <w:sz w:val="24"/>
                <w:szCs w:val="24"/>
              </w:rPr>
            </w:pPr>
            <w:r w:rsidRPr="00FD0F09">
              <w:rPr>
                <w:rFonts w:ascii="Times New Roman" w:eastAsia="Calibri" w:hAnsi="Times New Roman" w:cs="Times New Roman"/>
                <w:i/>
                <w:sz w:val="24"/>
                <w:szCs w:val="24"/>
              </w:rPr>
              <w:t>DMD naïve cases, n=8</w:t>
            </w:r>
          </w:p>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sz w:val="24"/>
                <w:szCs w:val="24"/>
              </w:rPr>
              <w:t>[B]</w:t>
            </w:r>
          </w:p>
        </w:tc>
        <w:tc>
          <w:tcPr>
            <w:tcW w:w="1544" w:type="dxa"/>
          </w:tcPr>
          <w:p w:rsidR="00FD0F09" w:rsidRPr="00FD0F09" w:rsidRDefault="00FD0F09" w:rsidP="00FD0F09">
            <w:pPr>
              <w:spacing w:after="200" w:line="276" w:lineRule="auto"/>
              <w:rPr>
                <w:rFonts w:ascii="Times New Roman" w:eastAsia="Calibri" w:hAnsi="Times New Roman" w:cs="Times New Roman"/>
                <w:i/>
                <w:sz w:val="24"/>
                <w:szCs w:val="24"/>
              </w:rPr>
            </w:pPr>
            <w:r w:rsidRPr="00FD0F09">
              <w:rPr>
                <w:rFonts w:ascii="Times New Roman" w:eastAsia="Calibri" w:hAnsi="Times New Roman" w:cs="Times New Roman"/>
                <w:i/>
                <w:sz w:val="24"/>
                <w:szCs w:val="24"/>
              </w:rPr>
              <w:t xml:space="preserve">DMD exposed cases, </w:t>
            </w:r>
          </w:p>
          <w:p w:rsidR="00FD0F09" w:rsidRPr="00FD0F09" w:rsidRDefault="00FD0F09" w:rsidP="00FD0F09">
            <w:pPr>
              <w:spacing w:after="200" w:line="276" w:lineRule="auto"/>
              <w:rPr>
                <w:rFonts w:ascii="Times New Roman" w:eastAsia="Calibri" w:hAnsi="Times New Roman" w:cs="Times New Roman"/>
                <w:b/>
                <w:i/>
                <w:sz w:val="24"/>
                <w:szCs w:val="24"/>
              </w:rPr>
            </w:pPr>
            <w:r w:rsidRPr="00FD0F09">
              <w:rPr>
                <w:rFonts w:ascii="Times New Roman" w:eastAsia="Calibri" w:hAnsi="Times New Roman" w:cs="Times New Roman"/>
                <w:i/>
                <w:sz w:val="24"/>
                <w:szCs w:val="24"/>
              </w:rPr>
              <w:t xml:space="preserve">n=7 </w:t>
            </w:r>
            <w:r w:rsidRPr="00FD0F09">
              <w:rPr>
                <w:rFonts w:ascii="Times New Roman" w:eastAsia="Calibri" w:hAnsi="Times New Roman" w:cs="Times New Roman"/>
                <w:sz w:val="24"/>
                <w:szCs w:val="24"/>
              </w:rPr>
              <w:t>[C]</w:t>
            </w:r>
          </w:p>
        </w:tc>
        <w:tc>
          <w:tcPr>
            <w:tcW w:w="1403" w:type="dxa"/>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 xml:space="preserve">Three-way group comparison: Controls vs DMD naïve cases vs DMD exposed cases </w:t>
            </w:r>
          </w:p>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[A vs. B vs C]‡</w:t>
            </w:r>
          </w:p>
        </w:tc>
      </w:tr>
      <w:tr w:rsidR="00FD0F09" w:rsidRPr="00FD0F09" w:rsidTr="00FD0F09">
        <w:tc>
          <w:tcPr>
            <w:tcW w:w="7947" w:type="dxa"/>
            <w:gridSpan w:val="5"/>
            <w:shd w:val="clear" w:color="auto" w:fill="D9D9D9"/>
          </w:tcPr>
          <w:p w:rsidR="00FD0F09" w:rsidRPr="00FD0F09" w:rsidRDefault="00FD0F09" w:rsidP="00FD0F09">
            <w:pPr>
              <w:spacing w:after="200" w:line="276" w:lineRule="auto"/>
              <w:rPr>
                <w:rFonts w:ascii="Times New Roman" w:eastAsia="Calibri" w:hAnsi="Times New Roman" w:cs="Times New Roman"/>
                <w:i/>
                <w:color w:val="000000"/>
                <w:sz w:val="24"/>
                <w:szCs w:val="24"/>
              </w:rPr>
            </w:pPr>
            <w:r w:rsidRPr="00FD0F09">
              <w:rPr>
                <w:rFonts w:ascii="Times New Roman" w:eastAsia="Calibri" w:hAnsi="Times New Roman" w:cs="Times New Roman"/>
                <w:b/>
                <w:i/>
                <w:sz w:val="24"/>
                <w:szCs w:val="24"/>
              </w:rPr>
              <w:t>Gut microbiota diversity metrics</w:t>
            </w:r>
            <w:r w:rsidRPr="00FD0F09">
              <w:rPr>
                <w:rFonts w:ascii="Times New Roman" w:eastAsia="Calibri" w:hAnsi="Times New Roman" w:cs="Times New Roman"/>
                <w:sz w:val="24"/>
                <w:szCs w:val="24"/>
              </w:rPr>
              <w:t>, median (quartiles)</w:t>
            </w:r>
          </w:p>
        </w:tc>
        <w:tc>
          <w:tcPr>
            <w:tcW w:w="1403" w:type="dxa"/>
            <w:shd w:val="clear" w:color="auto" w:fill="D9D9D9"/>
          </w:tcPr>
          <w:p w:rsidR="00FD0F09" w:rsidRPr="00FD0F09" w:rsidRDefault="00FD0F09" w:rsidP="00FD0F09">
            <w:pPr>
              <w:spacing w:after="200" w:line="276" w:lineRule="auto"/>
              <w:rPr>
                <w:rFonts w:ascii="Times New Roman" w:eastAsia="Calibri" w:hAnsi="Times New Roman" w:cs="Times New Roman"/>
                <w:b/>
                <w:i/>
                <w:sz w:val="24"/>
                <w:szCs w:val="24"/>
              </w:rPr>
            </w:pP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 xml:space="preserve">Richness </w:t>
            </w:r>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1783</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(2976, 3239)</w:t>
            </w:r>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1452 </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(2089, 2975)</w:t>
            </w:r>
          </w:p>
        </w:tc>
        <w:tc>
          <w:tcPr>
            <w:tcW w:w="1637"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1416 </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(1775, 2355)</w:t>
            </w:r>
          </w:p>
        </w:tc>
        <w:tc>
          <w:tcPr>
            <w:tcW w:w="1544"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1452 </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(2472, 3517)</w:t>
            </w:r>
          </w:p>
        </w:tc>
        <w:tc>
          <w:tcPr>
            <w:tcW w:w="1403" w:type="dxa"/>
            <w:shd w:val="clear" w:color="auto" w:fill="FFFFFF"/>
          </w:tcPr>
          <w:p w:rsidR="00FD0F09" w:rsidRPr="00FD0F09" w:rsidRDefault="00FD0F09" w:rsidP="00FD0F09">
            <w:pPr>
              <w:tabs>
                <w:tab w:val="left" w:pos="735"/>
              </w:tabs>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ns</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Evenness</w:t>
            </w:r>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0.312 (0.346, 0.386)</w:t>
            </w:r>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0.282 </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(0.319, 0.378)</w:t>
            </w:r>
          </w:p>
        </w:tc>
        <w:tc>
          <w:tcPr>
            <w:tcW w:w="1637"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0.274 </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(0.309, 0.339)</w:t>
            </w:r>
          </w:p>
        </w:tc>
        <w:tc>
          <w:tcPr>
            <w:tcW w:w="1544"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0.296 </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(0.366, 0.393)</w:t>
            </w:r>
          </w:p>
        </w:tc>
        <w:tc>
          <w:tcPr>
            <w:tcW w:w="1403" w:type="dxa"/>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ns</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Faiths</w:t>
            </w:r>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69.0 </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(105.4, 123.9)</w:t>
            </w:r>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58.1 </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(83.9, 107.7)</w:t>
            </w:r>
          </w:p>
        </w:tc>
        <w:tc>
          <w:tcPr>
            <w:tcW w:w="1637"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58.2 </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(71.8, 96.6)</w:t>
            </w:r>
          </w:p>
        </w:tc>
        <w:tc>
          <w:tcPr>
            <w:tcW w:w="1544"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54.5 </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(95.0, 128.8)</w:t>
            </w:r>
          </w:p>
        </w:tc>
        <w:tc>
          <w:tcPr>
            <w:tcW w:w="1403" w:type="dxa"/>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ns</w:t>
            </w:r>
          </w:p>
        </w:tc>
      </w:tr>
      <w:tr w:rsidR="00FD0F09" w:rsidRPr="00FD0F09" w:rsidTr="00FD0F09">
        <w:tc>
          <w:tcPr>
            <w:tcW w:w="7947" w:type="dxa"/>
            <w:gridSpan w:val="5"/>
            <w:shd w:val="clear" w:color="auto" w:fill="BFBFBF"/>
          </w:tcPr>
          <w:p w:rsidR="00FD0F09" w:rsidRPr="00FD0F09" w:rsidRDefault="00FD0F09" w:rsidP="00FD0F09">
            <w:pPr>
              <w:spacing w:after="200" w:line="276" w:lineRule="auto"/>
              <w:rPr>
                <w:rFonts w:ascii="Times New Roman" w:eastAsia="Calibri" w:hAnsi="Times New Roman" w:cs="Times New Roman"/>
                <w:i/>
                <w:sz w:val="24"/>
                <w:szCs w:val="24"/>
              </w:rPr>
            </w:pPr>
            <w:r w:rsidRPr="00FD0F09">
              <w:rPr>
                <w:rFonts w:ascii="Times New Roman" w:eastAsia="Calibri" w:hAnsi="Times New Roman" w:cs="Times New Roman"/>
                <w:b/>
                <w:i/>
                <w:sz w:val="24"/>
                <w:szCs w:val="24"/>
              </w:rPr>
              <w:t>Host Immune blood markers</w:t>
            </w:r>
            <w:r w:rsidRPr="00FD0F09">
              <w:rPr>
                <w:rFonts w:ascii="Times New Roman" w:eastAsia="Calibri" w:hAnsi="Times New Roman" w:cs="Times New Roman"/>
                <w:sz w:val="24"/>
                <w:szCs w:val="24"/>
              </w:rPr>
              <w:t>, median (quartiles)</w:t>
            </w:r>
          </w:p>
        </w:tc>
        <w:tc>
          <w:tcPr>
            <w:tcW w:w="1403" w:type="dxa"/>
            <w:shd w:val="clear" w:color="auto" w:fill="BFBFBF"/>
          </w:tcPr>
          <w:p w:rsidR="00FD0F09" w:rsidRPr="00FD0F09" w:rsidRDefault="00FD0F09" w:rsidP="00FD0F09">
            <w:pPr>
              <w:spacing w:after="200" w:line="276" w:lineRule="auto"/>
              <w:rPr>
                <w:rFonts w:ascii="Times New Roman" w:eastAsia="Calibri" w:hAnsi="Times New Roman" w:cs="Times New Roman"/>
                <w:b/>
                <w:i/>
                <w:sz w:val="24"/>
                <w:szCs w:val="24"/>
              </w:rPr>
            </w:pP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Total T cells</w:t>
            </w:r>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76.4 </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(70.5, 79.6)</w:t>
            </w:r>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75.1 </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(69.6, 78.1)</w:t>
            </w:r>
          </w:p>
        </w:tc>
        <w:tc>
          <w:tcPr>
            <w:tcW w:w="1637"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73.5 </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(60.5, 76.7)</w:t>
            </w:r>
          </w:p>
        </w:tc>
        <w:tc>
          <w:tcPr>
            <w:tcW w:w="1544"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77.0 </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(75.1, 78.8)</w:t>
            </w:r>
          </w:p>
        </w:tc>
        <w:tc>
          <w:tcPr>
            <w:tcW w:w="1403" w:type="dxa"/>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ns</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sz w:val="24"/>
                <w:szCs w:val="24"/>
              </w:rPr>
              <w:t>CD4</w:t>
            </w:r>
            <w:r w:rsidRPr="00FD0F09">
              <w:rPr>
                <w:rFonts w:ascii="Times New Roman" w:eastAsia="Calibri" w:hAnsi="Times New Roman" w:cs="Times New Roman"/>
                <w:sz w:val="24"/>
                <w:szCs w:val="24"/>
                <w:vertAlign w:val="superscript"/>
              </w:rPr>
              <w:t>+</w:t>
            </w:r>
            <w:r w:rsidRPr="00FD0F09">
              <w:rPr>
                <w:rFonts w:ascii="Times New Roman" w:eastAsia="Calibri" w:hAnsi="Times New Roman" w:cs="Times New Roman"/>
                <w:sz w:val="24"/>
                <w:szCs w:val="24"/>
              </w:rPr>
              <w:t xml:space="preserve"> </w:t>
            </w:r>
            <w:r w:rsidRPr="00FD0F09">
              <w:rPr>
                <w:rFonts w:ascii="Times New Roman" w:eastAsia="Calibri" w:hAnsi="Times New Roman" w:cs="Times New Roman"/>
                <w:color w:val="000000"/>
                <w:sz w:val="24"/>
                <w:szCs w:val="24"/>
              </w:rPr>
              <w:t>T cells</w:t>
            </w:r>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53.6 </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(51.8, 60.2)</w:t>
            </w:r>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53.4</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 (47.0, 58.6)</w:t>
            </w:r>
          </w:p>
        </w:tc>
        <w:tc>
          <w:tcPr>
            <w:tcW w:w="1637"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51.9 </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(47.4, 54.0)</w:t>
            </w:r>
          </w:p>
        </w:tc>
        <w:tc>
          <w:tcPr>
            <w:tcW w:w="1544"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58.6 </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(46.9, 65.3)</w:t>
            </w:r>
          </w:p>
        </w:tc>
        <w:tc>
          <w:tcPr>
            <w:tcW w:w="1403" w:type="dxa"/>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ns</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color w:val="000000"/>
                <w:sz w:val="24"/>
                <w:szCs w:val="24"/>
              </w:rPr>
            </w:pPr>
            <w:proofErr w:type="spellStart"/>
            <w:r w:rsidRPr="00FD0F09">
              <w:rPr>
                <w:rFonts w:ascii="Times New Roman" w:eastAsia="Calibri" w:hAnsi="Times New Roman" w:cs="Times New Roman"/>
                <w:color w:val="000000"/>
                <w:sz w:val="24"/>
                <w:szCs w:val="24"/>
              </w:rPr>
              <w:t>Tregs</w:t>
            </w:r>
            <w:proofErr w:type="spellEnd"/>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0.90</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(0.81, 1.42)</w:t>
            </w:r>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1.18 (1.00, 1.47)</w:t>
            </w:r>
          </w:p>
        </w:tc>
        <w:tc>
          <w:tcPr>
            <w:tcW w:w="1637"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1.15 </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(0.80, 1.42)</w:t>
            </w:r>
          </w:p>
        </w:tc>
        <w:tc>
          <w:tcPr>
            <w:tcW w:w="1544"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 xml:space="preserve">1.18 </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(1.01, 1.54)</w:t>
            </w:r>
          </w:p>
        </w:tc>
        <w:tc>
          <w:tcPr>
            <w:tcW w:w="1403" w:type="dxa"/>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ns</w:t>
            </w:r>
          </w:p>
        </w:tc>
      </w:tr>
      <w:tr w:rsidR="00FD0F09" w:rsidRPr="00FD0F09" w:rsidTr="00FD0F09">
        <w:trPr>
          <w:trHeight w:val="616"/>
        </w:trPr>
        <w:tc>
          <w:tcPr>
            <w:tcW w:w="0" w:type="auto"/>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sz w:val="24"/>
                <w:szCs w:val="24"/>
              </w:rPr>
              <w:lastRenderedPageBreak/>
              <w:t>Th1</w:t>
            </w:r>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7.2 (4.9, 12.5)</w:t>
            </w:r>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7.4 (5.1, 17.9)</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Missing, n=3</w:t>
            </w:r>
          </w:p>
        </w:tc>
        <w:tc>
          <w:tcPr>
            <w:tcW w:w="1637"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5.3 (3.1, 7.7)</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Missing, n=2</w:t>
            </w:r>
          </w:p>
        </w:tc>
        <w:tc>
          <w:tcPr>
            <w:tcW w:w="1544"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16.4 (6.9, 21.7)</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Missing, n=1</w:t>
            </w:r>
          </w:p>
        </w:tc>
        <w:tc>
          <w:tcPr>
            <w:tcW w:w="1403" w:type="dxa"/>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ns</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Th17</w:t>
            </w:r>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0.74 (0.59, 0.90)</w:t>
            </w:r>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0.84 (0.73, 1.11)</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Missing, n=3</w:t>
            </w:r>
          </w:p>
        </w:tc>
        <w:tc>
          <w:tcPr>
            <w:tcW w:w="1637"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0.73 (0.63, 0.84)</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Missing, n=2</w:t>
            </w:r>
          </w:p>
        </w:tc>
        <w:tc>
          <w:tcPr>
            <w:tcW w:w="1544"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1.06 (0.87, 1.43)</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Missing, n=1</w:t>
            </w:r>
          </w:p>
        </w:tc>
        <w:tc>
          <w:tcPr>
            <w:tcW w:w="1403" w:type="dxa"/>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color w:val="000000"/>
                <w:sz w:val="24"/>
                <w:szCs w:val="24"/>
              </w:rPr>
              <w:t>p=0.036</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Th2</w:t>
            </w:r>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1.8 (1.0, 2.0)</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Missing, n=1</w:t>
            </w:r>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1.9 (1.3, 4.1)</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Missing, n=3</w:t>
            </w:r>
          </w:p>
        </w:tc>
        <w:tc>
          <w:tcPr>
            <w:tcW w:w="1637"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1.3 (0.3, 1.9)</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Missing, n=2</w:t>
            </w:r>
          </w:p>
        </w:tc>
        <w:tc>
          <w:tcPr>
            <w:tcW w:w="1544"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3.6 (1.8, 5.1)</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Missing, n=1</w:t>
            </w:r>
          </w:p>
        </w:tc>
        <w:tc>
          <w:tcPr>
            <w:tcW w:w="1403" w:type="dxa"/>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color w:val="000000"/>
                <w:sz w:val="24"/>
                <w:szCs w:val="24"/>
              </w:rPr>
              <w:t>p=0.036</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Tr1</w:t>
            </w:r>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0.636 (0.369, 1.008)</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Missing, n=1</w:t>
            </w:r>
          </w:p>
        </w:tc>
        <w:tc>
          <w:tcPr>
            <w:tcW w:w="0" w:type="auto"/>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0.234 (0.178, 0.554)</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Missing, n=3</w:t>
            </w:r>
          </w:p>
        </w:tc>
        <w:tc>
          <w:tcPr>
            <w:tcW w:w="1637"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0.187 (0.000, 0.543)</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Missing, n=2</w:t>
            </w:r>
          </w:p>
        </w:tc>
        <w:tc>
          <w:tcPr>
            <w:tcW w:w="1544" w:type="dxa"/>
            <w:shd w:val="clear" w:color="auto" w:fill="auto"/>
            <w:vAlign w:val="bottom"/>
          </w:tcPr>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0.334 (0.180, 0.821)</w:t>
            </w:r>
          </w:p>
          <w:p w:rsidR="00FD0F09" w:rsidRPr="00FD0F09" w:rsidRDefault="00FD0F09" w:rsidP="00FD0F09">
            <w:pPr>
              <w:spacing w:after="200" w:line="276" w:lineRule="auto"/>
              <w:rPr>
                <w:rFonts w:ascii="Times New Roman" w:eastAsia="Calibri" w:hAnsi="Times New Roman" w:cs="Times New Roman"/>
                <w:color w:val="000000"/>
                <w:sz w:val="24"/>
                <w:szCs w:val="24"/>
              </w:rPr>
            </w:pPr>
            <w:r w:rsidRPr="00FD0F09">
              <w:rPr>
                <w:rFonts w:ascii="Times New Roman" w:eastAsia="Calibri" w:hAnsi="Times New Roman" w:cs="Times New Roman"/>
                <w:color w:val="000000"/>
                <w:sz w:val="24"/>
                <w:szCs w:val="24"/>
              </w:rPr>
              <w:t>Missing, n=1</w:t>
            </w:r>
          </w:p>
        </w:tc>
        <w:tc>
          <w:tcPr>
            <w:tcW w:w="1403" w:type="dxa"/>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ns</w:t>
            </w:r>
          </w:p>
        </w:tc>
      </w:tr>
    </w:tbl>
    <w:p w:rsidR="00FD0F09" w:rsidRPr="00FD0F09" w:rsidRDefault="00FD0F09" w:rsidP="00FD0F09">
      <w:pPr>
        <w:spacing w:after="0" w:line="240"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 xml:space="preserve">Key: ‡p-vales derived from the </w:t>
      </w:r>
      <w:proofErr w:type="spellStart"/>
      <w:r w:rsidRPr="00FD0F09">
        <w:rPr>
          <w:rFonts w:ascii="Times New Roman" w:eastAsia="Calibri" w:hAnsi="Times New Roman" w:cs="Times New Roman"/>
          <w:sz w:val="24"/>
          <w:szCs w:val="24"/>
        </w:rPr>
        <w:t>Kruskal</w:t>
      </w:r>
      <w:proofErr w:type="spellEnd"/>
      <w:r w:rsidRPr="00FD0F09">
        <w:rPr>
          <w:rFonts w:ascii="Times New Roman" w:eastAsia="Calibri" w:hAnsi="Times New Roman" w:cs="Times New Roman"/>
          <w:sz w:val="24"/>
          <w:szCs w:val="24"/>
        </w:rPr>
        <w:t>-Wallis test; ns=not significant, i.e. p&lt;0.05. No adjustments made for multiple comparisons</w:t>
      </w:r>
    </w:p>
    <w:p w:rsidR="00FD0F09" w:rsidRPr="00FD0F09" w:rsidRDefault="00FD0F09" w:rsidP="00FD0F09">
      <w:pPr>
        <w:spacing w:after="0" w:line="240"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 xml:space="preserve">Additional pairwise comparisons were performed using the Mann-Whitney U-test as follows: </w:t>
      </w:r>
      <w:proofErr w:type="spellStart"/>
      <w:r w:rsidRPr="00FD0F09">
        <w:rPr>
          <w:rFonts w:ascii="Times New Roman" w:eastAsia="Calibri" w:hAnsi="Times New Roman" w:cs="Times New Roman"/>
          <w:sz w:val="24"/>
          <w:szCs w:val="24"/>
        </w:rPr>
        <w:t>i</w:t>
      </w:r>
      <w:proofErr w:type="spellEnd"/>
      <w:r w:rsidRPr="00FD0F09">
        <w:rPr>
          <w:rFonts w:ascii="Times New Roman" w:eastAsia="Calibri" w:hAnsi="Times New Roman" w:cs="Times New Roman"/>
          <w:sz w:val="24"/>
          <w:szCs w:val="24"/>
        </w:rPr>
        <w:t xml:space="preserve">) all cases vs. controls; ii) DMD naïve vs. exposed cases; iii) DMD naïve cases vs. controls. All p&gt;0.05, except for some of the immune marker metrics only, as follows: </w:t>
      </w:r>
    </w:p>
    <w:p w:rsidR="00FD0F09" w:rsidRPr="00FD0F09" w:rsidRDefault="00FD0F09" w:rsidP="00FD0F09">
      <w:pPr>
        <w:spacing w:after="0" w:line="240" w:lineRule="auto"/>
        <w:rPr>
          <w:rFonts w:ascii="Times New Roman" w:eastAsia="Calibri" w:hAnsi="Times New Roman" w:cs="Times New Roman"/>
          <w:sz w:val="24"/>
          <w:szCs w:val="24"/>
        </w:rPr>
      </w:pPr>
      <w:proofErr w:type="spellStart"/>
      <w:r w:rsidRPr="00FD0F09">
        <w:rPr>
          <w:rFonts w:ascii="Times New Roman" w:eastAsia="Calibri" w:hAnsi="Times New Roman" w:cs="Times New Roman"/>
          <w:sz w:val="24"/>
          <w:szCs w:val="24"/>
        </w:rPr>
        <w:t>i</w:t>
      </w:r>
      <w:proofErr w:type="spellEnd"/>
      <w:r w:rsidRPr="00FD0F09">
        <w:rPr>
          <w:rFonts w:ascii="Times New Roman" w:eastAsia="Calibri" w:hAnsi="Times New Roman" w:cs="Times New Roman"/>
          <w:sz w:val="24"/>
          <w:szCs w:val="24"/>
        </w:rPr>
        <w:t xml:space="preserve">) </w:t>
      </w:r>
      <w:proofErr w:type="spellStart"/>
      <w:r w:rsidRPr="00FD0F09">
        <w:rPr>
          <w:rFonts w:ascii="Times New Roman" w:eastAsia="Calibri" w:hAnsi="Times New Roman" w:cs="Times New Roman"/>
          <w:sz w:val="24"/>
          <w:szCs w:val="24"/>
        </w:rPr>
        <w:t>DMD</w:t>
      </w:r>
      <w:proofErr w:type="spellEnd"/>
      <w:r w:rsidRPr="00FD0F09">
        <w:rPr>
          <w:rFonts w:ascii="Times New Roman" w:eastAsia="Calibri" w:hAnsi="Times New Roman" w:cs="Times New Roman"/>
          <w:sz w:val="24"/>
          <w:szCs w:val="24"/>
        </w:rPr>
        <w:t xml:space="preserve"> naïve cases vs. controls: Tr1 p=0.039 (higher in controls);</w:t>
      </w:r>
    </w:p>
    <w:p w:rsidR="00FD0F09" w:rsidRPr="00FD0F09" w:rsidRDefault="00FD0F09" w:rsidP="00FD0F09">
      <w:pPr>
        <w:spacing w:after="0" w:line="240"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 xml:space="preserve">ii) DMD naïve vs. exposed cases: Th1; Th17; Th2 (all were higher in DMD exposed, p=0.030, p=0.025, p=0.037, p=0.025, respectively). While the latter finding (Th2) concurs with the adult MS literature, the former observations (for Th1, Th17) were unexpected. However, the pediatric literature is limited. We also did not have access to pre-treatment immune markers in these individuals such that we cannot determine if these individuals had particularly high levels pre-treatment. </w:t>
      </w:r>
    </w:p>
    <w:p w:rsidR="00FD0F09" w:rsidRPr="00FD0F09" w:rsidRDefault="00FD0F09" w:rsidP="00FD0F09">
      <w:pPr>
        <w:spacing w:after="0" w:line="240" w:lineRule="auto"/>
        <w:rPr>
          <w:rFonts w:ascii="Times New Roman" w:eastAsia="Calibri" w:hAnsi="Times New Roman" w:cs="Times New Roman"/>
          <w:sz w:val="24"/>
          <w:szCs w:val="24"/>
        </w:rPr>
      </w:pPr>
    </w:p>
    <w:p w:rsidR="00FD0F09" w:rsidRPr="00FD0F09" w:rsidRDefault="00FD0F09" w:rsidP="00FD0F09">
      <w:pPr>
        <w:spacing w:after="200" w:line="276" w:lineRule="auto"/>
        <w:rPr>
          <w:rFonts w:ascii="Times New Roman" w:eastAsia="Times New Roman" w:hAnsi="Times New Roman" w:cs="Times New Roman"/>
          <w:b/>
          <w:color w:val="000000"/>
          <w:sz w:val="24"/>
          <w:szCs w:val="24"/>
          <w:lang w:eastAsia="en-GB"/>
        </w:rPr>
      </w:pPr>
      <w:r w:rsidRPr="00FD0F09">
        <w:rPr>
          <w:rFonts w:ascii="Times New Roman" w:eastAsia="Times New Roman" w:hAnsi="Times New Roman" w:cs="Times New Roman"/>
          <w:b/>
          <w:color w:val="000000"/>
          <w:sz w:val="24"/>
          <w:szCs w:val="24"/>
          <w:lang w:eastAsia="en-GB"/>
        </w:rPr>
        <w:br w:type="page"/>
      </w:r>
    </w:p>
    <w:p w:rsidR="00FD0F09" w:rsidRPr="00FD0F09" w:rsidRDefault="00FD0F09" w:rsidP="00FD0F09">
      <w:pPr>
        <w:spacing w:after="0" w:line="240" w:lineRule="auto"/>
        <w:rPr>
          <w:rFonts w:ascii="Times New Roman" w:eastAsia="Times New Roman" w:hAnsi="Times New Roman" w:cs="Times New Roman"/>
          <w:b/>
          <w:color w:val="000000"/>
          <w:sz w:val="24"/>
          <w:szCs w:val="24"/>
          <w:lang w:eastAsia="en-GB"/>
        </w:rPr>
      </w:pPr>
      <w:proofErr w:type="spellStart"/>
      <w:proofErr w:type="gramStart"/>
      <w:r w:rsidRPr="00FD0F09">
        <w:rPr>
          <w:rFonts w:ascii="Times New Roman" w:eastAsia="Times New Roman" w:hAnsi="Times New Roman" w:cs="Times New Roman"/>
          <w:b/>
          <w:color w:val="000000"/>
          <w:sz w:val="24"/>
          <w:szCs w:val="24"/>
          <w:lang w:eastAsia="en-GB"/>
        </w:rPr>
        <w:lastRenderedPageBreak/>
        <w:t>eTable</w:t>
      </w:r>
      <w:proofErr w:type="spellEnd"/>
      <w:proofErr w:type="gramEnd"/>
      <w:r w:rsidRPr="00FD0F09">
        <w:rPr>
          <w:rFonts w:ascii="Times New Roman" w:eastAsia="Times New Roman" w:hAnsi="Times New Roman" w:cs="Times New Roman"/>
          <w:b/>
          <w:color w:val="000000"/>
          <w:sz w:val="24"/>
          <w:szCs w:val="24"/>
          <w:lang w:eastAsia="en-GB"/>
        </w:rPr>
        <w:t xml:space="preserve"> 3.1: Gut </w:t>
      </w:r>
      <w:proofErr w:type="spellStart"/>
      <w:r w:rsidRPr="00FD0F09">
        <w:rPr>
          <w:rFonts w:ascii="Times New Roman" w:eastAsia="Times New Roman" w:hAnsi="Times New Roman" w:cs="Times New Roman"/>
          <w:b/>
          <w:color w:val="000000"/>
          <w:sz w:val="24"/>
          <w:szCs w:val="24"/>
          <w:lang w:eastAsia="en-GB"/>
        </w:rPr>
        <w:t>microbiota</w:t>
      </w:r>
      <w:proofErr w:type="spellEnd"/>
      <w:r w:rsidRPr="00FD0F09">
        <w:rPr>
          <w:rFonts w:ascii="Times New Roman" w:eastAsia="Times New Roman" w:hAnsi="Times New Roman" w:cs="Times New Roman"/>
          <w:b/>
          <w:color w:val="000000"/>
          <w:sz w:val="24"/>
          <w:szCs w:val="24"/>
          <w:lang w:eastAsia="en-GB"/>
        </w:rPr>
        <w:t xml:space="preserve"> diversity metrics as independent predictors of peripheral blood immune markers: multivariable linear regression</w:t>
      </w:r>
    </w:p>
    <w:p w:rsidR="00FD0F09" w:rsidRPr="00FD0F09" w:rsidRDefault="00FD0F09" w:rsidP="00FD0F09">
      <w:pPr>
        <w:spacing w:after="0" w:line="240" w:lineRule="auto"/>
        <w:rPr>
          <w:rFonts w:ascii="Times New Roman" w:eastAsia="Times New Roman" w:hAnsi="Times New Roman" w:cs="Times New Roman"/>
          <w:b/>
          <w:color w:val="000000"/>
          <w:sz w:val="24"/>
          <w:szCs w:val="24"/>
          <w:lang w:eastAsia="en-GB"/>
        </w:rPr>
      </w:pPr>
    </w:p>
    <w:tbl>
      <w:tblPr>
        <w:tblStyle w:val="TableGrid1"/>
        <w:tblW w:w="0" w:type="auto"/>
        <w:tblLook w:val="04A0"/>
      </w:tblPr>
      <w:tblGrid>
        <w:gridCol w:w="3253"/>
        <w:gridCol w:w="3829"/>
        <w:gridCol w:w="1040"/>
      </w:tblGrid>
      <w:tr w:rsidR="00FD0F09" w:rsidRPr="00FD0F09" w:rsidTr="00CA0ADA">
        <w:tc>
          <w:tcPr>
            <w:tcW w:w="0" w:type="auto"/>
            <w:shd w:val="clear" w:color="auto" w:fill="auto"/>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0" w:type="auto"/>
            <w:shd w:val="clear" w:color="auto" w:fill="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Beta coefficient (95%CI)</w:t>
            </w:r>
          </w:p>
        </w:tc>
        <w:tc>
          <w:tcPr>
            <w:tcW w:w="0" w:type="auto"/>
            <w:shd w:val="clear" w:color="auto" w:fill="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p-value</w:t>
            </w:r>
          </w:p>
        </w:tc>
      </w:tr>
      <w:tr w:rsidR="00FD0F09" w:rsidRPr="00FD0F09" w:rsidTr="00FD0F09">
        <w:tc>
          <w:tcPr>
            <w:tcW w:w="0" w:type="auto"/>
            <w:shd w:val="clear" w:color="auto" w:fill="BFBFB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Controls only, n=9</w:t>
            </w:r>
          </w:p>
        </w:tc>
        <w:tc>
          <w:tcPr>
            <w:tcW w:w="0" w:type="auto"/>
            <w:shd w:val="clear" w:color="auto" w:fill="BFBFB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Age adjusted</w:t>
            </w:r>
          </w:p>
        </w:tc>
        <w:tc>
          <w:tcPr>
            <w:tcW w:w="0" w:type="auto"/>
            <w:shd w:val="clear" w:color="auto" w:fill="BFBFBF"/>
          </w:tcPr>
          <w:p w:rsidR="00FD0F09" w:rsidRPr="00FD0F09" w:rsidRDefault="00FD0F09" w:rsidP="00FD0F09">
            <w:pPr>
              <w:spacing w:after="200" w:line="276" w:lineRule="auto"/>
              <w:rPr>
                <w:rFonts w:ascii="Times New Roman" w:eastAsia="Calibri" w:hAnsi="Times New Roman" w:cs="Times New Roman"/>
                <w:b/>
                <w:sz w:val="24"/>
                <w:szCs w:val="24"/>
              </w:rPr>
            </w:pP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b/>
                <w:sz w:val="24"/>
                <w:szCs w:val="24"/>
              </w:rPr>
              <w:t xml:space="preserve">Evenness </w:t>
            </w:r>
            <w:r w:rsidRPr="00FD0F09">
              <w:rPr>
                <w:rFonts w:ascii="Times New Roman" w:eastAsia="Calibri" w:hAnsi="Times New Roman" w:cs="Times New Roman"/>
                <w:sz w:val="24"/>
                <w:szCs w:val="24"/>
              </w:rPr>
              <w:t xml:space="preserve">and </w:t>
            </w:r>
            <w:r w:rsidRPr="00FD0F09">
              <w:rPr>
                <w:rFonts w:ascii="Times New Roman" w:eastAsia="Calibri" w:hAnsi="Times New Roman" w:cs="Times New Roman"/>
                <w:b/>
                <w:sz w:val="24"/>
                <w:szCs w:val="24"/>
              </w:rPr>
              <w:t>Th17</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-2.9 (95%CI: -5.7 to -0.2)</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p=0.039</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b/>
                <w:sz w:val="24"/>
                <w:szCs w:val="24"/>
              </w:rPr>
              <w:t xml:space="preserve">Evenness </w:t>
            </w:r>
            <w:r w:rsidRPr="00FD0F09">
              <w:rPr>
                <w:rFonts w:ascii="Times New Roman" w:eastAsia="Calibri" w:hAnsi="Times New Roman" w:cs="Times New Roman"/>
                <w:sz w:val="24"/>
                <w:szCs w:val="24"/>
              </w:rPr>
              <w:t xml:space="preserve">and </w:t>
            </w:r>
            <w:r w:rsidRPr="00FD0F09">
              <w:rPr>
                <w:rFonts w:ascii="Times New Roman" w:eastAsia="Calibri" w:hAnsi="Times New Roman" w:cs="Times New Roman"/>
                <w:b/>
                <w:sz w:val="24"/>
                <w:szCs w:val="24"/>
              </w:rPr>
              <w:t>Th2</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-13.1 (95%CI: -25.7 to -0.6)</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p=0.044</w:t>
            </w:r>
          </w:p>
        </w:tc>
      </w:tr>
      <w:tr w:rsidR="00FD0F09" w:rsidRPr="00FD0F09" w:rsidTr="00FD0F09">
        <w:tc>
          <w:tcPr>
            <w:tcW w:w="0" w:type="auto"/>
            <w:shd w:val="clear" w:color="auto" w:fill="BFBFB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Cases only, n=15</w:t>
            </w:r>
          </w:p>
        </w:tc>
        <w:tc>
          <w:tcPr>
            <w:tcW w:w="0" w:type="auto"/>
            <w:shd w:val="clear" w:color="auto" w:fill="BFBFB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[1] Age adjusted</w:t>
            </w:r>
          </w:p>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 Disease duration adjusted</w:t>
            </w:r>
          </w:p>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[3] DMD exposure adjusted</w:t>
            </w:r>
          </w:p>
        </w:tc>
        <w:tc>
          <w:tcPr>
            <w:tcW w:w="0" w:type="auto"/>
            <w:shd w:val="clear" w:color="auto" w:fill="BFBFBF"/>
          </w:tcPr>
          <w:p w:rsidR="00FD0F09" w:rsidRPr="00FD0F09" w:rsidRDefault="00FD0F09" w:rsidP="00FD0F09">
            <w:pPr>
              <w:spacing w:after="200" w:line="276" w:lineRule="auto"/>
              <w:rPr>
                <w:rFonts w:ascii="Times New Roman" w:eastAsia="Calibri" w:hAnsi="Times New Roman" w:cs="Times New Roman"/>
                <w:b/>
                <w:sz w:val="24"/>
                <w:szCs w:val="24"/>
              </w:rPr>
            </w:pP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b/>
                <w:sz w:val="24"/>
                <w:szCs w:val="24"/>
              </w:rPr>
              <w:t xml:space="preserve">Richness </w:t>
            </w:r>
            <w:r w:rsidRPr="00FD0F09">
              <w:rPr>
                <w:rFonts w:ascii="Times New Roman" w:eastAsia="Calibri" w:hAnsi="Times New Roman" w:cs="Times New Roman"/>
                <w:sz w:val="24"/>
                <w:szCs w:val="24"/>
              </w:rPr>
              <w:t xml:space="preserve">and </w:t>
            </w:r>
            <w:r w:rsidRPr="00FD0F09">
              <w:rPr>
                <w:rFonts w:ascii="Times New Roman" w:eastAsia="Calibri" w:hAnsi="Times New Roman" w:cs="Times New Roman"/>
                <w:b/>
                <w:sz w:val="24"/>
                <w:szCs w:val="24"/>
              </w:rPr>
              <w:t>Tr1</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[1] 2.7e-4 (95%CI: 0.08-10)</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p=0.045</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 2.5e-4 (95%CI: 0.17-</w:t>
            </w:r>
            <w:r w:rsidRPr="00FD0F09">
              <w:rPr>
                <w:rFonts w:ascii="Times New Roman" w:eastAsia="Calibri" w:hAnsi="Times New Roman" w:cs="Times New Roman"/>
                <w:sz w:val="24"/>
                <w:szCs w:val="24"/>
              </w:rPr>
              <w:t xml:space="preserve"> </w:t>
            </w:r>
            <w:r w:rsidRPr="00FD0F09">
              <w:rPr>
                <w:rFonts w:ascii="Times New Roman" w:eastAsia="Calibri" w:hAnsi="Times New Roman" w:cs="Times New Roman"/>
                <w:b/>
                <w:sz w:val="24"/>
                <w:szCs w:val="24"/>
              </w:rPr>
              <w:t>4.7)</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p=0.038</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0" w:type="auto"/>
            <w:shd w:val="clear" w:color="auto" w:fill="FFFFFF"/>
          </w:tcPr>
          <w:p w:rsidR="00FD0F09" w:rsidRPr="00FD0F09" w:rsidRDefault="00FD0F09" w:rsidP="00FD0F09">
            <w:pPr>
              <w:spacing w:after="200" w:line="276" w:lineRule="auto"/>
              <w:ind w:left="720" w:hanging="720"/>
              <w:rPr>
                <w:rFonts w:ascii="Times New Roman" w:eastAsia="Calibri" w:hAnsi="Times New Roman" w:cs="Times New Roman"/>
                <w:sz w:val="24"/>
                <w:szCs w:val="24"/>
              </w:rPr>
            </w:pPr>
            <w:r w:rsidRPr="00FD0F09">
              <w:rPr>
                <w:rFonts w:ascii="Times New Roman" w:eastAsia="Calibri" w:hAnsi="Times New Roman" w:cs="Times New Roman"/>
                <w:sz w:val="24"/>
                <w:szCs w:val="24"/>
              </w:rPr>
              <w:t>[3] 1.8e-4 (95%CI: -0.51 to 4.2)</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p=0.110</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b/>
                <w:sz w:val="24"/>
                <w:szCs w:val="24"/>
              </w:rPr>
              <w:t>Evenness</w:t>
            </w:r>
            <w:r w:rsidRPr="00FD0F09">
              <w:rPr>
                <w:rFonts w:ascii="Times New Roman" w:eastAsia="Calibri" w:hAnsi="Times New Roman" w:cs="Times New Roman"/>
                <w:sz w:val="24"/>
                <w:szCs w:val="24"/>
              </w:rPr>
              <w:t xml:space="preserve"> and </w:t>
            </w:r>
            <w:r w:rsidRPr="00FD0F09">
              <w:rPr>
                <w:rFonts w:ascii="Times New Roman" w:eastAsia="Calibri" w:hAnsi="Times New Roman" w:cs="Times New Roman"/>
                <w:b/>
                <w:sz w:val="24"/>
                <w:szCs w:val="24"/>
              </w:rPr>
              <w:t>Tr1</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[1] 4.1 (95%CI: 0.1-8.1)</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p=0.047</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 5.6 (95%CI: 1.4-9.8)</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p=0.015</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[3] 3.8 (95%CI: -0.44 to 8.0)</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P=0.073</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b/>
                <w:sz w:val="24"/>
                <w:szCs w:val="24"/>
              </w:rPr>
              <w:t>Faith’s</w:t>
            </w:r>
            <w:r w:rsidRPr="00FD0F09">
              <w:rPr>
                <w:rFonts w:ascii="Times New Roman" w:eastAsia="Calibri" w:hAnsi="Times New Roman" w:cs="Times New Roman"/>
                <w:sz w:val="24"/>
                <w:szCs w:val="24"/>
              </w:rPr>
              <w:t xml:space="preserve"> and </w:t>
            </w:r>
            <w:r w:rsidRPr="00FD0F09">
              <w:rPr>
                <w:rFonts w:ascii="Times New Roman" w:eastAsia="Calibri" w:hAnsi="Times New Roman" w:cs="Times New Roman"/>
                <w:b/>
                <w:sz w:val="24"/>
                <w:szCs w:val="24"/>
              </w:rPr>
              <w:t>Tr1</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[1] 8.0e-3 (95%CI:</w:t>
            </w:r>
            <w:r w:rsidRPr="00FD0F09">
              <w:rPr>
                <w:rFonts w:ascii="Times New Roman" w:eastAsia="Calibri" w:hAnsi="Times New Roman" w:cs="Times New Roman"/>
                <w:sz w:val="24"/>
                <w:szCs w:val="24"/>
              </w:rPr>
              <w:t xml:space="preserve"> </w:t>
            </w:r>
            <w:r w:rsidRPr="00FD0F09">
              <w:rPr>
                <w:rFonts w:ascii="Times New Roman" w:eastAsia="Calibri" w:hAnsi="Times New Roman" w:cs="Times New Roman"/>
                <w:b/>
                <w:sz w:val="24"/>
                <w:szCs w:val="24"/>
              </w:rPr>
              <w:t>0.06-16.0)</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p=0.049</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 7.0e-3 (95%CI: 0.028-13.0)</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p=0.049</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[3] 5.0e-3 (95%CI: -1.4 to 11.4)</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p=0.110</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b/>
                <w:sz w:val="24"/>
                <w:szCs w:val="24"/>
              </w:rPr>
              <w:t xml:space="preserve">Richness </w:t>
            </w:r>
            <w:r w:rsidRPr="00FD0F09">
              <w:rPr>
                <w:rFonts w:ascii="Times New Roman" w:eastAsia="Calibri" w:hAnsi="Times New Roman" w:cs="Times New Roman"/>
                <w:sz w:val="24"/>
                <w:szCs w:val="24"/>
              </w:rPr>
              <w:t xml:space="preserve">and </w:t>
            </w:r>
            <w:r w:rsidRPr="00FD0F09">
              <w:rPr>
                <w:rFonts w:ascii="Times New Roman" w:eastAsia="Calibri" w:hAnsi="Times New Roman" w:cs="Times New Roman"/>
                <w:b/>
                <w:sz w:val="24"/>
                <w:szCs w:val="24"/>
              </w:rPr>
              <w:t>CD4</w:t>
            </w:r>
            <w:r w:rsidRPr="00FD0F09">
              <w:rPr>
                <w:rFonts w:ascii="Times New Roman" w:eastAsia="Calibri" w:hAnsi="Times New Roman" w:cs="Times New Roman"/>
                <w:b/>
                <w:sz w:val="24"/>
                <w:szCs w:val="24"/>
                <w:vertAlign w:val="superscript"/>
              </w:rPr>
              <w:t>+</w:t>
            </w:r>
            <w:r w:rsidRPr="00FD0F09">
              <w:rPr>
                <w:rFonts w:ascii="Times New Roman" w:eastAsia="Calibri" w:hAnsi="Times New Roman" w:cs="Times New Roman"/>
                <w:b/>
                <w:sz w:val="24"/>
                <w:szCs w:val="24"/>
              </w:rPr>
              <w:t xml:space="preserve"> T cells</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 0.004(95%CI:-0.001to 0.008)</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p=0.081</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 0.004 (95%CI:0.001to 0.008)</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p=0.027</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[3] 0.004 (95%CI: 0.0001- 0.008)</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p=0.043</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b/>
                <w:sz w:val="24"/>
                <w:szCs w:val="24"/>
              </w:rPr>
              <w:t>Faith’s</w:t>
            </w:r>
            <w:r w:rsidRPr="00FD0F09">
              <w:rPr>
                <w:rFonts w:ascii="Times New Roman" w:eastAsia="Calibri" w:hAnsi="Times New Roman" w:cs="Times New Roman"/>
                <w:sz w:val="24"/>
                <w:szCs w:val="24"/>
              </w:rPr>
              <w:t xml:space="preserve"> and </w:t>
            </w:r>
            <w:r w:rsidRPr="00FD0F09">
              <w:rPr>
                <w:rFonts w:ascii="Times New Roman" w:eastAsia="Calibri" w:hAnsi="Times New Roman" w:cs="Times New Roman"/>
                <w:b/>
                <w:sz w:val="24"/>
                <w:szCs w:val="24"/>
              </w:rPr>
              <w:t>CD4</w:t>
            </w:r>
            <w:r w:rsidRPr="00FD0F09">
              <w:rPr>
                <w:rFonts w:ascii="Times New Roman" w:eastAsia="Calibri" w:hAnsi="Times New Roman" w:cs="Times New Roman"/>
                <w:b/>
                <w:sz w:val="24"/>
                <w:szCs w:val="24"/>
                <w:vertAlign w:val="superscript"/>
              </w:rPr>
              <w:t>+</w:t>
            </w:r>
            <w:r w:rsidRPr="00FD0F09">
              <w:rPr>
                <w:rFonts w:ascii="Times New Roman" w:eastAsia="Calibri" w:hAnsi="Times New Roman" w:cs="Times New Roman"/>
                <w:sz w:val="24"/>
                <w:szCs w:val="24"/>
              </w:rPr>
              <w:t xml:space="preserve"> </w:t>
            </w:r>
            <w:r w:rsidRPr="00FD0F09">
              <w:rPr>
                <w:rFonts w:ascii="Times New Roman" w:eastAsia="Calibri" w:hAnsi="Times New Roman" w:cs="Times New Roman"/>
                <w:b/>
                <w:sz w:val="24"/>
                <w:szCs w:val="24"/>
              </w:rPr>
              <w:t>T cells</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 0.1 (95%CI: -0.02 to 0.2)</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p=0.101</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 0.12 (95%CI: 0.01-0.23)</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p=0.035</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[3] 0.11 (95%CI: 0.006-0.21)</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P=0.039</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b/>
                <w:sz w:val="24"/>
                <w:szCs w:val="24"/>
              </w:rPr>
              <w:t xml:space="preserve">Richness </w:t>
            </w:r>
            <w:r w:rsidRPr="00FD0F09">
              <w:rPr>
                <w:rFonts w:ascii="Times New Roman" w:eastAsia="Calibri" w:hAnsi="Times New Roman" w:cs="Times New Roman"/>
                <w:sz w:val="24"/>
                <w:szCs w:val="24"/>
              </w:rPr>
              <w:t xml:space="preserve">and </w:t>
            </w:r>
            <w:r w:rsidRPr="00FD0F09">
              <w:rPr>
                <w:rFonts w:ascii="Times New Roman" w:eastAsia="Calibri" w:hAnsi="Times New Roman" w:cs="Times New Roman"/>
                <w:b/>
                <w:sz w:val="24"/>
                <w:szCs w:val="24"/>
              </w:rPr>
              <w:t>Th17</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 1.23e-4 (95%CI: -0.1.1 to 3.5)</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p=0.258</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w:t>
            </w:r>
            <w:r w:rsidRPr="00FD0F09">
              <w:rPr>
                <w:rFonts w:ascii="Times New Roman" w:eastAsia="Calibri" w:hAnsi="Times New Roman" w:cs="Times New Roman"/>
                <w:sz w:val="24"/>
                <w:szCs w:val="24"/>
              </w:rPr>
              <w:t xml:space="preserve"> </w:t>
            </w:r>
            <w:r w:rsidRPr="00FD0F09">
              <w:rPr>
                <w:rFonts w:ascii="Times New Roman" w:eastAsia="Calibri" w:hAnsi="Times New Roman" w:cs="Times New Roman"/>
                <w:b/>
                <w:sz w:val="24"/>
                <w:szCs w:val="24"/>
              </w:rPr>
              <w:t>3.0e-4 (95%CI: 1.0-</w:t>
            </w:r>
            <w:r w:rsidRPr="00FD0F09">
              <w:rPr>
                <w:rFonts w:ascii="Times New Roman" w:eastAsia="Calibri" w:hAnsi="Times New Roman" w:cs="Times New Roman"/>
                <w:sz w:val="24"/>
                <w:szCs w:val="24"/>
              </w:rPr>
              <w:t xml:space="preserve"> </w:t>
            </w:r>
            <w:r w:rsidRPr="00FD0F09">
              <w:rPr>
                <w:rFonts w:ascii="Times New Roman" w:eastAsia="Calibri" w:hAnsi="Times New Roman" w:cs="Times New Roman"/>
                <w:b/>
                <w:sz w:val="24"/>
                <w:szCs w:val="24"/>
              </w:rPr>
              <w:t>5.0)</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p=0.008</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[3] 1.7 e-4 (95%CI: -0.3 to 3.7)</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p=0.087</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b/>
                <w:sz w:val="24"/>
                <w:szCs w:val="24"/>
              </w:rPr>
              <w:t>Faith’s</w:t>
            </w:r>
            <w:r w:rsidRPr="00FD0F09">
              <w:rPr>
                <w:rFonts w:ascii="Times New Roman" w:eastAsia="Calibri" w:hAnsi="Times New Roman" w:cs="Times New Roman"/>
                <w:sz w:val="24"/>
                <w:szCs w:val="24"/>
              </w:rPr>
              <w:t xml:space="preserve"> and </w:t>
            </w:r>
            <w:r w:rsidRPr="00FD0F09">
              <w:rPr>
                <w:rFonts w:ascii="Times New Roman" w:eastAsia="Calibri" w:hAnsi="Times New Roman" w:cs="Times New Roman"/>
                <w:b/>
                <w:sz w:val="24"/>
                <w:szCs w:val="24"/>
              </w:rPr>
              <w:t>Th17</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 0.003 (95%CI: -0.004 to 0.010)</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p=0.388</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 0.008 (95%CI:0.002-0.014)</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p=0.013</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[3] 0.005 (95%CI: -0.0005 to 0.0101)</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p=0.069</w:t>
            </w:r>
          </w:p>
        </w:tc>
      </w:tr>
      <w:tr w:rsidR="00FD0F09" w:rsidRPr="00FD0F09" w:rsidTr="00FD0F09">
        <w:tc>
          <w:tcPr>
            <w:tcW w:w="0" w:type="auto"/>
            <w:shd w:val="clear" w:color="auto" w:fill="BFBFB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DMD exposed cases only, n=7</w:t>
            </w:r>
          </w:p>
        </w:tc>
        <w:tc>
          <w:tcPr>
            <w:tcW w:w="0" w:type="auto"/>
            <w:shd w:val="clear" w:color="auto" w:fill="BFBFB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[1] Age adjusted</w:t>
            </w:r>
          </w:p>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 Disease duration adjusted</w:t>
            </w:r>
          </w:p>
        </w:tc>
        <w:tc>
          <w:tcPr>
            <w:tcW w:w="0" w:type="auto"/>
            <w:shd w:val="clear" w:color="auto" w:fill="BFBFBF"/>
          </w:tcPr>
          <w:p w:rsidR="00FD0F09" w:rsidRPr="00FD0F09" w:rsidRDefault="00FD0F09" w:rsidP="00FD0F09">
            <w:pPr>
              <w:spacing w:after="200" w:line="276" w:lineRule="auto"/>
              <w:rPr>
                <w:rFonts w:ascii="Times New Roman" w:eastAsia="Calibri" w:hAnsi="Times New Roman" w:cs="Times New Roman"/>
                <w:b/>
                <w:sz w:val="24"/>
                <w:szCs w:val="24"/>
              </w:rPr>
            </w:pP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Evenness</w:t>
            </w:r>
            <w:r w:rsidRPr="00FD0F09">
              <w:rPr>
                <w:rFonts w:ascii="Times New Roman" w:eastAsia="Calibri" w:hAnsi="Times New Roman" w:cs="Times New Roman"/>
                <w:sz w:val="24"/>
                <w:szCs w:val="24"/>
              </w:rPr>
              <w:t xml:space="preserve"> and </w:t>
            </w:r>
            <w:proofErr w:type="spellStart"/>
            <w:r w:rsidRPr="00FD0F09">
              <w:rPr>
                <w:rFonts w:ascii="Times New Roman" w:eastAsia="Calibri" w:hAnsi="Times New Roman" w:cs="Times New Roman"/>
                <w:b/>
                <w:sz w:val="24"/>
                <w:szCs w:val="24"/>
              </w:rPr>
              <w:t>Tregs</w:t>
            </w:r>
            <w:proofErr w:type="spellEnd"/>
            <w:r w:rsidRPr="00FD0F09">
              <w:rPr>
                <w:rFonts w:ascii="Times New Roman" w:eastAsia="Calibri" w:hAnsi="Times New Roman" w:cs="Times New Roman"/>
                <w:sz w:val="24"/>
                <w:szCs w:val="24"/>
              </w:rPr>
              <w:t xml:space="preserve"> </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[1] 7.3 (95%CI: 0.9-13.7)</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p=0.034</w:t>
            </w:r>
          </w:p>
        </w:tc>
      </w:tr>
      <w:tr w:rsidR="00FD0F09" w:rsidRPr="00FD0F09" w:rsidTr="00FD0F09">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 0.04 (95%CI:</w:t>
            </w:r>
            <w:r w:rsidRPr="00FD0F09">
              <w:rPr>
                <w:rFonts w:ascii="Times New Roman" w:eastAsia="Calibri" w:hAnsi="Times New Roman" w:cs="Times New Roman"/>
                <w:sz w:val="24"/>
                <w:szCs w:val="24"/>
              </w:rPr>
              <w:t xml:space="preserve"> </w:t>
            </w:r>
            <w:r w:rsidRPr="00FD0F09">
              <w:rPr>
                <w:rFonts w:ascii="Times New Roman" w:eastAsia="Calibri" w:hAnsi="Times New Roman" w:cs="Times New Roman"/>
                <w:b/>
                <w:sz w:val="24"/>
                <w:szCs w:val="24"/>
              </w:rPr>
              <w:t>-0.02 to 0.10)</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p=0.017</w:t>
            </w:r>
          </w:p>
        </w:tc>
      </w:tr>
    </w:tbl>
    <w:p w:rsidR="00FD0F09" w:rsidRPr="00FD0F09" w:rsidRDefault="00FD0F09" w:rsidP="00FD0F09">
      <w:pPr>
        <w:spacing w:after="0" w:line="240" w:lineRule="auto"/>
        <w:rPr>
          <w:rFonts w:ascii="Times New Roman" w:eastAsia="Times New Roman" w:hAnsi="Times New Roman" w:cs="Times New Roman"/>
          <w:b/>
          <w:color w:val="000000"/>
          <w:sz w:val="24"/>
          <w:szCs w:val="24"/>
          <w:lang w:eastAsia="en-GB"/>
        </w:rPr>
      </w:pPr>
    </w:p>
    <w:p w:rsidR="00FD0F09" w:rsidRPr="00FD0F09" w:rsidRDefault="00FD0F09" w:rsidP="00FD0F09">
      <w:pPr>
        <w:spacing w:after="0" w:line="240" w:lineRule="auto"/>
        <w:rPr>
          <w:rFonts w:ascii="Times New Roman" w:eastAsia="Times New Roman" w:hAnsi="Times New Roman" w:cs="Times New Roman"/>
          <w:b/>
          <w:color w:val="000000"/>
          <w:sz w:val="24"/>
          <w:szCs w:val="24"/>
          <w:lang w:eastAsia="en-GB"/>
        </w:rPr>
      </w:pPr>
      <w:r w:rsidRPr="00FD0F09">
        <w:rPr>
          <w:rFonts w:ascii="Times New Roman" w:eastAsia="Times New Roman" w:hAnsi="Times New Roman" w:cs="Times New Roman"/>
          <w:b/>
          <w:color w:val="000000"/>
          <w:sz w:val="24"/>
          <w:szCs w:val="24"/>
          <w:u w:val="single"/>
          <w:lang w:eastAsia="en-GB"/>
        </w:rPr>
        <w:t>Key</w:t>
      </w:r>
      <w:r w:rsidRPr="00FD0F09">
        <w:rPr>
          <w:rFonts w:ascii="Times New Roman" w:eastAsia="Times New Roman" w:hAnsi="Times New Roman" w:cs="Times New Roman"/>
          <w:color w:val="000000"/>
          <w:sz w:val="24"/>
          <w:szCs w:val="24"/>
          <w:lang w:eastAsia="en-GB"/>
        </w:rPr>
        <w:t xml:space="preserve">: see under </w:t>
      </w:r>
      <w:proofErr w:type="spellStart"/>
      <w:r w:rsidRPr="00FD0F09">
        <w:rPr>
          <w:rFonts w:ascii="Times New Roman" w:eastAsia="Times New Roman" w:hAnsi="Times New Roman" w:cs="Times New Roman"/>
          <w:color w:val="000000"/>
          <w:sz w:val="24"/>
          <w:szCs w:val="24"/>
          <w:lang w:eastAsia="en-GB"/>
        </w:rPr>
        <w:t>eTable</w:t>
      </w:r>
      <w:proofErr w:type="spellEnd"/>
      <w:r w:rsidRPr="00FD0F09">
        <w:rPr>
          <w:rFonts w:ascii="Times New Roman" w:eastAsia="Times New Roman" w:hAnsi="Times New Roman" w:cs="Times New Roman"/>
          <w:color w:val="000000"/>
          <w:sz w:val="24"/>
          <w:szCs w:val="24"/>
          <w:lang w:eastAsia="en-GB"/>
        </w:rPr>
        <w:t xml:space="preserve"> 3.2 </w:t>
      </w:r>
    </w:p>
    <w:p w:rsidR="00FD0F09" w:rsidRPr="00FD0F09" w:rsidRDefault="00FD0F09" w:rsidP="00FD0F09">
      <w:pPr>
        <w:spacing w:after="200" w:line="276" w:lineRule="auto"/>
        <w:rPr>
          <w:rFonts w:ascii="Times New Roman" w:eastAsia="Times New Roman" w:hAnsi="Times New Roman" w:cs="Times New Roman"/>
          <w:b/>
          <w:color w:val="000000"/>
          <w:sz w:val="24"/>
          <w:szCs w:val="24"/>
          <w:lang w:eastAsia="en-GB"/>
        </w:rPr>
      </w:pPr>
      <w:r w:rsidRPr="00FD0F09">
        <w:rPr>
          <w:rFonts w:ascii="Times New Roman" w:eastAsia="Times New Roman" w:hAnsi="Times New Roman" w:cs="Times New Roman"/>
          <w:b/>
          <w:color w:val="000000"/>
          <w:sz w:val="24"/>
          <w:szCs w:val="24"/>
          <w:lang w:eastAsia="en-GB"/>
        </w:rPr>
        <w:br w:type="page"/>
      </w:r>
    </w:p>
    <w:p w:rsidR="00FD0F09" w:rsidRPr="00FD0F09" w:rsidRDefault="00FD0F09" w:rsidP="00FD0F09">
      <w:pPr>
        <w:spacing w:after="0" w:line="240" w:lineRule="auto"/>
        <w:rPr>
          <w:rFonts w:ascii="Times New Roman" w:eastAsia="Times New Roman" w:hAnsi="Times New Roman" w:cs="Times New Roman"/>
          <w:b/>
          <w:color w:val="000000"/>
          <w:sz w:val="24"/>
          <w:szCs w:val="24"/>
          <w:lang w:eastAsia="en-GB"/>
        </w:rPr>
      </w:pPr>
      <w:proofErr w:type="spellStart"/>
      <w:proofErr w:type="gramStart"/>
      <w:r w:rsidRPr="00FD0F09">
        <w:rPr>
          <w:rFonts w:ascii="Times New Roman" w:eastAsia="Times New Roman" w:hAnsi="Times New Roman" w:cs="Times New Roman"/>
          <w:b/>
          <w:color w:val="000000"/>
          <w:sz w:val="24"/>
          <w:szCs w:val="24"/>
          <w:lang w:eastAsia="en-GB"/>
        </w:rPr>
        <w:lastRenderedPageBreak/>
        <w:t>eTable</w:t>
      </w:r>
      <w:proofErr w:type="spellEnd"/>
      <w:proofErr w:type="gramEnd"/>
      <w:r w:rsidRPr="00FD0F09">
        <w:rPr>
          <w:rFonts w:ascii="Times New Roman" w:eastAsia="Times New Roman" w:hAnsi="Times New Roman" w:cs="Times New Roman"/>
          <w:b/>
          <w:color w:val="000000"/>
          <w:sz w:val="24"/>
          <w:szCs w:val="24"/>
          <w:lang w:eastAsia="en-GB"/>
        </w:rPr>
        <w:t xml:space="preserve"> 3.2: Phylum-level gut microbiota abundances as independent predictors of blood immune markers: multivariable linear regression</w:t>
      </w:r>
    </w:p>
    <w:tbl>
      <w:tblPr>
        <w:tblStyle w:val="TableGrid1"/>
        <w:tblW w:w="0" w:type="auto"/>
        <w:tblLook w:val="04A0"/>
      </w:tblPr>
      <w:tblGrid>
        <w:gridCol w:w="3681"/>
        <w:gridCol w:w="4522"/>
        <w:gridCol w:w="1147"/>
      </w:tblGrid>
      <w:tr w:rsidR="00FD0F09" w:rsidRPr="00FD0F09" w:rsidTr="00FD0F09">
        <w:tc>
          <w:tcPr>
            <w:tcW w:w="3681" w:type="dxa"/>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4522" w:type="dxa"/>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Beta coefficient (95%CI)</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p-value</w:t>
            </w:r>
          </w:p>
        </w:tc>
      </w:tr>
      <w:tr w:rsidR="00FD0F09" w:rsidRPr="00FD0F09" w:rsidTr="00FD0F09">
        <w:tc>
          <w:tcPr>
            <w:tcW w:w="3681" w:type="dxa"/>
            <w:shd w:val="clear" w:color="auto" w:fill="BFBFBF"/>
            <w:vAlign w:val="bottom"/>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Both cases and controls, n=24</w:t>
            </w:r>
          </w:p>
        </w:tc>
        <w:tc>
          <w:tcPr>
            <w:tcW w:w="4522" w:type="dxa"/>
            <w:shd w:val="clear" w:color="auto" w:fill="BFBFB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 xml:space="preserve">[1] Age </w:t>
            </w:r>
          </w:p>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 Age and case or control adjusted</w:t>
            </w:r>
          </w:p>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[3] MS/DMD exposed adjusted‡ (DMD exposed cases, DMD naïve cases or control)</w:t>
            </w:r>
          </w:p>
        </w:tc>
        <w:tc>
          <w:tcPr>
            <w:tcW w:w="0" w:type="auto"/>
            <w:shd w:val="clear" w:color="auto" w:fill="BFBFBF"/>
          </w:tcPr>
          <w:p w:rsidR="00FD0F09" w:rsidRPr="00FD0F09" w:rsidRDefault="00FD0F09" w:rsidP="00FD0F09">
            <w:pPr>
              <w:spacing w:after="200" w:line="276" w:lineRule="auto"/>
              <w:rPr>
                <w:rFonts w:ascii="Times New Roman" w:eastAsia="Calibri" w:hAnsi="Times New Roman" w:cs="Times New Roman"/>
                <w:b/>
                <w:sz w:val="24"/>
                <w:szCs w:val="24"/>
              </w:rPr>
            </w:pPr>
          </w:p>
        </w:tc>
      </w:tr>
      <w:tr w:rsidR="00FD0F09" w:rsidRPr="00FD0F09" w:rsidTr="00FD0F09">
        <w:tc>
          <w:tcPr>
            <w:tcW w:w="3681" w:type="dxa"/>
            <w:shd w:val="clear" w:color="auto" w:fill="FFFFFF"/>
            <w:vAlign w:val="bottom"/>
          </w:tcPr>
          <w:p w:rsidR="00FD0F09" w:rsidRPr="00FD0F09" w:rsidRDefault="00FD0F09" w:rsidP="00FD0F09">
            <w:pPr>
              <w:spacing w:after="200" w:line="276" w:lineRule="auto"/>
              <w:rPr>
                <w:rFonts w:ascii="Times New Roman" w:eastAsia="Calibri" w:hAnsi="Times New Roman" w:cs="Times New Roman"/>
                <w:sz w:val="24"/>
                <w:szCs w:val="24"/>
              </w:rPr>
            </w:pPr>
            <w:proofErr w:type="spellStart"/>
            <w:r w:rsidRPr="00FD0F09">
              <w:rPr>
                <w:rFonts w:ascii="Times New Roman" w:eastAsia="Calibri" w:hAnsi="Times New Roman" w:cs="Times New Roman"/>
                <w:b/>
                <w:i/>
                <w:sz w:val="24"/>
                <w:szCs w:val="24"/>
              </w:rPr>
              <w:t>Bacteroidetes</w:t>
            </w:r>
            <w:proofErr w:type="spellEnd"/>
            <w:r w:rsidRPr="00FD0F09">
              <w:rPr>
                <w:rFonts w:ascii="Times New Roman" w:eastAsia="Calibri" w:hAnsi="Times New Roman" w:cs="Times New Roman"/>
                <w:b/>
                <w:i/>
                <w:sz w:val="24"/>
                <w:szCs w:val="24"/>
              </w:rPr>
              <w:t xml:space="preserve"> </w:t>
            </w:r>
            <w:r w:rsidRPr="00FD0F09">
              <w:rPr>
                <w:rFonts w:ascii="Times New Roman" w:eastAsia="Calibri" w:hAnsi="Times New Roman" w:cs="Times New Roman"/>
                <w:sz w:val="24"/>
                <w:szCs w:val="24"/>
              </w:rPr>
              <w:t xml:space="preserve">and </w:t>
            </w:r>
            <w:proofErr w:type="spellStart"/>
            <w:r w:rsidRPr="00FD0F09">
              <w:rPr>
                <w:rFonts w:ascii="Times New Roman" w:eastAsia="Calibri" w:hAnsi="Times New Roman" w:cs="Times New Roman"/>
                <w:sz w:val="24"/>
                <w:szCs w:val="24"/>
              </w:rPr>
              <w:t>Tregs</w:t>
            </w:r>
            <w:proofErr w:type="spellEnd"/>
            <w:r w:rsidRPr="00FD0F09">
              <w:rPr>
                <w:rFonts w:ascii="Times New Roman" w:eastAsia="Calibri" w:hAnsi="Times New Roman" w:cs="Times New Roman"/>
                <w:sz w:val="24"/>
                <w:szCs w:val="24"/>
              </w:rPr>
              <w:t xml:space="preserve"> </w:t>
            </w:r>
          </w:p>
        </w:tc>
        <w:tc>
          <w:tcPr>
            <w:tcW w:w="4522" w:type="dxa"/>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b/>
                <w:sz w:val="24"/>
                <w:szCs w:val="24"/>
              </w:rPr>
              <w:t>[1] -4.9e-6 (95%CI:</w:t>
            </w:r>
            <w:r w:rsidRPr="00FD0F09">
              <w:rPr>
                <w:rFonts w:ascii="Calibri" w:eastAsia="Calibri" w:hAnsi="Calibri" w:cs="Times New Roman"/>
              </w:rPr>
              <w:t xml:space="preserve"> </w:t>
            </w:r>
            <w:r w:rsidRPr="00FD0F09">
              <w:rPr>
                <w:rFonts w:ascii="Times New Roman" w:eastAsia="Calibri" w:hAnsi="Times New Roman" w:cs="Times New Roman"/>
                <w:b/>
                <w:sz w:val="24"/>
                <w:szCs w:val="24"/>
              </w:rPr>
              <w:t>-8.0 to -2.0)</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p=0.007</w:t>
            </w:r>
          </w:p>
        </w:tc>
      </w:tr>
      <w:tr w:rsidR="00FD0F09" w:rsidRPr="00FD0F09" w:rsidTr="00FD0F09">
        <w:tc>
          <w:tcPr>
            <w:tcW w:w="3681" w:type="dxa"/>
            <w:shd w:val="clear" w:color="auto" w:fill="FFFFFF"/>
            <w:vAlign w:val="bottom"/>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4522" w:type="dxa"/>
            <w:shd w:val="clear" w:color="auto" w:fill="FFFFFF"/>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b/>
                <w:sz w:val="24"/>
                <w:szCs w:val="24"/>
              </w:rPr>
              <w:t>[2] -4.8e-6 (95%CI: -8.0 to -1.0)</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p=0.007</w:t>
            </w:r>
          </w:p>
        </w:tc>
      </w:tr>
      <w:tr w:rsidR="00FD0F09" w:rsidRPr="00FD0F09" w:rsidTr="00FD0F09">
        <w:tc>
          <w:tcPr>
            <w:tcW w:w="3681" w:type="dxa"/>
            <w:shd w:val="clear" w:color="auto" w:fill="FFFFFF"/>
            <w:vAlign w:val="bottom"/>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4522" w:type="dxa"/>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[3] -5.2e-6 (95%CI: -8.0 to -2.0)</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p=0.002</w:t>
            </w:r>
          </w:p>
        </w:tc>
      </w:tr>
      <w:tr w:rsidR="00FD0F09" w:rsidRPr="00FD0F09" w:rsidTr="00FD0F09">
        <w:tc>
          <w:tcPr>
            <w:tcW w:w="3681" w:type="dxa"/>
            <w:shd w:val="clear" w:color="auto" w:fill="FFFFFF"/>
            <w:vAlign w:val="bottom"/>
          </w:tcPr>
          <w:p w:rsidR="00FD0F09" w:rsidRPr="00FD0F09" w:rsidRDefault="00FD0F09" w:rsidP="00FD0F09">
            <w:pPr>
              <w:spacing w:after="200" w:line="276" w:lineRule="auto"/>
              <w:rPr>
                <w:rFonts w:ascii="Times New Roman" w:eastAsia="Calibri" w:hAnsi="Times New Roman" w:cs="Times New Roman"/>
                <w:sz w:val="24"/>
                <w:szCs w:val="24"/>
              </w:rPr>
            </w:pPr>
            <w:proofErr w:type="spellStart"/>
            <w:r w:rsidRPr="00FD0F09">
              <w:rPr>
                <w:rFonts w:ascii="Times New Roman" w:eastAsia="Calibri" w:hAnsi="Times New Roman" w:cs="Times New Roman"/>
                <w:b/>
                <w:i/>
                <w:sz w:val="24"/>
                <w:szCs w:val="24"/>
              </w:rPr>
              <w:t>Bacteroidetes</w:t>
            </w:r>
            <w:proofErr w:type="spellEnd"/>
            <w:r w:rsidRPr="00FD0F09">
              <w:rPr>
                <w:rFonts w:ascii="Times New Roman" w:eastAsia="Calibri" w:hAnsi="Times New Roman" w:cs="Times New Roman"/>
                <w:b/>
                <w:sz w:val="24"/>
                <w:szCs w:val="24"/>
              </w:rPr>
              <w:t xml:space="preserve"> </w:t>
            </w:r>
            <w:r w:rsidRPr="00FD0F09">
              <w:rPr>
                <w:rFonts w:ascii="Times New Roman" w:eastAsia="Calibri" w:hAnsi="Times New Roman" w:cs="Times New Roman"/>
                <w:sz w:val="24"/>
                <w:szCs w:val="24"/>
              </w:rPr>
              <w:t xml:space="preserve">and </w:t>
            </w:r>
            <w:proofErr w:type="spellStart"/>
            <w:r w:rsidRPr="00FD0F09">
              <w:rPr>
                <w:rFonts w:ascii="Times New Roman" w:eastAsia="Calibri" w:hAnsi="Times New Roman" w:cs="Times New Roman"/>
                <w:sz w:val="24"/>
                <w:szCs w:val="24"/>
              </w:rPr>
              <w:t>CD4</w:t>
            </w:r>
            <w:proofErr w:type="spellEnd"/>
            <w:r w:rsidRPr="00FD0F09">
              <w:rPr>
                <w:rFonts w:ascii="Times New Roman" w:eastAsia="Calibri" w:hAnsi="Times New Roman" w:cs="Times New Roman"/>
                <w:sz w:val="24"/>
                <w:szCs w:val="24"/>
                <w:vertAlign w:val="superscript"/>
              </w:rPr>
              <w:t>+</w:t>
            </w:r>
            <w:r w:rsidRPr="00FD0F09">
              <w:rPr>
                <w:rFonts w:ascii="Times New Roman" w:eastAsia="Calibri" w:hAnsi="Times New Roman" w:cs="Times New Roman"/>
                <w:sz w:val="24"/>
                <w:szCs w:val="24"/>
              </w:rPr>
              <w:t xml:space="preserve"> T cells</w:t>
            </w:r>
          </w:p>
        </w:tc>
        <w:tc>
          <w:tcPr>
            <w:tcW w:w="4522" w:type="dxa"/>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[1] -7.6e-5 (95%CI: -14.8 to -0.5)</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p=0.038</w:t>
            </w:r>
          </w:p>
        </w:tc>
      </w:tr>
      <w:tr w:rsidR="00FD0F09" w:rsidRPr="00FD0F09" w:rsidTr="00FD0F09">
        <w:tc>
          <w:tcPr>
            <w:tcW w:w="3681" w:type="dxa"/>
            <w:shd w:val="clear" w:color="auto" w:fill="FFFFFF"/>
            <w:vAlign w:val="bottom"/>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4522" w:type="dxa"/>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 -7.7e-5 (95%CI: -15.0 to -0.3)</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p=0.042</w:t>
            </w:r>
          </w:p>
        </w:tc>
      </w:tr>
      <w:tr w:rsidR="00FD0F09" w:rsidRPr="00FD0F09" w:rsidTr="00FD0F09">
        <w:tc>
          <w:tcPr>
            <w:tcW w:w="3681" w:type="dxa"/>
            <w:shd w:val="clear" w:color="auto" w:fill="FFFFFF"/>
            <w:vAlign w:val="bottom"/>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4522" w:type="dxa"/>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[3] -7.6e-5 (95%CI: -14.0 to -1.3)</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p=0.020</w:t>
            </w:r>
          </w:p>
        </w:tc>
      </w:tr>
      <w:tr w:rsidR="00FD0F09" w:rsidRPr="00FD0F09" w:rsidTr="00FD0F09">
        <w:tc>
          <w:tcPr>
            <w:tcW w:w="3681" w:type="dxa"/>
          </w:tcPr>
          <w:p w:rsidR="00FD0F09" w:rsidRPr="00FD0F09" w:rsidRDefault="00FD0F09" w:rsidP="00FD0F09">
            <w:pPr>
              <w:spacing w:after="200" w:line="276" w:lineRule="auto"/>
              <w:rPr>
                <w:rFonts w:ascii="Times New Roman" w:eastAsia="Calibri" w:hAnsi="Times New Roman" w:cs="Times New Roman"/>
                <w:sz w:val="24"/>
                <w:szCs w:val="24"/>
              </w:rPr>
            </w:pPr>
            <w:proofErr w:type="spellStart"/>
            <w:r w:rsidRPr="00FD0F09">
              <w:rPr>
                <w:rFonts w:ascii="Times New Roman" w:eastAsia="Calibri" w:hAnsi="Times New Roman" w:cs="Times New Roman"/>
                <w:b/>
                <w:i/>
                <w:sz w:val="24"/>
                <w:szCs w:val="24"/>
              </w:rPr>
              <w:t>Actinobacteria</w:t>
            </w:r>
            <w:proofErr w:type="spellEnd"/>
            <w:r w:rsidRPr="00FD0F09">
              <w:rPr>
                <w:rFonts w:ascii="Times New Roman" w:eastAsia="Calibri" w:hAnsi="Times New Roman" w:cs="Times New Roman"/>
                <w:sz w:val="24"/>
                <w:szCs w:val="24"/>
              </w:rPr>
              <w:t xml:space="preserve"> and </w:t>
            </w:r>
            <w:proofErr w:type="spellStart"/>
            <w:r w:rsidRPr="00FD0F09">
              <w:rPr>
                <w:rFonts w:ascii="Times New Roman" w:eastAsia="Calibri" w:hAnsi="Times New Roman" w:cs="Times New Roman"/>
                <w:sz w:val="24"/>
                <w:szCs w:val="24"/>
              </w:rPr>
              <w:t>CD4</w:t>
            </w:r>
            <w:proofErr w:type="spellEnd"/>
            <w:r w:rsidRPr="00FD0F09">
              <w:rPr>
                <w:rFonts w:ascii="Times New Roman" w:eastAsia="Calibri" w:hAnsi="Times New Roman" w:cs="Times New Roman"/>
                <w:sz w:val="24"/>
                <w:szCs w:val="24"/>
                <w:vertAlign w:val="superscript"/>
              </w:rPr>
              <w:t>+</w:t>
            </w:r>
            <w:r w:rsidRPr="00FD0F09">
              <w:rPr>
                <w:rFonts w:ascii="Times New Roman" w:eastAsia="Calibri" w:hAnsi="Times New Roman" w:cs="Times New Roman"/>
                <w:sz w:val="24"/>
                <w:szCs w:val="24"/>
              </w:rPr>
              <w:t xml:space="preserve"> T cells</w:t>
            </w:r>
          </w:p>
        </w:tc>
        <w:tc>
          <w:tcPr>
            <w:tcW w:w="4522" w:type="dxa"/>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[1]</w:t>
            </w:r>
            <w:r w:rsidRPr="00FD0F09">
              <w:rPr>
                <w:rFonts w:ascii="Calibri" w:eastAsia="Calibri" w:hAnsi="Calibri" w:cs="Times New Roman"/>
              </w:rPr>
              <w:t xml:space="preserve"> </w:t>
            </w:r>
            <w:r w:rsidRPr="00FD0F09">
              <w:rPr>
                <w:rFonts w:ascii="Times New Roman" w:eastAsia="Calibri" w:hAnsi="Times New Roman" w:cs="Times New Roman"/>
                <w:b/>
                <w:sz w:val="24"/>
                <w:szCs w:val="24"/>
              </w:rPr>
              <w:t>3.3e-4 (95%CI: 1.1-1.1)</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p=0.005</w:t>
            </w:r>
          </w:p>
        </w:tc>
      </w:tr>
      <w:tr w:rsidR="00FD0F09" w:rsidRPr="00FD0F09" w:rsidTr="00FD0F09">
        <w:tc>
          <w:tcPr>
            <w:tcW w:w="3681" w:type="dxa"/>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4522" w:type="dxa"/>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 3.4e-4 (95%CI: 1.2-5.6)</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p=0.004</w:t>
            </w:r>
          </w:p>
        </w:tc>
      </w:tr>
      <w:tr w:rsidR="00FD0F09" w:rsidRPr="00FD0F09" w:rsidTr="00FD0F09">
        <w:tc>
          <w:tcPr>
            <w:tcW w:w="3681" w:type="dxa"/>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4522" w:type="dxa"/>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[3] 3.3e-4 (95%CI: 1.0-5.7)</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p=0.008</w:t>
            </w:r>
          </w:p>
        </w:tc>
      </w:tr>
      <w:tr w:rsidR="00FD0F09" w:rsidRPr="00FD0F09" w:rsidTr="00FD0F09">
        <w:tc>
          <w:tcPr>
            <w:tcW w:w="3681" w:type="dxa"/>
          </w:tcPr>
          <w:p w:rsidR="00FD0F09" w:rsidRPr="00FD0F09" w:rsidRDefault="00FD0F09" w:rsidP="00FD0F09">
            <w:pPr>
              <w:spacing w:after="200" w:line="276" w:lineRule="auto"/>
              <w:rPr>
                <w:rFonts w:ascii="Times New Roman" w:eastAsia="Calibri" w:hAnsi="Times New Roman" w:cs="Times New Roman"/>
                <w:sz w:val="24"/>
                <w:szCs w:val="24"/>
              </w:rPr>
            </w:pPr>
            <w:proofErr w:type="spellStart"/>
            <w:r w:rsidRPr="00FD0F09">
              <w:rPr>
                <w:rFonts w:ascii="Times New Roman" w:eastAsia="Calibri" w:hAnsi="Times New Roman" w:cs="Times New Roman"/>
                <w:b/>
                <w:i/>
                <w:sz w:val="24"/>
                <w:szCs w:val="24"/>
              </w:rPr>
              <w:t>Actinobacteria</w:t>
            </w:r>
            <w:proofErr w:type="spellEnd"/>
            <w:r w:rsidRPr="00FD0F09">
              <w:rPr>
                <w:rFonts w:ascii="Times New Roman" w:eastAsia="Calibri" w:hAnsi="Times New Roman" w:cs="Times New Roman"/>
                <w:sz w:val="24"/>
                <w:szCs w:val="24"/>
              </w:rPr>
              <w:t xml:space="preserve"> and </w:t>
            </w:r>
            <w:proofErr w:type="spellStart"/>
            <w:r w:rsidRPr="00FD0F09">
              <w:rPr>
                <w:rFonts w:ascii="Times New Roman" w:eastAsia="Calibri" w:hAnsi="Times New Roman" w:cs="Times New Roman"/>
                <w:sz w:val="24"/>
                <w:szCs w:val="24"/>
              </w:rPr>
              <w:t>Tr1</w:t>
            </w:r>
            <w:proofErr w:type="spellEnd"/>
          </w:p>
        </w:tc>
        <w:tc>
          <w:tcPr>
            <w:tcW w:w="4522" w:type="dxa"/>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[1] 3.1e-5 (95%CI: 0.9-5.3)</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p=0009</w:t>
            </w:r>
          </w:p>
        </w:tc>
      </w:tr>
      <w:tr w:rsidR="00FD0F09" w:rsidRPr="00FD0F09" w:rsidTr="00FD0F09">
        <w:tc>
          <w:tcPr>
            <w:tcW w:w="3681" w:type="dxa"/>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4522" w:type="dxa"/>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 3.7e-5 (95%CI: 0.19-5.5)</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p&lt;0.0001</w:t>
            </w:r>
          </w:p>
        </w:tc>
      </w:tr>
      <w:tr w:rsidR="00FD0F09" w:rsidRPr="00FD0F09" w:rsidTr="00FD0F09">
        <w:tc>
          <w:tcPr>
            <w:tcW w:w="3681" w:type="dxa"/>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4522" w:type="dxa"/>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[3] 4.1e-5 (95%CI: 2.3-6.0)</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p=0.0002</w:t>
            </w:r>
          </w:p>
        </w:tc>
      </w:tr>
      <w:tr w:rsidR="00FD0F09" w:rsidRPr="00FD0F09" w:rsidTr="00FD0F09">
        <w:tc>
          <w:tcPr>
            <w:tcW w:w="3681" w:type="dxa"/>
            <w:shd w:val="clear" w:color="auto" w:fill="BFBFB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Controls only, n=9</w:t>
            </w:r>
          </w:p>
        </w:tc>
        <w:tc>
          <w:tcPr>
            <w:tcW w:w="4522" w:type="dxa"/>
            <w:shd w:val="clear" w:color="auto" w:fill="BFBFB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Age adjusted</w:t>
            </w:r>
          </w:p>
        </w:tc>
        <w:tc>
          <w:tcPr>
            <w:tcW w:w="0" w:type="auto"/>
            <w:shd w:val="clear" w:color="auto" w:fill="BFBFBF"/>
          </w:tcPr>
          <w:p w:rsidR="00FD0F09" w:rsidRPr="00FD0F09" w:rsidRDefault="00FD0F09" w:rsidP="00FD0F09">
            <w:pPr>
              <w:spacing w:after="200" w:line="276" w:lineRule="auto"/>
              <w:rPr>
                <w:rFonts w:ascii="Times New Roman" w:eastAsia="Calibri" w:hAnsi="Times New Roman" w:cs="Times New Roman"/>
                <w:b/>
                <w:sz w:val="24"/>
                <w:szCs w:val="24"/>
              </w:rPr>
            </w:pPr>
          </w:p>
        </w:tc>
      </w:tr>
      <w:tr w:rsidR="00FD0F09" w:rsidRPr="00FD0F09" w:rsidTr="00FD0F09">
        <w:tc>
          <w:tcPr>
            <w:tcW w:w="3681" w:type="dxa"/>
            <w:vAlign w:val="bottom"/>
          </w:tcPr>
          <w:p w:rsidR="00FD0F09" w:rsidRPr="00FD0F09" w:rsidRDefault="00FD0F09" w:rsidP="00FD0F09">
            <w:pPr>
              <w:spacing w:after="200" w:line="276" w:lineRule="auto"/>
              <w:rPr>
                <w:rFonts w:ascii="Times New Roman" w:eastAsia="Calibri" w:hAnsi="Times New Roman" w:cs="Times New Roman"/>
                <w:sz w:val="24"/>
                <w:szCs w:val="24"/>
              </w:rPr>
            </w:pPr>
            <w:proofErr w:type="spellStart"/>
            <w:r w:rsidRPr="00FD0F09">
              <w:rPr>
                <w:rFonts w:ascii="Times New Roman" w:eastAsia="Calibri" w:hAnsi="Times New Roman" w:cs="Times New Roman"/>
                <w:b/>
                <w:i/>
                <w:sz w:val="24"/>
                <w:szCs w:val="24"/>
              </w:rPr>
              <w:t>Firmicutes</w:t>
            </w:r>
            <w:proofErr w:type="spellEnd"/>
            <w:r w:rsidRPr="00FD0F09">
              <w:rPr>
                <w:rFonts w:ascii="Times New Roman" w:eastAsia="Calibri" w:hAnsi="Times New Roman" w:cs="Times New Roman"/>
                <w:sz w:val="24"/>
                <w:szCs w:val="24"/>
              </w:rPr>
              <w:t xml:space="preserve"> and </w:t>
            </w:r>
            <w:proofErr w:type="spellStart"/>
            <w:r w:rsidRPr="00FD0F09">
              <w:rPr>
                <w:rFonts w:ascii="Times New Roman" w:eastAsia="Calibri" w:hAnsi="Times New Roman" w:cs="Times New Roman"/>
                <w:sz w:val="24"/>
                <w:szCs w:val="24"/>
              </w:rPr>
              <w:t>Th2</w:t>
            </w:r>
            <w:proofErr w:type="spellEnd"/>
            <w:r w:rsidRPr="00FD0F09">
              <w:rPr>
                <w:rFonts w:ascii="Times New Roman" w:eastAsia="Calibri" w:hAnsi="Times New Roman" w:cs="Times New Roman"/>
                <w:sz w:val="24"/>
                <w:szCs w:val="24"/>
              </w:rPr>
              <w:t xml:space="preserve"> </w:t>
            </w:r>
          </w:p>
        </w:tc>
        <w:tc>
          <w:tcPr>
            <w:tcW w:w="4522" w:type="dxa"/>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-2.5e-5 (95%CI: -4.5 to 0.5)</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p=0.023</w:t>
            </w:r>
          </w:p>
        </w:tc>
      </w:tr>
      <w:tr w:rsidR="00FD0F09" w:rsidRPr="00FD0F09" w:rsidTr="00FD0F09">
        <w:tc>
          <w:tcPr>
            <w:tcW w:w="3681" w:type="dxa"/>
            <w:vAlign w:val="bottom"/>
          </w:tcPr>
          <w:p w:rsidR="00FD0F09" w:rsidRPr="00FD0F09" w:rsidRDefault="00FD0F09" w:rsidP="00FD0F09">
            <w:pPr>
              <w:spacing w:after="200" w:line="276" w:lineRule="auto"/>
              <w:rPr>
                <w:rFonts w:ascii="Times New Roman" w:eastAsia="Calibri" w:hAnsi="Times New Roman" w:cs="Times New Roman"/>
                <w:sz w:val="24"/>
                <w:szCs w:val="24"/>
              </w:rPr>
            </w:pPr>
            <w:proofErr w:type="spellStart"/>
            <w:r w:rsidRPr="00FD0F09">
              <w:rPr>
                <w:rFonts w:ascii="Times New Roman" w:eastAsia="Calibri" w:hAnsi="Times New Roman" w:cs="Times New Roman"/>
                <w:b/>
                <w:i/>
                <w:sz w:val="24"/>
                <w:szCs w:val="24"/>
              </w:rPr>
              <w:t>Firmicutes</w:t>
            </w:r>
            <w:proofErr w:type="spellEnd"/>
            <w:r w:rsidRPr="00FD0F09">
              <w:rPr>
                <w:rFonts w:ascii="Times New Roman" w:eastAsia="Calibri" w:hAnsi="Times New Roman" w:cs="Times New Roman"/>
                <w:sz w:val="24"/>
                <w:szCs w:val="24"/>
              </w:rPr>
              <w:t xml:space="preserve"> and </w:t>
            </w:r>
            <w:proofErr w:type="spellStart"/>
            <w:r w:rsidRPr="00FD0F09">
              <w:rPr>
                <w:rFonts w:ascii="Times New Roman" w:eastAsia="Calibri" w:hAnsi="Times New Roman" w:cs="Times New Roman"/>
                <w:sz w:val="24"/>
                <w:szCs w:val="24"/>
              </w:rPr>
              <w:t>Th1</w:t>
            </w:r>
            <w:proofErr w:type="spellEnd"/>
          </w:p>
        </w:tc>
        <w:tc>
          <w:tcPr>
            <w:tcW w:w="4522" w:type="dxa"/>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 xml:space="preserve">-11.6e-5 (95%CI: -20.8 to -2.5) </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p=0.021</w:t>
            </w:r>
          </w:p>
        </w:tc>
      </w:tr>
      <w:tr w:rsidR="00FD0F09" w:rsidRPr="00FD0F09" w:rsidTr="00FD0F09">
        <w:tc>
          <w:tcPr>
            <w:tcW w:w="3681" w:type="dxa"/>
          </w:tcPr>
          <w:p w:rsidR="00FD0F09" w:rsidRPr="00FD0F09" w:rsidRDefault="00FD0F09" w:rsidP="00FD0F09">
            <w:pPr>
              <w:spacing w:after="200" w:line="276" w:lineRule="auto"/>
              <w:rPr>
                <w:rFonts w:ascii="Times New Roman" w:eastAsia="Calibri" w:hAnsi="Times New Roman" w:cs="Times New Roman"/>
                <w:sz w:val="24"/>
                <w:szCs w:val="24"/>
              </w:rPr>
            </w:pPr>
            <w:proofErr w:type="spellStart"/>
            <w:r w:rsidRPr="00FD0F09">
              <w:rPr>
                <w:rFonts w:ascii="Times New Roman" w:eastAsia="Calibri" w:hAnsi="Times New Roman" w:cs="Times New Roman"/>
                <w:b/>
                <w:i/>
                <w:sz w:val="24"/>
                <w:szCs w:val="24"/>
              </w:rPr>
              <w:t>Fusobacteria</w:t>
            </w:r>
            <w:proofErr w:type="spellEnd"/>
            <w:r w:rsidRPr="00FD0F09">
              <w:rPr>
                <w:rFonts w:ascii="Times New Roman" w:eastAsia="Calibri" w:hAnsi="Times New Roman" w:cs="Times New Roman"/>
                <w:sz w:val="24"/>
                <w:szCs w:val="24"/>
              </w:rPr>
              <w:t xml:space="preserve"> and </w:t>
            </w:r>
            <w:proofErr w:type="spellStart"/>
            <w:r w:rsidRPr="00FD0F09">
              <w:rPr>
                <w:rFonts w:ascii="Times New Roman" w:eastAsia="Calibri" w:hAnsi="Times New Roman" w:cs="Times New Roman"/>
                <w:sz w:val="24"/>
                <w:szCs w:val="24"/>
              </w:rPr>
              <w:t>Tregs</w:t>
            </w:r>
            <w:proofErr w:type="spellEnd"/>
            <w:r w:rsidRPr="00FD0F09">
              <w:rPr>
                <w:rFonts w:ascii="Times New Roman" w:eastAsia="Calibri" w:hAnsi="Times New Roman" w:cs="Times New Roman"/>
                <w:sz w:val="24"/>
                <w:szCs w:val="24"/>
              </w:rPr>
              <w:t xml:space="preserve"> </w:t>
            </w:r>
          </w:p>
        </w:tc>
        <w:tc>
          <w:tcPr>
            <w:tcW w:w="4522" w:type="dxa"/>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0.32 (95%CI: 0.11-0.53)</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p=0.009</w:t>
            </w:r>
          </w:p>
        </w:tc>
      </w:tr>
      <w:tr w:rsidR="00FD0F09" w:rsidRPr="00FD0F09" w:rsidTr="00FD0F09">
        <w:tc>
          <w:tcPr>
            <w:tcW w:w="3681" w:type="dxa"/>
            <w:shd w:val="clear" w:color="auto" w:fill="BFBFBF"/>
          </w:tcPr>
          <w:p w:rsidR="00FD0F09" w:rsidRPr="00FD0F09" w:rsidRDefault="00FD0F09" w:rsidP="00FD0F09">
            <w:pPr>
              <w:tabs>
                <w:tab w:val="left" w:pos="2955"/>
              </w:tabs>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Cases only, n=15</w:t>
            </w:r>
            <w:r w:rsidRPr="00FD0F09">
              <w:rPr>
                <w:rFonts w:ascii="Times New Roman" w:eastAsia="Calibri" w:hAnsi="Times New Roman" w:cs="Times New Roman"/>
                <w:b/>
                <w:sz w:val="24"/>
                <w:szCs w:val="24"/>
              </w:rPr>
              <w:tab/>
            </w:r>
          </w:p>
        </w:tc>
        <w:tc>
          <w:tcPr>
            <w:tcW w:w="4522" w:type="dxa"/>
            <w:shd w:val="clear" w:color="auto" w:fill="BFBFB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[1] Age adjusted</w:t>
            </w:r>
          </w:p>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 Disease duration adjusted</w:t>
            </w:r>
          </w:p>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lastRenderedPageBreak/>
              <w:t>[3] DMD adjusted</w:t>
            </w:r>
          </w:p>
        </w:tc>
        <w:tc>
          <w:tcPr>
            <w:tcW w:w="0" w:type="auto"/>
            <w:shd w:val="clear" w:color="auto" w:fill="BFBFBF"/>
          </w:tcPr>
          <w:p w:rsidR="00FD0F09" w:rsidRPr="00FD0F09" w:rsidRDefault="00FD0F09" w:rsidP="00FD0F09">
            <w:pPr>
              <w:spacing w:after="200" w:line="276" w:lineRule="auto"/>
              <w:rPr>
                <w:rFonts w:ascii="Times New Roman" w:eastAsia="Calibri" w:hAnsi="Times New Roman" w:cs="Times New Roman"/>
                <w:b/>
                <w:sz w:val="24"/>
                <w:szCs w:val="24"/>
              </w:rPr>
            </w:pPr>
          </w:p>
        </w:tc>
      </w:tr>
      <w:tr w:rsidR="00FD0F09" w:rsidRPr="00FD0F09" w:rsidTr="00CA0ADA">
        <w:tc>
          <w:tcPr>
            <w:tcW w:w="3681" w:type="dxa"/>
          </w:tcPr>
          <w:p w:rsidR="00FD0F09" w:rsidRPr="00FD0F09" w:rsidRDefault="00FD0F09" w:rsidP="00FD0F09">
            <w:pPr>
              <w:spacing w:after="200" w:line="276" w:lineRule="auto"/>
              <w:rPr>
                <w:rFonts w:ascii="Times New Roman" w:eastAsia="Calibri" w:hAnsi="Times New Roman" w:cs="Times New Roman"/>
                <w:b/>
                <w:sz w:val="24"/>
                <w:szCs w:val="24"/>
              </w:rPr>
            </w:pPr>
            <w:proofErr w:type="spellStart"/>
            <w:r w:rsidRPr="00FD0F09">
              <w:rPr>
                <w:rFonts w:ascii="Times New Roman" w:eastAsia="Calibri" w:hAnsi="Times New Roman" w:cs="Times New Roman"/>
                <w:b/>
                <w:i/>
                <w:sz w:val="24"/>
                <w:szCs w:val="24"/>
              </w:rPr>
              <w:lastRenderedPageBreak/>
              <w:t>Bacteroidetes</w:t>
            </w:r>
            <w:proofErr w:type="spellEnd"/>
            <w:r w:rsidRPr="00FD0F09">
              <w:rPr>
                <w:rFonts w:ascii="Times New Roman" w:eastAsia="Calibri" w:hAnsi="Times New Roman" w:cs="Times New Roman"/>
                <w:b/>
                <w:sz w:val="24"/>
                <w:szCs w:val="24"/>
              </w:rPr>
              <w:t xml:space="preserve"> </w:t>
            </w:r>
            <w:r w:rsidRPr="00FD0F09">
              <w:rPr>
                <w:rFonts w:ascii="Times New Roman" w:eastAsia="Calibri" w:hAnsi="Times New Roman" w:cs="Times New Roman"/>
                <w:sz w:val="24"/>
                <w:szCs w:val="24"/>
              </w:rPr>
              <w:t xml:space="preserve">and </w:t>
            </w:r>
            <w:proofErr w:type="spellStart"/>
            <w:r w:rsidRPr="00FD0F09">
              <w:rPr>
                <w:rFonts w:ascii="Times New Roman" w:eastAsia="Calibri" w:hAnsi="Times New Roman" w:cs="Times New Roman"/>
                <w:sz w:val="24"/>
                <w:szCs w:val="24"/>
              </w:rPr>
              <w:t>Tregs</w:t>
            </w:r>
            <w:proofErr w:type="spellEnd"/>
            <w:r w:rsidRPr="00FD0F09">
              <w:rPr>
                <w:rFonts w:ascii="Times New Roman" w:eastAsia="Calibri" w:hAnsi="Times New Roman" w:cs="Times New Roman"/>
                <w:sz w:val="24"/>
                <w:szCs w:val="24"/>
              </w:rPr>
              <w:t xml:space="preserve"> </w:t>
            </w:r>
          </w:p>
        </w:tc>
        <w:tc>
          <w:tcPr>
            <w:tcW w:w="4522" w:type="dxa"/>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[1] -0.5e-6 (95%CI: -10 to -0.2)</w:t>
            </w:r>
          </w:p>
        </w:tc>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p=0.042</w:t>
            </w:r>
          </w:p>
        </w:tc>
      </w:tr>
      <w:tr w:rsidR="00FD0F09" w:rsidRPr="00FD0F09" w:rsidTr="00CA0ADA">
        <w:tc>
          <w:tcPr>
            <w:tcW w:w="3681" w:type="dxa"/>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4522" w:type="dxa"/>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w:t>
            </w:r>
            <w:r w:rsidRPr="00FD0F09">
              <w:rPr>
                <w:rFonts w:ascii="Times New Roman" w:eastAsia="Calibri" w:hAnsi="Times New Roman" w:cs="Times New Roman"/>
                <w:sz w:val="24"/>
                <w:szCs w:val="24"/>
              </w:rPr>
              <w:t xml:space="preserve"> </w:t>
            </w:r>
            <w:r w:rsidRPr="00FD0F09">
              <w:rPr>
                <w:rFonts w:ascii="Times New Roman" w:eastAsia="Calibri" w:hAnsi="Times New Roman" w:cs="Times New Roman"/>
                <w:b/>
                <w:sz w:val="24"/>
                <w:szCs w:val="24"/>
              </w:rPr>
              <w:t>-5.7e-6 (95%CI: -9.0 to -2.0)</w:t>
            </w:r>
          </w:p>
        </w:tc>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p=0.006</w:t>
            </w:r>
          </w:p>
        </w:tc>
      </w:tr>
      <w:tr w:rsidR="00FD0F09" w:rsidRPr="00FD0F09" w:rsidTr="00CA0ADA">
        <w:tc>
          <w:tcPr>
            <w:tcW w:w="3681" w:type="dxa"/>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4522" w:type="dxa"/>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[3] -5.7e-6 (95%CI: -10.0 to -2.0)</w:t>
            </w:r>
          </w:p>
        </w:tc>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p=0.009</w:t>
            </w:r>
          </w:p>
        </w:tc>
      </w:tr>
      <w:tr w:rsidR="00FD0F09" w:rsidRPr="00FD0F09" w:rsidTr="00CA0ADA">
        <w:tc>
          <w:tcPr>
            <w:tcW w:w="3681" w:type="dxa"/>
          </w:tcPr>
          <w:p w:rsidR="00FD0F09" w:rsidRPr="00FD0F09" w:rsidRDefault="00FD0F09" w:rsidP="00FD0F09">
            <w:pPr>
              <w:spacing w:after="200" w:line="276" w:lineRule="auto"/>
              <w:rPr>
                <w:rFonts w:ascii="Times New Roman" w:eastAsia="Calibri" w:hAnsi="Times New Roman" w:cs="Times New Roman"/>
                <w:b/>
                <w:sz w:val="24"/>
                <w:szCs w:val="24"/>
              </w:rPr>
            </w:pPr>
            <w:proofErr w:type="spellStart"/>
            <w:r w:rsidRPr="00FD0F09">
              <w:rPr>
                <w:rFonts w:ascii="Times New Roman" w:eastAsia="Calibri" w:hAnsi="Times New Roman" w:cs="Times New Roman"/>
                <w:b/>
                <w:i/>
                <w:sz w:val="24"/>
                <w:szCs w:val="24"/>
              </w:rPr>
              <w:t>Bacteroidetes</w:t>
            </w:r>
            <w:proofErr w:type="spellEnd"/>
            <w:r w:rsidRPr="00FD0F09">
              <w:rPr>
                <w:rFonts w:ascii="Times New Roman" w:eastAsia="Calibri" w:hAnsi="Times New Roman" w:cs="Times New Roman"/>
                <w:b/>
                <w:sz w:val="24"/>
                <w:szCs w:val="24"/>
              </w:rPr>
              <w:t xml:space="preserve"> </w:t>
            </w:r>
            <w:r w:rsidRPr="00FD0F09">
              <w:rPr>
                <w:rFonts w:ascii="Times New Roman" w:eastAsia="Calibri" w:hAnsi="Times New Roman" w:cs="Times New Roman"/>
                <w:sz w:val="24"/>
                <w:szCs w:val="24"/>
              </w:rPr>
              <w:t xml:space="preserve">and </w:t>
            </w:r>
            <w:proofErr w:type="spellStart"/>
            <w:r w:rsidRPr="00FD0F09">
              <w:rPr>
                <w:rFonts w:ascii="Times New Roman" w:eastAsia="Calibri" w:hAnsi="Times New Roman" w:cs="Times New Roman"/>
                <w:sz w:val="24"/>
                <w:szCs w:val="24"/>
              </w:rPr>
              <w:t>CD4</w:t>
            </w:r>
            <w:proofErr w:type="spellEnd"/>
            <w:r w:rsidRPr="00FD0F09">
              <w:rPr>
                <w:rFonts w:ascii="Times New Roman" w:eastAsia="Calibri" w:hAnsi="Times New Roman" w:cs="Times New Roman"/>
                <w:sz w:val="24"/>
                <w:szCs w:val="24"/>
                <w:vertAlign w:val="superscript"/>
              </w:rPr>
              <w:t>+</w:t>
            </w:r>
            <w:r w:rsidRPr="00FD0F09">
              <w:rPr>
                <w:rFonts w:ascii="Times New Roman" w:eastAsia="Calibri" w:hAnsi="Times New Roman" w:cs="Times New Roman"/>
                <w:sz w:val="24"/>
                <w:szCs w:val="24"/>
              </w:rPr>
              <w:t xml:space="preserve"> T cells</w:t>
            </w:r>
          </w:p>
        </w:tc>
        <w:tc>
          <w:tcPr>
            <w:tcW w:w="4522" w:type="dxa"/>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 -9.5e-5 (95%CI: -20.7 to 1.7)</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p=0.088</w:t>
            </w:r>
          </w:p>
        </w:tc>
      </w:tr>
      <w:tr w:rsidR="00FD0F09" w:rsidRPr="00FD0F09" w:rsidTr="00CA0ADA">
        <w:tc>
          <w:tcPr>
            <w:tcW w:w="3681" w:type="dxa"/>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4522" w:type="dxa"/>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 -1.12e-4 (95%CI: -2.01 to -0.22)</w:t>
            </w:r>
          </w:p>
        </w:tc>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p=0.019</w:t>
            </w:r>
          </w:p>
        </w:tc>
      </w:tr>
      <w:tr w:rsidR="00FD0F09" w:rsidRPr="00FD0F09" w:rsidTr="00CA0ADA">
        <w:tc>
          <w:tcPr>
            <w:tcW w:w="3681" w:type="dxa"/>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4522" w:type="dxa"/>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[3] -9.7e-5 (95%CI: -18.6 to -0.9)</w:t>
            </w:r>
          </w:p>
        </w:tc>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p=0.034</w:t>
            </w:r>
          </w:p>
        </w:tc>
      </w:tr>
      <w:tr w:rsidR="00FD0F09" w:rsidRPr="00FD0F09" w:rsidTr="00CA0ADA">
        <w:tc>
          <w:tcPr>
            <w:tcW w:w="3681" w:type="dxa"/>
          </w:tcPr>
          <w:p w:rsidR="00FD0F09" w:rsidRPr="00FD0F09" w:rsidRDefault="00FD0F09" w:rsidP="00FD0F09">
            <w:pPr>
              <w:spacing w:after="200" w:line="276" w:lineRule="auto"/>
              <w:rPr>
                <w:rFonts w:ascii="Times New Roman" w:eastAsia="Calibri" w:hAnsi="Times New Roman" w:cs="Times New Roman"/>
                <w:b/>
                <w:sz w:val="24"/>
                <w:szCs w:val="24"/>
              </w:rPr>
            </w:pPr>
            <w:proofErr w:type="spellStart"/>
            <w:r w:rsidRPr="00FD0F09">
              <w:rPr>
                <w:rFonts w:ascii="Times New Roman" w:eastAsia="Calibri" w:hAnsi="Times New Roman" w:cs="Times New Roman"/>
                <w:b/>
                <w:i/>
                <w:sz w:val="24"/>
                <w:szCs w:val="24"/>
              </w:rPr>
              <w:t>Bacteroidetes</w:t>
            </w:r>
            <w:proofErr w:type="spellEnd"/>
            <w:r w:rsidRPr="00FD0F09">
              <w:rPr>
                <w:rFonts w:ascii="Times New Roman" w:eastAsia="Calibri" w:hAnsi="Times New Roman" w:cs="Times New Roman"/>
                <w:b/>
                <w:sz w:val="24"/>
                <w:szCs w:val="24"/>
              </w:rPr>
              <w:t xml:space="preserve"> </w:t>
            </w:r>
            <w:r w:rsidRPr="00FD0F09">
              <w:rPr>
                <w:rFonts w:ascii="Times New Roman" w:eastAsia="Calibri" w:hAnsi="Times New Roman" w:cs="Times New Roman"/>
                <w:sz w:val="24"/>
                <w:szCs w:val="24"/>
              </w:rPr>
              <w:t xml:space="preserve">and </w:t>
            </w:r>
            <w:proofErr w:type="spellStart"/>
            <w:r w:rsidRPr="00FD0F09">
              <w:rPr>
                <w:rFonts w:ascii="Times New Roman" w:eastAsia="Calibri" w:hAnsi="Times New Roman" w:cs="Times New Roman"/>
                <w:sz w:val="24"/>
                <w:szCs w:val="24"/>
              </w:rPr>
              <w:t>Th17</w:t>
            </w:r>
            <w:proofErr w:type="spellEnd"/>
          </w:p>
        </w:tc>
        <w:tc>
          <w:tcPr>
            <w:tcW w:w="4522" w:type="dxa"/>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 -3.0e-6 (95%CI: -7.0 to 1.0)</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p=0.154</w:t>
            </w:r>
          </w:p>
        </w:tc>
      </w:tr>
      <w:tr w:rsidR="00FD0F09" w:rsidRPr="00FD0F09" w:rsidTr="00CA0ADA">
        <w:tc>
          <w:tcPr>
            <w:tcW w:w="3681" w:type="dxa"/>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4522" w:type="dxa"/>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w:t>
            </w:r>
            <w:r w:rsidRPr="00FD0F09">
              <w:rPr>
                <w:rFonts w:ascii="Times New Roman" w:eastAsia="Calibri" w:hAnsi="Times New Roman" w:cs="Times New Roman"/>
                <w:sz w:val="24"/>
                <w:szCs w:val="24"/>
              </w:rPr>
              <w:t xml:space="preserve"> </w:t>
            </w:r>
            <w:r w:rsidRPr="00FD0F09">
              <w:rPr>
                <w:rFonts w:ascii="Times New Roman" w:eastAsia="Calibri" w:hAnsi="Times New Roman" w:cs="Times New Roman"/>
                <w:b/>
                <w:sz w:val="24"/>
                <w:szCs w:val="24"/>
              </w:rPr>
              <w:t>-4.9e-6 (95%CI: -9.0 to -1.0)</w:t>
            </w:r>
          </w:p>
        </w:tc>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p=0.013</w:t>
            </w:r>
          </w:p>
        </w:tc>
      </w:tr>
      <w:tr w:rsidR="00FD0F09" w:rsidRPr="00FD0F09" w:rsidTr="00CA0ADA">
        <w:tc>
          <w:tcPr>
            <w:tcW w:w="3681" w:type="dxa"/>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4522" w:type="dxa"/>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sz w:val="24"/>
                <w:szCs w:val="24"/>
              </w:rPr>
              <w:t>[</w:t>
            </w:r>
            <w:r w:rsidRPr="00FD0F09">
              <w:rPr>
                <w:rFonts w:ascii="Times New Roman" w:eastAsia="Calibri" w:hAnsi="Times New Roman" w:cs="Times New Roman"/>
                <w:b/>
                <w:sz w:val="24"/>
                <w:szCs w:val="24"/>
              </w:rPr>
              <w:t>3] -3.9e-6 (95%CI: -7.0 to -0.7)</w:t>
            </w:r>
          </w:p>
        </w:tc>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p=0.021</w:t>
            </w:r>
          </w:p>
        </w:tc>
      </w:tr>
      <w:tr w:rsidR="00FD0F09" w:rsidRPr="00FD0F09" w:rsidTr="00FD0F09">
        <w:tc>
          <w:tcPr>
            <w:tcW w:w="3681" w:type="dxa"/>
          </w:tcPr>
          <w:p w:rsidR="00FD0F09" w:rsidRPr="00FD0F09" w:rsidRDefault="00FD0F09" w:rsidP="00FD0F09">
            <w:pPr>
              <w:spacing w:after="200" w:line="276" w:lineRule="auto"/>
              <w:rPr>
                <w:rFonts w:ascii="Times New Roman" w:eastAsia="Calibri" w:hAnsi="Times New Roman" w:cs="Times New Roman"/>
                <w:sz w:val="24"/>
                <w:szCs w:val="24"/>
              </w:rPr>
            </w:pPr>
            <w:proofErr w:type="spellStart"/>
            <w:r w:rsidRPr="00FD0F09">
              <w:rPr>
                <w:rFonts w:ascii="Times New Roman" w:eastAsia="Calibri" w:hAnsi="Times New Roman" w:cs="Times New Roman"/>
                <w:b/>
                <w:i/>
                <w:sz w:val="24"/>
                <w:szCs w:val="24"/>
              </w:rPr>
              <w:t>Actinobacteria</w:t>
            </w:r>
            <w:proofErr w:type="spellEnd"/>
            <w:r w:rsidRPr="00FD0F09">
              <w:rPr>
                <w:rFonts w:ascii="Times New Roman" w:eastAsia="Calibri" w:hAnsi="Times New Roman" w:cs="Times New Roman"/>
                <w:sz w:val="24"/>
                <w:szCs w:val="24"/>
              </w:rPr>
              <w:t xml:space="preserve"> and </w:t>
            </w:r>
            <w:proofErr w:type="spellStart"/>
            <w:r w:rsidRPr="00FD0F09">
              <w:rPr>
                <w:rFonts w:ascii="Times New Roman" w:eastAsia="Calibri" w:hAnsi="Times New Roman" w:cs="Times New Roman"/>
                <w:sz w:val="24"/>
                <w:szCs w:val="24"/>
              </w:rPr>
              <w:t>CD4</w:t>
            </w:r>
            <w:proofErr w:type="spellEnd"/>
            <w:r w:rsidRPr="00FD0F09">
              <w:rPr>
                <w:rFonts w:ascii="Times New Roman" w:eastAsia="Calibri" w:hAnsi="Times New Roman" w:cs="Times New Roman"/>
                <w:sz w:val="24"/>
                <w:szCs w:val="24"/>
                <w:vertAlign w:val="superscript"/>
              </w:rPr>
              <w:t>+</w:t>
            </w:r>
            <w:r w:rsidRPr="00FD0F09">
              <w:rPr>
                <w:rFonts w:ascii="Times New Roman" w:eastAsia="Calibri" w:hAnsi="Times New Roman" w:cs="Times New Roman"/>
                <w:sz w:val="24"/>
                <w:szCs w:val="24"/>
              </w:rPr>
              <w:t xml:space="preserve"> T cells</w:t>
            </w:r>
          </w:p>
        </w:tc>
        <w:tc>
          <w:tcPr>
            <w:tcW w:w="4522" w:type="dxa"/>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 xml:space="preserve">[1] 3.5e-4 (95CI: 0.6-10) </w:t>
            </w:r>
          </w:p>
        </w:tc>
        <w:tc>
          <w:tcPr>
            <w:tcW w:w="0" w:type="auto"/>
            <w:shd w:val="clear" w:color="auto" w:fill="FFFFFF"/>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p=0.023</w:t>
            </w:r>
          </w:p>
        </w:tc>
      </w:tr>
      <w:tr w:rsidR="00FD0F09" w:rsidRPr="00FD0F09" w:rsidTr="00CA0ADA">
        <w:tc>
          <w:tcPr>
            <w:tcW w:w="3681" w:type="dxa"/>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4522" w:type="dxa"/>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[2] 3.9e-4 (95%CI: 0.88-7.0)</w:t>
            </w:r>
          </w:p>
        </w:tc>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p=0.016</w:t>
            </w:r>
          </w:p>
        </w:tc>
      </w:tr>
      <w:tr w:rsidR="00FD0F09" w:rsidRPr="00FD0F09" w:rsidTr="00CA0ADA">
        <w:tc>
          <w:tcPr>
            <w:tcW w:w="3681" w:type="dxa"/>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4522" w:type="dxa"/>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[3] 3.5e-4 (95%CI: 0.12-6.8)</w:t>
            </w:r>
          </w:p>
        </w:tc>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p=0.043</w:t>
            </w:r>
          </w:p>
        </w:tc>
      </w:tr>
      <w:tr w:rsidR="00FD0F09" w:rsidRPr="00FD0F09" w:rsidTr="00CA0ADA">
        <w:tc>
          <w:tcPr>
            <w:tcW w:w="3681" w:type="dxa"/>
          </w:tcPr>
          <w:p w:rsidR="00FD0F09" w:rsidRPr="00FD0F09" w:rsidRDefault="00FD0F09" w:rsidP="00FD0F09">
            <w:pPr>
              <w:spacing w:after="200" w:line="276" w:lineRule="auto"/>
              <w:rPr>
                <w:rFonts w:ascii="Times New Roman" w:eastAsia="Calibri" w:hAnsi="Times New Roman" w:cs="Times New Roman"/>
                <w:b/>
                <w:sz w:val="24"/>
                <w:szCs w:val="24"/>
              </w:rPr>
            </w:pPr>
            <w:proofErr w:type="spellStart"/>
            <w:r w:rsidRPr="00FD0F09">
              <w:rPr>
                <w:rFonts w:ascii="Times New Roman" w:eastAsia="Calibri" w:hAnsi="Times New Roman" w:cs="Times New Roman"/>
                <w:b/>
                <w:i/>
                <w:sz w:val="24"/>
                <w:szCs w:val="24"/>
              </w:rPr>
              <w:t>Firmicutes</w:t>
            </w:r>
            <w:proofErr w:type="spellEnd"/>
            <w:r w:rsidRPr="00FD0F09">
              <w:rPr>
                <w:rFonts w:ascii="Times New Roman" w:eastAsia="Calibri" w:hAnsi="Times New Roman" w:cs="Times New Roman"/>
                <w:sz w:val="24"/>
                <w:szCs w:val="24"/>
              </w:rPr>
              <w:t xml:space="preserve"> and </w:t>
            </w:r>
            <w:proofErr w:type="spellStart"/>
            <w:r w:rsidRPr="00FD0F09">
              <w:rPr>
                <w:rFonts w:ascii="Times New Roman" w:eastAsia="Calibri" w:hAnsi="Times New Roman" w:cs="Times New Roman"/>
                <w:sz w:val="24"/>
                <w:szCs w:val="24"/>
              </w:rPr>
              <w:t>Th17</w:t>
            </w:r>
            <w:proofErr w:type="spellEnd"/>
          </w:p>
        </w:tc>
        <w:tc>
          <w:tcPr>
            <w:tcW w:w="4522" w:type="dxa"/>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[1] 4.3e-6 (95%CI: -0.8- 9.0)</w:t>
            </w:r>
          </w:p>
        </w:tc>
        <w:tc>
          <w:tcPr>
            <w:tcW w:w="0" w:type="auto"/>
          </w:tcPr>
          <w:p w:rsidR="00FD0F09" w:rsidRPr="00FD0F09" w:rsidRDefault="00FD0F09" w:rsidP="00FD0F09">
            <w:pPr>
              <w:spacing w:after="200" w:line="276"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p=0.089</w:t>
            </w:r>
          </w:p>
        </w:tc>
      </w:tr>
      <w:tr w:rsidR="00FD0F09" w:rsidRPr="00FD0F09" w:rsidTr="00CA0ADA">
        <w:tc>
          <w:tcPr>
            <w:tcW w:w="3681" w:type="dxa"/>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4522" w:type="dxa"/>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 xml:space="preserve">[2] 8.7e-6 (95%CI: 4.0-13.0) </w:t>
            </w:r>
          </w:p>
        </w:tc>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p=0.002</w:t>
            </w:r>
          </w:p>
        </w:tc>
      </w:tr>
      <w:tr w:rsidR="00FD0F09" w:rsidRPr="00FD0F09" w:rsidTr="00CA0ADA">
        <w:tc>
          <w:tcPr>
            <w:tcW w:w="3681" w:type="dxa"/>
          </w:tcPr>
          <w:p w:rsidR="00FD0F09" w:rsidRPr="00FD0F09" w:rsidRDefault="00FD0F09" w:rsidP="00FD0F09">
            <w:pPr>
              <w:spacing w:after="200" w:line="276" w:lineRule="auto"/>
              <w:rPr>
                <w:rFonts w:ascii="Times New Roman" w:eastAsia="Calibri" w:hAnsi="Times New Roman" w:cs="Times New Roman"/>
                <w:b/>
                <w:sz w:val="24"/>
                <w:szCs w:val="24"/>
              </w:rPr>
            </w:pPr>
          </w:p>
        </w:tc>
        <w:tc>
          <w:tcPr>
            <w:tcW w:w="4522" w:type="dxa"/>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[3] 5.1e-6 (95%CI: 0.1-10.0)</w:t>
            </w:r>
          </w:p>
        </w:tc>
        <w:tc>
          <w:tcPr>
            <w:tcW w:w="0" w:type="auto"/>
          </w:tcPr>
          <w:p w:rsidR="00FD0F09" w:rsidRPr="00FD0F09" w:rsidRDefault="00FD0F09" w:rsidP="00FD0F09">
            <w:pPr>
              <w:spacing w:after="200" w:line="276" w:lineRule="auto"/>
              <w:rPr>
                <w:rFonts w:ascii="Times New Roman" w:eastAsia="Calibri" w:hAnsi="Times New Roman" w:cs="Times New Roman"/>
                <w:b/>
                <w:sz w:val="24"/>
                <w:szCs w:val="24"/>
              </w:rPr>
            </w:pPr>
            <w:r w:rsidRPr="00FD0F09">
              <w:rPr>
                <w:rFonts w:ascii="Times New Roman" w:eastAsia="Calibri" w:hAnsi="Times New Roman" w:cs="Times New Roman"/>
                <w:b/>
                <w:sz w:val="24"/>
                <w:szCs w:val="24"/>
              </w:rPr>
              <w:t>p=0.046</w:t>
            </w:r>
          </w:p>
        </w:tc>
      </w:tr>
    </w:tbl>
    <w:p w:rsidR="00FD0F09" w:rsidRPr="00FD0F09" w:rsidRDefault="00FD0F09" w:rsidP="00FD0F09">
      <w:pPr>
        <w:spacing w:after="0" w:line="240" w:lineRule="auto"/>
        <w:rPr>
          <w:rFonts w:ascii="Times New Roman" w:eastAsia="Times New Roman" w:hAnsi="Times New Roman" w:cs="Times New Roman"/>
          <w:color w:val="000000"/>
          <w:sz w:val="24"/>
          <w:szCs w:val="24"/>
          <w:lang w:eastAsia="en-GB"/>
        </w:rPr>
      </w:pPr>
      <w:r w:rsidRPr="00FD0F09">
        <w:rPr>
          <w:rFonts w:ascii="Times New Roman" w:eastAsia="Times New Roman" w:hAnsi="Times New Roman" w:cs="Times New Roman"/>
          <w:b/>
          <w:color w:val="000000"/>
          <w:sz w:val="24"/>
          <w:szCs w:val="24"/>
          <w:u w:val="single"/>
          <w:lang w:eastAsia="en-GB"/>
        </w:rPr>
        <w:t>Key</w:t>
      </w:r>
      <w:r w:rsidRPr="00FD0F09">
        <w:rPr>
          <w:rFonts w:ascii="Times New Roman" w:eastAsia="Times New Roman" w:hAnsi="Times New Roman" w:cs="Times New Roman"/>
          <w:color w:val="000000"/>
          <w:sz w:val="24"/>
          <w:szCs w:val="24"/>
          <w:lang w:eastAsia="en-GB"/>
        </w:rPr>
        <w:t>: DMD=disease-modifying drug</w:t>
      </w:r>
    </w:p>
    <w:p w:rsidR="00FD0F09" w:rsidRPr="00FD0F09" w:rsidRDefault="00FD0F09" w:rsidP="00FD0F09">
      <w:pPr>
        <w:spacing w:after="0" w:line="240" w:lineRule="auto"/>
        <w:rPr>
          <w:rFonts w:ascii="Times New Roman" w:eastAsia="Calibri" w:hAnsi="Times New Roman" w:cs="Times New Roman"/>
          <w:sz w:val="24"/>
          <w:szCs w:val="24"/>
          <w:vertAlign w:val="superscript"/>
        </w:rPr>
      </w:pPr>
      <w:r w:rsidRPr="00FD0F09">
        <w:rPr>
          <w:rFonts w:ascii="Times New Roman" w:eastAsia="Calibri" w:hAnsi="Times New Roman" w:cs="Times New Roman"/>
          <w:sz w:val="24"/>
          <w:szCs w:val="24"/>
        </w:rPr>
        <w:t>Where ‘e-5’ is shown, the corresponding 95%CIs are also shown as e-5; e-5 represents x10</w:t>
      </w:r>
      <w:r w:rsidRPr="00FD0F09">
        <w:rPr>
          <w:rFonts w:ascii="Times New Roman" w:eastAsia="Calibri" w:hAnsi="Times New Roman" w:cs="Times New Roman"/>
          <w:sz w:val="24"/>
          <w:szCs w:val="24"/>
          <w:vertAlign w:val="superscript"/>
        </w:rPr>
        <w:t>-5</w:t>
      </w:r>
    </w:p>
    <w:p w:rsidR="00FD0F09" w:rsidRPr="00FD0F09" w:rsidRDefault="00FD0F09" w:rsidP="00FD0F09">
      <w:pPr>
        <w:spacing w:after="0" w:line="240" w:lineRule="auto"/>
        <w:rPr>
          <w:rFonts w:ascii="Times New Roman" w:eastAsia="Times New Roman" w:hAnsi="Times New Roman" w:cs="Times New Roman"/>
          <w:color w:val="000000"/>
          <w:sz w:val="24"/>
          <w:szCs w:val="24"/>
          <w:lang w:eastAsia="en-GB"/>
        </w:rPr>
      </w:pPr>
      <w:bookmarkStart w:id="1" w:name="_GoBack"/>
      <w:bookmarkEnd w:id="1"/>
    </w:p>
    <w:p w:rsidR="00FD0F09" w:rsidRPr="00FD0F09" w:rsidRDefault="00FD0F09" w:rsidP="00FD0F09">
      <w:pPr>
        <w:spacing w:after="0" w:line="240" w:lineRule="auto"/>
        <w:rPr>
          <w:rFonts w:ascii="Times New Roman" w:eastAsia="Times New Roman" w:hAnsi="Times New Roman" w:cs="Times New Roman"/>
          <w:color w:val="000000"/>
          <w:sz w:val="24"/>
          <w:szCs w:val="24"/>
          <w:lang w:eastAsia="en-GB"/>
        </w:rPr>
      </w:pPr>
      <w:r w:rsidRPr="00FD0F09">
        <w:rPr>
          <w:rFonts w:ascii="Times New Roman" w:eastAsia="Calibri" w:hAnsi="Times New Roman" w:cs="Times New Roman"/>
          <w:sz w:val="24"/>
          <w:szCs w:val="24"/>
        </w:rPr>
        <w:t>‡ Age and MS/DMD exposed adjusted - three binary dummy variables were included in each model, derived from the three-level categorical variable ‘DMD exposed, DMD naïve or control’</w:t>
      </w:r>
    </w:p>
    <w:p w:rsidR="00FD0F09" w:rsidRPr="00FD0F09" w:rsidRDefault="00FD0F09" w:rsidP="00FD0F09">
      <w:pPr>
        <w:spacing w:after="0" w:line="240" w:lineRule="auto"/>
        <w:rPr>
          <w:rFonts w:ascii="Times New Roman" w:eastAsia="Times New Roman" w:hAnsi="Times New Roman" w:cs="Times New Roman"/>
          <w:color w:val="000000"/>
          <w:sz w:val="24"/>
          <w:szCs w:val="24"/>
          <w:lang w:eastAsia="en-GB"/>
        </w:rPr>
      </w:pPr>
      <w:r w:rsidRPr="00FD0F09">
        <w:rPr>
          <w:rFonts w:ascii="Times New Roman" w:eastAsia="Times New Roman" w:hAnsi="Times New Roman" w:cs="Times New Roman"/>
          <w:color w:val="000000"/>
          <w:sz w:val="24"/>
          <w:szCs w:val="24"/>
          <w:lang w:eastAsia="en-GB"/>
        </w:rPr>
        <w:t>[3] DMD adjusted; modelled as ‘DMD naïve vs. DMD exposed’</w:t>
      </w:r>
    </w:p>
    <w:p w:rsidR="00FD0F09" w:rsidRPr="00FD0F09" w:rsidRDefault="00FD0F09" w:rsidP="00FD0F09">
      <w:pPr>
        <w:spacing w:after="0" w:line="240" w:lineRule="auto"/>
        <w:rPr>
          <w:rFonts w:ascii="Times New Roman" w:eastAsia="Times New Roman" w:hAnsi="Times New Roman" w:cs="Times New Roman"/>
          <w:color w:val="000000"/>
          <w:sz w:val="24"/>
          <w:szCs w:val="24"/>
          <w:lang w:eastAsia="en-GB"/>
        </w:rPr>
      </w:pPr>
    </w:p>
    <w:p w:rsidR="00FD0F09" w:rsidRPr="00FD0F09" w:rsidRDefault="00FD0F09" w:rsidP="00FD0F09">
      <w:pPr>
        <w:spacing w:after="0" w:line="240" w:lineRule="auto"/>
        <w:rPr>
          <w:rFonts w:ascii="Times New Roman" w:eastAsia="Times New Roman" w:hAnsi="Times New Roman" w:cs="Times New Roman"/>
          <w:color w:val="000000"/>
          <w:sz w:val="24"/>
          <w:szCs w:val="24"/>
          <w:lang w:eastAsia="en-GB"/>
        </w:rPr>
      </w:pPr>
      <w:r w:rsidRPr="00FD0F09">
        <w:rPr>
          <w:rFonts w:ascii="Times New Roman" w:eastAsia="Times New Roman" w:hAnsi="Times New Roman" w:cs="Times New Roman"/>
          <w:color w:val="000000"/>
          <w:sz w:val="24"/>
          <w:szCs w:val="24"/>
          <w:lang w:eastAsia="en-GB"/>
        </w:rPr>
        <w:t>The beta coefficients represent changes in the immune marker for every unit increase in the gut microbiota measure</w:t>
      </w:r>
    </w:p>
    <w:p w:rsidR="00FD0F09" w:rsidRPr="00FD0F09" w:rsidRDefault="00FD0F09" w:rsidP="00FD0F09">
      <w:pPr>
        <w:spacing w:after="0" w:line="240" w:lineRule="auto"/>
        <w:rPr>
          <w:rFonts w:ascii="Times New Roman" w:eastAsia="Times New Roman" w:hAnsi="Times New Roman" w:cs="Times New Roman"/>
          <w:color w:val="000000"/>
          <w:sz w:val="24"/>
          <w:szCs w:val="24"/>
          <w:lang w:eastAsia="en-GB"/>
        </w:rPr>
      </w:pPr>
      <w:r w:rsidRPr="00FD0F09">
        <w:rPr>
          <w:rFonts w:ascii="Times New Roman" w:eastAsia="Times New Roman" w:hAnsi="Times New Roman" w:cs="Times New Roman"/>
          <w:color w:val="000000"/>
          <w:sz w:val="24"/>
          <w:szCs w:val="24"/>
          <w:lang w:eastAsia="en-GB"/>
        </w:rPr>
        <w:t xml:space="preserve">Selection of gut microbiota and blood immune markers was based on the univariate correlation coefficients from Tables 2 and 3. If (absolute) r&gt;0.5 and p&lt;0.05 (from Pearson’s correlation), see Appendix 1.2 for further details. Only findings (beta and 95%CIs) which reached significance after covariate adjustment (p&lt;0.05) in at least one of the models are shown. </w:t>
      </w:r>
    </w:p>
    <w:p w:rsidR="00FD0F09" w:rsidRPr="00FD0F09" w:rsidRDefault="00FD0F09" w:rsidP="00FD0F09">
      <w:pPr>
        <w:spacing w:after="0" w:line="240" w:lineRule="auto"/>
        <w:rPr>
          <w:rFonts w:ascii="Times New Roman" w:eastAsia="Times New Roman" w:hAnsi="Times New Roman" w:cs="Times New Roman"/>
          <w:color w:val="000000"/>
          <w:sz w:val="24"/>
          <w:szCs w:val="24"/>
          <w:lang w:eastAsia="en-GB"/>
        </w:rPr>
      </w:pPr>
    </w:p>
    <w:p w:rsidR="00FD0F09" w:rsidRPr="00FD0F09" w:rsidRDefault="00FD0F09" w:rsidP="00FD0F09">
      <w:pPr>
        <w:spacing w:after="0" w:line="240" w:lineRule="auto"/>
        <w:rPr>
          <w:rFonts w:ascii="Times New Roman" w:eastAsia="Calibri" w:hAnsi="Times New Roman" w:cs="Times New Roman"/>
          <w:sz w:val="24"/>
          <w:szCs w:val="24"/>
        </w:rPr>
      </w:pPr>
      <w:r w:rsidRPr="00FD0F09">
        <w:rPr>
          <w:rFonts w:ascii="Times New Roman" w:eastAsia="Calibri" w:hAnsi="Times New Roman" w:cs="Times New Roman"/>
          <w:sz w:val="24"/>
          <w:szCs w:val="24"/>
        </w:rPr>
        <w:t xml:space="preserve">None of the covariates used to adjust models remained as significant independent predictors (p&gt;0.05). </w:t>
      </w:r>
    </w:p>
    <w:p w:rsidR="00FD0F09" w:rsidRPr="00FD0F09" w:rsidRDefault="00FD0F09" w:rsidP="00FD0F09">
      <w:pPr>
        <w:spacing w:after="0" w:line="240" w:lineRule="auto"/>
        <w:rPr>
          <w:rFonts w:ascii="Times New Roman" w:eastAsia="Calibri" w:hAnsi="Times New Roman" w:cs="Times New Roman"/>
          <w:sz w:val="24"/>
          <w:szCs w:val="24"/>
        </w:rPr>
      </w:pPr>
    </w:p>
    <w:p w:rsidR="00FD0F09" w:rsidRPr="00FD0F09" w:rsidRDefault="00FD0F09" w:rsidP="00FD0F09">
      <w:pPr>
        <w:spacing w:after="0" w:line="240" w:lineRule="auto"/>
        <w:rPr>
          <w:rFonts w:ascii="Times New Roman" w:eastAsia="Calibri" w:hAnsi="Times New Roman" w:cs="Times New Roman"/>
          <w:sz w:val="24"/>
          <w:szCs w:val="24"/>
        </w:rPr>
      </w:pPr>
    </w:p>
    <w:p w:rsidR="00FD0F09" w:rsidRPr="00FD0F09" w:rsidRDefault="00FD0F09" w:rsidP="00FD0F09">
      <w:pPr>
        <w:spacing w:after="0" w:line="240" w:lineRule="auto"/>
        <w:rPr>
          <w:rFonts w:ascii="Times New Roman" w:eastAsia="Times New Roman" w:hAnsi="Times New Roman" w:cs="Times New Roman"/>
          <w:b/>
          <w:sz w:val="24"/>
          <w:szCs w:val="24"/>
        </w:rPr>
      </w:pPr>
      <w:r w:rsidRPr="00FD0F09">
        <w:rPr>
          <w:rFonts w:ascii="Times New Roman" w:eastAsia="Times New Roman" w:hAnsi="Times New Roman" w:cs="Times New Roman"/>
          <w:b/>
          <w:sz w:val="24"/>
          <w:szCs w:val="24"/>
        </w:rPr>
        <w:t xml:space="preserve">References related to Supplementary files </w:t>
      </w:r>
    </w:p>
    <w:p w:rsidR="00FD0F09" w:rsidRPr="00FD0F09" w:rsidRDefault="00FD0F09" w:rsidP="00FD0F09">
      <w:pPr>
        <w:spacing w:after="0" w:line="240" w:lineRule="auto"/>
        <w:rPr>
          <w:rFonts w:ascii="Times New Roman" w:eastAsia="Times New Roman" w:hAnsi="Times New Roman" w:cs="Times New Roman"/>
          <w:sz w:val="24"/>
          <w:szCs w:val="24"/>
        </w:rPr>
      </w:pPr>
      <w:r w:rsidRPr="00FD0F09">
        <w:rPr>
          <w:rFonts w:ascii="Times New Roman" w:eastAsia="Times New Roman" w:hAnsi="Times New Roman" w:cs="Times New Roman"/>
          <w:sz w:val="24"/>
          <w:szCs w:val="24"/>
        </w:rPr>
        <w:t>(Please see under main manuscript references)</w:t>
      </w:r>
    </w:p>
    <w:p w:rsidR="00FD0F09" w:rsidRPr="00FD0F09" w:rsidRDefault="00FD0F09" w:rsidP="00FD0F09">
      <w:pPr>
        <w:spacing w:after="0" w:line="240" w:lineRule="auto"/>
        <w:rPr>
          <w:rFonts w:ascii="Times New Roman" w:eastAsia="Times New Roman" w:hAnsi="Times New Roman" w:cs="Times New Roman"/>
          <w:sz w:val="24"/>
          <w:szCs w:val="24"/>
        </w:rPr>
      </w:pPr>
    </w:p>
    <w:p w:rsidR="00FD0F09" w:rsidRPr="00FD0F09" w:rsidRDefault="00FD0F09" w:rsidP="00FD0F09">
      <w:pPr>
        <w:spacing w:after="0" w:line="240" w:lineRule="auto"/>
        <w:rPr>
          <w:rFonts w:ascii="Times New Roman" w:eastAsia="Calibri" w:hAnsi="Times New Roman" w:cs="Times New Roman"/>
          <w:sz w:val="24"/>
          <w:szCs w:val="24"/>
        </w:rPr>
      </w:pPr>
    </w:p>
    <w:p w:rsidR="00F711D5" w:rsidRDefault="00F711D5"/>
    <w:sectPr w:rsidR="00F711D5" w:rsidSect="00433A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roman"/>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3F89"/>
    <w:multiLevelType w:val="multilevel"/>
    <w:tmpl w:val="694A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B1100"/>
    <w:multiLevelType w:val="multilevel"/>
    <w:tmpl w:val="C086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124EC"/>
    <w:multiLevelType w:val="hybridMultilevel"/>
    <w:tmpl w:val="C26C23A0"/>
    <w:lvl w:ilvl="0" w:tplc="FDB803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3010E0A"/>
    <w:multiLevelType w:val="hybridMultilevel"/>
    <w:tmpl w:val="8236B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E91E9C"/>
    <w:multiLevelType w:val="hybridMultilevel"/>
    <w:tmpl w:val="1C2C4878"/>
    <w:lvl w:ilvl="0" w:tplc="7DCEDEF0">
      <w:start w:val="1"/>
      <w:numFmt w:val="bullet"/>
      <w:lvlText w:val="•"/>
      <w:lvlJc w:val="left"/>
      <w:pPr>
        <w:tabs>
          <w:tab w:val="num" w:pos="720"/>
        </w:tabs>
        <w:ind w:left="720" w:hanging="360"/>
      </w:pPr>
      <w:rPr>
        <w:rFonts w:ascii="Arial" w:hAnsi="Arial" w:hint="default"/>
      </w:rPr>
    </w:lvl>
    <w:lvl w:ilvl="1" w:tplc="3D30AF0C" w:tentative="1">
      <w:start w:val="1"/>
      <w:numFmt w:val="bullet"/>
      <w:lvlText w:val="•"/>
      <w:lvlJc w:val="left"/>
      <w:pPr>
        <w:tabs>
          <w:tab w:val="num" w:pos="1440"/>
        </w:tabs>
        <w:ind w:left="1440" w:hanging="360"/>
      </w:pPr>
      <w:rPr>
        <w:rFonts w:ascii="Arial" w:hAnsi="Arial" w:hint="default"/>
      </w:rPr>
    </w:lvl>
    <w:lvl w:ilvl="2" w:tplc="F9FA7588" w:tentative="1">
      <w:start w:val="1"/>
      <w:numFmt w:val="bullet"/>
      <w:lvlText w:val="•"/>
      <w:lvlJc w:val="left"/>
      <w:pPr>
        <w:tabs>
          <w:tab w:val="num" w:pos="2160"/>
        </w:tabs>
        <w:ind w:left="2160" w:hanging="360"/>
      </w:pPr>
      <w:rPr>
        <w:rFonts w:ascii="Arial" w:hAnsi="Arial" w:hint="default"/>
      </w:rPr>
    </w:lvl>
    <w:lvl w:ilvl="3" w:tplc="87D6A014" w:tentative="1">
      <w:start w:val="1"/>
      <w:numFmt w:val="bullet"/>
      <w:lvlText w:val="•"/>
      <w:lvlJc w:val="left"/>
      <w:pPr>
        <w:tabs>
          <w:tab w:val="num" w:pos="2880"/>
        </w:tabs>
        <w:ind w:left="2880" w:hanging="360"/>
      </w:pPr>
      <w:rPr>
        <w:rFonts w:ascii="Arial" w:hAnsi="Arial" w:hint="default"/>
      </w:rPr>
    </w:lvl>
    <w:lvl w:ilvl="4" w:tplc="C3FE9502" w:tentative="1">
      <w:start w:val="1"/>
      <w:numFmt w:val="bullet"/>
      <w:lvlText w:val="•"/>
      <w:lvlJc w:val="left"/>
      <w:pPr>
        <w:tabs>
          <w:tab w:val="num" w:pos="3600"/>
        </w:tabs>
        <w:ind w:left="3600" w:hanging="360"/>
      </w:pPr>
      <w:rPr>
        <w:rFonts w:ascii="Arial" w:hAnsi="Arial" w:hint="default"/>
      </w:rPr>
    </w:lvl>
    <w:lvl w:ilvl="5" w:tplc="1CE047C0" w:tentative="1">
      <w:start w:val="1"/>
      <w:numFmt w:val="bullet"/>
      <w:lvlText w:val="•"/>
      <w:lvlJc w:val="left"/>
      <w:pPr>
        <w:tabs>
          <w:tab w:val="num" w:pos="4320"/>
        </w:tabs>
        <w:ind w:left="4320" w:hanging="360"/>
      </w:pPr>
      <w:rPr>
        <w:rFonts w:ascii="Arial" w:hAnsi="Arial" w:hint="default"/>
      </w:rPr>
    </w:lvl>
    <w:lvl w:ilvl="6" w:tplc="F86015A6" w:tentative="1">
      <w:start w:val="1"/>
      <w:numFmt w:val="bullet"/>
      <w:lvlText w:val="•"/>
      <w:lvlJc w:val="left"/>
      <w:pPr>
        <w:tabs>
          <w:tab w:val="num" w:pos="5040"/>
        </w:tabs>
        <w:ind w:left="5040" w:hanging="360"/>
      </w:pPr>
      <w:rPr>
        <w:rFonts w:ascii="Arial" w:hAnsi="Arial" w:hint="default"/>
      </w:rPr>
    </w:lvl>
    <w:lvl w:ilvl="7" w:tplc="DED2C1BE" w:tentative="1">
      <w:start w:val="1"/>
      <w:numFmt w:val="bullet"/>
      <w:lvlText w:val="•"/>
      <w:lvlJc w:val="left"/>
      <w:pPr>
        <w:tabs>
          <w:tab w:val="num" w:pos="5760"/>
        </w:tabs>
        <w:ind w:left="5760" w:hanging="360"/>
      </w:pPr>
      <w:rPr>
        <w:rFonts w:ascii="Arial" w:hAnsi="Arial" w:hint="default"/>
      </w:rPr>
    </w:lvl>
    <w:lvl w:ilvl="8" w:tplc="3FB20966" w:tentative="1">
      <w:start w:val="1"/>
      <w:numFmt w:val="bullet"/>
      <w:lvlText w:val="•"/>
      <w:lvlJc w:val="left"/>
      <w:pPr>
        <w:tabs>
          <w:tab w:val="num" w:pos="6480"/>
        </w:tabs>
        <w:ind w:left="6480" w:hanging="360"/>
      </w:pPr>
      <w:rPr>
        <w:rFonts w:ascii="Arial" w:hAnsi="Arial" w:hint="default"/>
      </w:rPr>
    </w:lvl>
  </w:abstractNum>
  <w:abstractNum w:abstractNumId="5">
    <w:nsid w:val="2A1B79B5"/>
    <w:multiLevelType w:val="hybridMultilevel"/>
    <w:tmpl w:val="7E0E3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1B43CD"/>
    <w:multiLevelType w:val="hybridMultilevel"/>
    <w:tmpl w:val="D1427B7E"/>
    <w:lvl w:ilvl="0" w:tplc="58F2D34E">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3728EE"/>
    <w:multiLevelType w:val="hybridMultilevel"/>
    <w:tmpl w:val="1AAA3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465E6E"/>
    <w:multiLevelType w:val="hybridMultilevel"/>
    <w:tmpl w:val="CDFE200C"/>
    <w:lvl w:ilvl="0" w:tplc="F432A970">
      <w:start w:val="1"/>
      <w:numFmt w:val="bullet"/>
      <w:lvlText w:val="•"/>
      <w:lvlJc w:val="left"/>
      <w:pPr>
        <w:tabs>
          <w:tab w:val="num" w:pos="720"/>
        </w:tabs>
        <w:ind w:left="720" w:hanging="360"/>
      </w:pPr>
      <w:rPr>
        <w:rFonts w:ascii="Arial" w:hAnsi="Arial" w:hint="default"/>
      </w:rPr>
    </w:lvl>
    <w:lvl w:ilvl="1" w:tplc="A11296FC" w:tentative="1">
      <w:start w:val="1"/>
      <w:numFmt w:val="bullet"/>
      <w:lvlText w:val="•"/>
      <w:lvlJc w:val="left"/>
      <w:pPr>
        <w:tabs>
          <w:tab w:val="num" w:pos="1440"/>
        </w:tabs>
        <w:ind w:left="1440" w:hanging="360"/>
      </w:pPr>
      <w:rPr>
        <w:rFonts w:ascii="Arial" w:hAnsi="Arial" w:hint="default"/>
      </w:rPr>
    </w:lvl>
    <w:lvl w:ilvl="2" w:tplc="B4ACD204" w:tentative="1">
      <w:start w:val="1"/>
      <w:numFmt w:val="bullet"/>
      <w:lvlText w:val="•"/>
      <w:lvlJc w:val="left"/>
      <w:pPr>
        <w:tabs>
          <w:tab w:val="num" w:pos="2160"/>
        </w:tabs>
        <w:ind w:left="2160" w:hanging="360"/>
      </w:pPr>
      <w:rPr>
        <w:rFonts w:ascii="Arial" w:hAnsi="Arial" w:hint="default"/>
      </w:rPr>
    </w:lvl>
    <w:lvl w:ilvl="3" w:tplc="6B0282C6" w:tentative="1">
      <w:start w:val="1"/>
      <w:numFmt w:val="bullet"/>
      <w:lvlText w:val="•"/>
      <w:lvlJc w:val="left"/>
      <w:pPr>
        <w:tabs>
          <w:tab w:val="num" w:pos="2880"/>
        </w:tabs>
        <w:ind w:left="2880" w:hanging="360"/>
      </w:pPr>
      <w:rPr>
        <w:rFonts w:ascii="Arial" w:hAnsi="Arial" w:hint="default"/>
      </w:rPr>
    </w:lvl>
    <w:lvl w:ilvl="4" w:tplc="73D42148" w:tentative="1">
      <w:start w:val="1"/>
      <w:numFmt w:val="bullet"/>
      <w:lvlText w:val="•"/>
      <w:lvlJc w:val="left"/>
      <w:pPr>
        <w:tabs>
          <w:tab w:val="num" w:pos="3600"/>
        </w:tabs>
        <w:ind w:left="3600" w:hanging="360"/>
      </w:pPr>
      <w:rPr>
        <w:rFonts w:ascii="Arial" w:hAnsi="Arial" w:hint="default"/>
      </w:rPr>
    </w:lvl>
    <w:lvl w:ilvl="5" w:tplc="48F41032" w:tentative="1">
      <w:start w:val="1"/>
      <w:numFmt w:val="bullet"/>
      <w:lvlText w:val="•"/>
      <w:lvlJc w:val="left"/>
      <w:pPr>
        <w:tabs>
          <w:tab w:val="num" w:pos="4320"/>
        </w:tabs>
        <w:ind w:left="4320" w:hanging="360"/>
      </w:pPr>
      <w:rPr>
        <w:rFonts w:ascii="Arial" w:hAnsi="Arial" w:hint="default"/>
      </w:rPr>
    </w:lvl>
    <w:lvl w:ilvl="6" w:tplc="B9521B1A" w:tentative="1">
      <w:start w:val="1"/>
      <w:numFmt w:val="bullet"/>
      <w:lvlText w:val="•"/>
      <w:lvlJc w:val="left"/>
      <w:pPr>
        <w:tabs>
          <w:tab w:val="num" w:pos="5040"/>
        </w:tabs>
        <w:ind w:left="5040" w:hanging="360"/>
      </w:pPr>
      <w:rPr>
        <w:rFonts w:ascii="Arial" w:hAnsi="Arial" w:hint="default"/>
      </w:rPr>
    </w:lvl>
    <w:lvl w:ilvl="7" w:tplc="2A2C2BB0" w:tentative="1">
      <w:start w:val="1"/>
      <w:numFmt w:val="bullet"/>
      <w:lvlText w:val="•"/>
      <w:lvlJc w:val="left"/>
      <w:pPr>
        <w:tabs>
          <w:tab w:val="num" w:pos="5760"/>
        </w:tabs>
        <w:ind w:left="5760" w:hanging="360"/>
      </w:pPr>
      <w:rPr>
        <w:rFonts w:ascii="Arial" w:hAnsi="Arial" w:hint="default"/>
      </w:rPr>
    </w:lvl>
    <w:lvl w:ilvl="8" w:tplc="80AE1D4C" w:tentative="1">
      <w:start w:val="1"/>
      <w:numFmt w:val="bullet"/>
      <w:lvlText w:val="•"/>
      <w:lvlJc w:val="left"/>
      <w:pPr>
        <w:tabs>
          <w:tab w:val="num" w:pos="6480"/>
        </w:tabs>
        <w:ind w:left="6480" w:hanging="360"/>
      </w:pPr>
      <w:rPr>
        <w:rFonts w:ascii="Arial" w:hAnsi="Arial" w:hint="default"/>
      </w:rPr>
    </w:lvl>
  </w:abstractNum>
  <w:abstractNum w:abstractNumId="9">
    <w:nsid w:val="5B0639C8"/>
    <w:multiLevelType w:val="hybridMultilevel"/>
    <w:tmpl w:val="B0702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642D90"/>
    <w:multiLevelType w:val="hybridMultilevel"/>
    <w:tmpl w:val="2CDC5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6103F8"/>
    <w:multiLevelType w:val="hybridMultilevel"/>
    <w:tmpl w:val="EAD46128"/>
    <w:lvl w:ilvl="0" w:tplc="B6929A2C">
      <w:start w:val="1"/>
      <w:numFmt w:val="bullet"/>
      <w:lvlText w:val="•"/>
      <w:lvlJc w:val="left"/>
      <w:pPr>
        <w:tabs>
          <w:tab w:val="num" w:pos="720"/>
        </w:tabs>
        <w:ind w:left="720" w:hanging="360"/>
      </w:pPr>
      <w:rPr>
        <w:rFonts w:ascii="Arial" w:hAnsi="Arial" w:hint="default"/>
      </w:rPr>
    </w:lvl>
    <w:lvl w:ilvl="1" w:tplc="05B2F502" w:tentative="1">
      <w:start w:val="1"/>
      <w:numFmt w:val="bullet"/>
      <w:lvlText w:val="•"/>
      <w:lvlJc w:val="left"/>
      <w:pPr>
        <w:tabs>
          <w:tab w:val="num" w:pos="1440"/>
        </w:tabs>
        <w:ind w:left="1440" w:hanging="360"/>
      </w:pPr>
      <w:rPr>
        <w:rFonts w:ascii="Arial" w:hAnsi="Arial" w:hint="default"/>
      </w:rPr>
    </w:lvl>
    <w:lvl w:ilvl="2" w:tplc="D29AEE7A" w:tentative="1">
      <w:start w:val="1"/>
      <w:numFmt w:val="bullet"/>
      <w:lvlText w:val="•"/>
      <w:lvlJc w:val="left"/>
      <w:pPr>
        <w:tabs>
          <w:tab w:val="num" w:pos="2160"/>
        </w:tabs>
        <w:ind w:left="2160" w:hanging="360"/>
      </w:pPr>
      <w:rPr>
        <w:rFonts w:ascii="Arial" w:hAnsi="Arial" w:hint="default"/>
      </w:rPr>
    </w:lvl>
    <w:lvl w:ilvl="3" w:tplc="776CDB6A" w:tentative="1">
      <w:start w:val="1"/>
      <w:numFmt w:val="bullet"/>
      <w:lvlText w:val="•"/>
      <w:lvlJc w:val="left"/>
      <w:pPr>
        <w:tabs>
          <w:tab w:val="num" w:pos="2880"/>
        </w:tabs>
        <w:ind w:left="2880" w:hanging="360"/>
      </w:pPr>
      <w:rPr>
        <w:rFonts w:ascii="Arial" w:hAnsi="Arial" w:hint="default"/>
      </w:rPr>
    </w:lvl>
    <w:lvl w:ilvl="4" w:tplc="EE22282A" w:tentative="1">
      <w:start w:val="1"/>
      <w:numFmt w:val="bullet"/>
      <w:lvlText w:val="•"/>
      <w:lvlJc w:val="left"/>
      <w:pPr>
        <w:tabs>
          <w:tab w:val="num" w:pos="3600"/>
        </w:tabs>
        <w:ind w:left="3600" w:hanging="360"/>
      </w:pPr>
      <w:rPr>
        <w:rFonts w:ascii="Arial" w:hAnsi="Arial" w:hint="default"/>
      </w:rPr>
    </w:lvl>
    <w:lvl w:ilvl="5" w:tplc="3DEA9A80" w:tentative="1">
      <w:start w:val="1"/>
      <w:numFmt w:val="bullet"/>
      <w:lvlText w:val="•"/>
      <w:lvlJc w:val="left"/>
      <w:pPr>
        <w:tabs>
          <w:tab w:val="num" w:pos="4320"/>
        </w:tabs>
        <w:ind w:left="4320" w:hanging="360"/>
      </w:pPr>
      <w:rPr>
        <w:rFonts w:ascii="Arial" w:hAnsi="Arial" w:hint="default"/>
      </w:rPr>
    </w:lvl>
    <w:lvl w:ilvl="6" w:tplc="C122BF20" w:tentative="1">
      <w:start w:val="1"/>
      <w:numFmt w:val="bullet"/>
      <w:lvlText w:val="•"/>
      <w:lvlJc w:val="left"/>
      <w:pPr>
        <w:tabs>
          <w:tab w:val="num" w:pos="5040"/>
        </w:tabs>
        <w:ind w:left="5040" w:hanging="360"/>
      </w:pPr>
      <w:rPr>
        <w:rFonts w:ascii="Arial" w:hAnsi="Arial" w:hint="default"/>
      </w:rPr>
    </w:lvl>
    <w:lvl w:ilvl="7" w:tplc="C91A5F74" w:tentative="1">
      <w:start w:val="1"/>
      <w:numFmt w:val="bullet"/>
      <w:lvlText w:val="•"/>
      <w:lvlJc w:val="left"/>
      <w:pPr>
        <w:tabs>
          <w:tab w:val="num" w:pos="5760"/>
        </w:tabs>
        <w:ind w:left="5760" w:hanging="360"/>
      </w:pPr>
      <w:rPr>
        <w:rFonts w:ascii="Arial" w:hAnsi="Arial" w:hint="default"/>
      </w:rPr>
    </w:lvl>
    <w:lvl w:ilvl="8" w:tplc="4A086F24" w:tentative="1">
      <w:start w:val="1"/>
      <w:numFmt w:val="bullet"/>
      <w:lvlText w:val="•"/>
      <w:lvlJc w:val="left"/>
      <w:pPr>
        <w:tabs>
          <w:tab w:val="num" w:pos="6480"/>
        </w:tabs>
        <w:ind w:left="6480" w:hanging="360"/>
      </w:pPr>
      <w:rPr>
        <w:rFonts w:ascii="Arial" w:hAnsi="Arial" w:hint="default"/>
      </w:rPr>
    </w:lvl>
  </w:abstractNum>
  <w:abstractNum w:abstractNumId="12">
    <w:nsid w:val="5FE403BD"/>
    <w:multiLevelType w:val="multilevel"/>
    <w:tmpl w:val="0CD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ED21B4"/>
    <w:multiLevelType w:val="hybridMultilevel"/>
    <w:tmpl w:val="A83EE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E040FD"/>
    <w:multiLevelType w:val="hybridMultilevel"/>
    <w:tmpl w:val="1DAE2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C64675"/>
    <w:multiLevelType w:val="hybridMultilevel"/>
    <w:tmpl w:val="1DAE2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7A268A"/>
    <w:multiLevelType w:val="hybridMultilevel"/>
    <w:tmpl w:val="A7DC3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F610449"/>
    <w:multiLevelType w:val="hybridMultilevel"/>
    <w:tmpl w:val="D20E084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5"/>
  </w:num>
  <w:num w:numId="5">
    <w:abstractNumId w:val="7"/>
  </w:num>
  <w:num w:numId="6">
    <w:abstractNumId w:val="15"/>
  </w:num>
  <w:num w:numId="7">
    <w:abstractNumId w:val="14"/>
  </w:num>
  <w:num w:numId="8">
    <w:abstractNumId w:val="9"/>
  </w:num>
  <w:num w:numId="9">
    <w:abstractNumId w:val="2"/>
  </w:num>
  <w:num w:numId="10">
    <w:abstractNumId w:val="4"/>
  </w:num>
  <w:num w:numId="11">
    <w:abstractNumId w:val="17"/>
  </w:num>
  <w:num w:numId="12">
    <w:abstractNumId w:val="16"/>
  </w:num>
  <w:num w:numId="13">
    <w:abstractNumId w:val="3"/>
  </w:num>
  <w:num w:numId="14">
    <w:abstractNumId w:val="13"/>
  </w:num>
  <w:num w:numId="15">
    <w:abstractNumId w:val="0"/>
  </w:num>
  <w:num w:numId="16">
    <w:abstractNumId w:val="1"/>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Total_Editing_Time" w:val="3"/>
  </w:docVars>
  <w:rsids>
    <w:rsidRoot w:val="00FD0F09"/>
    <w:rsid w:val="00693CE0"/>
    <w:rsid w:val="00CC0BE4"/>
    <w:rsid w:val="00E06CEC"/>
    <w:rsid w:val="00E16291"/>
    <w:rsid w:val="00F711D5"/>
    <w:rsid w:val="00FD0F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E0"/>
  </w:style>
  <w:style w:type="paragraph" w:styleId="Heading1">
    <w:name w:val="heading 1"/>
    <w:basedOn w:val="Normal"/>
    <w:next w:val="Normal"/>
    <w:link w:val="Heading1Char"/>
    <w:uiPriority w:val="9"/>
    <w:qFormat/>
    <w:rsid w:val="00FD0F09"/>
    <w:pPr>
      <w:keepNext/>
      <w:keepLines/>
      <w:spacing w:before="24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FD0F09"/>
    <w:pPr>
      <w:keepNext/>
      <w:keepLines/>
      <w:spacing w:before="4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FD0F09"/>
    <w:pPr>
      <w:keepNext/>
      <w:keepLines/>
      <w:spacing w:before="4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D0F09"/>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FD0F09"/>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qFormat/>
    <w:rsid w:val="00FD0F09"/>
    <w:pPr>
      <w:keepNext/>
      <w:keepLines/>
      <w:spacing w:before="200" w:after="0" w:line="276" w:lineRule="auto"/>
      <w:outlineLvl w:val="2"/>
    </w:pPr>
    <w:rPr>
      <w:rFonts w:ascii="Cambria" w:eastAsia="Times New Roman" w:hAnsi="Cambria" w:cs="Times New Roman"/>
      <w:b/>
      <w:bCs/>
      <w:color w:val="4F81BD"/>
    </w:rPr>
  </w:style>
  <w:style w:type="numbering" w:customStyle="1" w:styleId="NoList1">
    <w:name w:val="No List1"/>
    <w:next w:val="NoList"/>
    <w:uiPriority w:val="99"/>
    <w:semiHidden/>
    <w:unhideWhenUsed/>
    <w:rsid w:val="00FD0F09"/>
  </w:style>
  <w:style w:type="character" w:customStyle="1" w:styleId="Heading1Char">
    <w:name w:val="Heading 1 Char"/>
    <w:basedOn w:val="DefaultParagraphFont"/>
    <w:link w:val="Heading1"/>
    <w:uiPriority w:val="9"/>
    <w:rsid w:val="00FD0F09"/>
    <w:rPr>
      <w:rFonts w:ascii="Cambria" w:eastAsia="Times New Roman" w:hAnsi="Cambria" w:cs="Times New Roman"/>
      <w:b/>
      <w:bCs/>
      <w:color w:val="365F91"/>
      <w:sz w:val="28"/>
      <w:szCs w:val="28"/>
      <w:lang w:val="en-CA"/>
    </w:rPr>
  </w:style>
  <w:style w:type="character" w:customStyle="1" w:styleId="Heading2Char">
    <w:name w:val="Heading 2 Char"/>
    <w:basedOn w:val="DefaultParagraphFont"/>
    <w:link w:val="Heading2"/>
    <w:uiPriority w:val="9"/>
    <w:rsid w:val="00FD0F09"/>
    <w:rPr>
      <w:rFonts w:ascii="Cambria" w:eastAsia="Times New Roman" w:hAnsi="Cambria" w:cs="Times New Roman"/>
      <w:b/>
      <w:bCs/>
      <w:sz w:val="26"/>
      <w:szCs w:val="26"/>
      <w:lang w:val="en-CA"/>
    </w:rPr>
  </w:style>
  <w:style w:type="character" w:customStyle="1" w:styleId="Heading3Char">
    <w:name w:val="Heading 3 Char"/>
    <w:basedOn w:val="DefaultParagraphFont"/>
    <w:link w:val="Heading3"/>
    <w:uiPriority w:val="9"/>
    <w:rsid w:val="00FD0F09"/>
    <w:rPr>
      <w:rFonts w:ascii="Cambria" w:eastAsia="Times New Roman" w:hAnsi="Cambria" w:cs="Times New Roman"/>
      <w:b/>
      <w:bCs/>
      <w:color w:val="4F81BD"/>
      <w:lang w:val="en-CA"/>
    </w:rPr>
  </w:style>
  <w:style w:type="character" w:styleId="Strong">
    <w:name w:val="Strong"/>
    <w:uiPriority w:val="22"/>
    <w:qFormat/>
    <w:rsid w:val="00FD0F09"/>
    <w:rPr>
      <w:b/>
      <w:bCs/>
    </w:rPr>
  </w:style>
  <w:style w:type="table" w:customStyle="1" w:styleId="TableGrid1">
    <w:name w:val="Table Grid1"/>
    <w:basedOn w:val="TableNormal"/>
    <w:next w:val="TableGrid"/>
    <w:uiPriority w:val="59"/>
    <w:rsid w:val="00FD0F09"/>
    <w:pPr>
      <w:spacing w:after="0" w:line="240"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uiPriority w:val="34"/>
    <w:qFormat/>
    <w:rsid w:val="00FD0F09"/>
    <w:pPr>
      <w:spacing w:after="200" w:line="276" w:lineRule="auto"/>
      <w:ind w:left="720"/>
      <w:contextualSpacing/>
    </w:pPr>
  </w:style>
  <w:style w:type="paragraph" w:customStyle="1" w:styleId="BalloonText1">
    <w:name w:val="Balloon Text1"/>
    <w:basedOn w:val="Normal"/>
    <w:next w:val="BalloonText"/>
    <w:link w:val="BalloonTextChar"/>
    <w:uiPriority w:val="99"/>
    <w:semiHidden/>
    <w:unhideWhenUsed/>
    <w:rsid w:val="00FD0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FD0F09"/>
    <w:rPr>
      <w:rFonts w:ascii="Tahoma" w:hAnsi="Tahoma" w:cs="Tahoma"/>
      <w:sz w:val="16"/>
      <w:szCs w:val="16"/>
      <w:lang w:val="en-CA"/>
    </w:rPr>
  </w:style>
  <w:style w:type="character" w:styleId="CommentReference">
    <w:name w:val="annotation reference"/>
    <w:basedOn w:val="DefaultParagraphFont"/>
    <w:uiPriority w:val="99"/>
    <w:unhideWhenUsed/>
    <w:rsid w:val="00FD0F09"/>
    <w:rPr>
      <w:sz w:val="16"/>
      <w:szCs w:val="16"/>
    </w:rPr>
  </w:style>
  <w:style w:type="paragraph" w:customStyle="1" w:styleId="CommentText1">
    <w:name w:val="Comment Text1"/>
    <w:basedOn w:val="Normal"/>
    <w:next w:val="CommentText"/>
    <w:link w:val="CommentTextChar"/>
    <w:uiPriority w:val="99"/>
    <w:unhideWhenUsed/>
    <w:rsid w:val="00FD0F09"/>
    <w:pPr>
      <w:spacing w:after="200" w:line="240" w:lineRule="auto"/>
    </w:pPr>
    <w:rPr>
      <w:sz w:val="20"/>
      <w:szCs w:val="20"/>
    </w:rPr>
  </w:style>
  <w:style w:type="character" w:customStyle="1" w:styleId="CommentTextChar">
    <w:name w:val="Comment Text Char"/>
    <w:basedOn w:val="DefaultParagraphFont"/>
    <w:link w:val="CommentText1"/>
    <w:uiPriority w:val="99"/>
    <w:rsid w:val="00FD0F09"/>
    <w:rPr>
      <w:sz w:val="20"/>
      <w:szCs w:val="20"/>
      <w:lang w:val="en-CA"/>
    </w:rPr>
  </w:style>
  <w:style w:type="paragraph" w:customStyle="1" w:styleId="CommentSubject1">
    <w:name w:val="Comment Subject1"/>
    <w:basedOn w:val="CommentText"/>
    <w:next w:val="CommentText"/>
    <w:uiPriority w:val="99"/>
    <w:semiHidden/>
    <w:unhideWhenUsed/>
    <w:rsid w:val="00FD0F09"/>
    <w:pPr>
      <w:spacing w:after="200"/>
    </w:pPr>
    <w:rPr>
      <w:b/>
      <w:bCs/>
    </w:rPr>
  </w:style>
  <w:style w:type="character" w:customStyle="1" w:styleId="CommentSubjectChar">
    <w:name w:val="Comment Subject Char"/>
    <w:basedOn w:val="CommentTextChar"/>
    <w:link w:val="CommentSubject"/>
    <w:uiPriority w:val="99"/>
    <w:semiHidden/>
    <w:rsid w:val="00FD0F09"/>
    <w:rPr>
      <w:b/>
      <w:bCs/>
      <w:sz w:val="20"/>
      <w:szCs w:val="20"/>
      <w:lang w:val="en-CA"/>
    </w:rPr>
  </w:style>
  <w:style w:type="table" w:customStyle="1" w:styleId="LightList1">
    <w:name w:val="Light List1"/>
    <w:basedOn w:val="TableNormal"/>
    <w:next w:val="LightList"/>
    <w:uiPriority w:val="61"/>
    <w:rsid w:val="00FD0F09"/>
    <w:pPr>
      <w:spacing w:after="0" w:line="240"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basedOn w:val="DefaultParagraphFont"/>
    <w:rsid w:val="00FD0F09"/>
  </w:style>
  <w:style w:type="character" w:customStyle="1" w:styleId="Hyperlink1">
    <w:name w:val="Hyperlink1"/>
    <w:basedOn w:val="DefaultParagraphFont"/>
    <w:uiPriority w:val="99"/>
    <w:unhideWhenUsed/>
    <w:rsid w:val="00FD0F09"/>
    <w:rPr>
      <w:color w:val="0000FF"/>
      <w:u w:val="single"/>
    </w:rPr>
  </w:style>
  <w:style w:type="paragraph" w:styleId="NormalWeb">
    <w:name w:val="Normal (Web)"/>
    <w:basedOn w:val="Normal"/>
    <w:uiPriority w:val="99"/>
    <w:rsid w:val="00FD0F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1">
    <w:name w:val="Title1"/>
    <w:basedOn w:val="Normal"/>
    <w:rsid w:val="00FD0F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FD0F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FD0F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FD0F09"/>
  </w:style>
  <w:style w:type="paragraph" w:customStyle="1" w:styleId="EndNoteBibliography">
    <w:name w:val="EndNote Bibliography"/>
    <w:basedOn w:val="Normal"/>
    <w:link w:val="EndNoteBibliographyChar"/>
    <w:rsid w:val="00FD0F09"/>
    <w:pPr>
      <w:spacing w:after="200" w:line="240" w:lineRule="auto"/>
    </w:pPr>
    <w:rPr>
      <w:rFonts w:ascii="Calibri" w:eastAsia="Times New Roman" w:hAnsi="Calibri" w:cs="Calibri"/>
      <w:noProof/>
      <w:lang w:val="en-US"/>
    </w:rPr>
  </w:style>
  <w:style w:type="character" w:customStyle="1" w:styleId="EndNoteBibliographyChar">
    <w:name w:val="EndNote Bibliography Char"/>
    <w:basedOn w:val="DefaultParagraphFont"/>
    <w:link w:val="EndNoteBibliography"/>
    <w:rsid w:val="00FD0F09"/>
    <w:rPr>
      <w:rFonts w:ascii="Calibri" w:eastAsia="Times New Roman" w:hAnsi="Calibri" w:cs="Calibri"/>
      <w:noProof/>
      <w:lang w:val="en-US"/>
    </w:rPr>
  </w:style>
  <w:style w:type="paragraph" w:customStyle="1" w:styleId="wordwrap">
    <w:name w:val="wordwrap"/>
    <w:basedOn w:val="Normal"/>
    <w:rsid w:val="00FD0F09"/>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Revision1">
    <w:name w:val="Revision1"/>
    <w:next w:val="Revision"/>
    <w:hidden/>
    <w:uiPriority w:val="99"/>
    <w:semiHidden/>
    <w:rsid w:val="00FD0F09"/>
    <w:pPr>
      <w:spacing w:after="0" w:line="240" w:lineRule="auto"/>
    </w:pPr>
    <w:rPr>
      <w:lang w:val="en-GB"/>
    </w:rPr>
  </w:style>
  <w:style w:type="character" w:customStyle="1" w:styleId="ref-journal">
    <w:name w:val="ref-journal"/>
    <w:rsid w:val="00FD0F09"/>
  </w:style>
  <w:style w:type="table" w:customStyle="1" w:styleId="TableGrid11">
    <w:name w:val="Table Grid11"/>
    <w:basedOn w:val="TableNormal"/>
    <w:next w:val="TableGrid"/>
    <w:uiPriority w:val="59"/>
    <w:rsid w:val="00FD0F09"/>
    <w:pPr>
      <w:spacing w:after="0" w:line="240" w:lineRule="auto"/>
    </w:pPr>
    <w:rPr>
      <w:rFonts w:eastAsia="Times New Roman"/>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uiPriority w:val="39"/>
    <w:rsid w:val="00FD0F09"/>
    <w:pPr>
      <w:spacing w:after="0" w:line="240" w:lineRule="auto"/>
      <w:ind w:left="1200"/>
    </w:pPr>
    <w:rPr>
      <w:rFonts w:ascii="Times New Roman" w:eastAsia="Times New Roman" w:hAnsi="Times New Roman" w:cs="Times New Roman"/>
      <w:sz w:val="18"/>
      <w:szCs w:val="20"/>
    </w:rPr>
  </w:style>
  <w:style w:type="paragraph" w:customStyle="1" w:styleId="H3">
    <w:name w:val="H3"/>
    <w:basedOn w:val="Normal"/>
    <w:next w:val="Normal"/>
    <w:rsid w:val="00FD0F09"/>
    <w:pPr>
      <w:keepNext/>
      <w:spacing w:before="100" w:after="100" w:line="240" w:lineRule="auto"/>
      <w:outlineLvl w:val="3"/>
    </w:pPr>
    <w:rPr>
      <w:rFonts w:ascii="Times New Roman" w:eastAsia="Times New Roman" w:hAnsi="Times New Roman" w:cs="Times New Roman"/>
      <w:b/>
      <w:snapToGrid w:val="0"/>
      <w:sz w:val="28"/>
      <w:szCs w:val="20"/>
    </w:rPr>
  </w:style>
  <w:style w:type="paragraph" w:customStyle="1" w:styleId="Title17">
    <w:name w:val="Title17"/>
    <w:basedOn w:val="Normal"/>
    <w:rsid w:val="00FD0F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olissue">
    <w:name w:val="volissue"/>
    <w:basedOn w:val="Normal"/>
    <w:rsid w:val="00FD0F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FD0F09"/>
  </w:style>
  <w:style w:type="character" w:customStyle="1" w:styleId="comma">
    <w:name w:val="comma"/>
    <w:basedOn w:val="DefaultParagraphFont"/>
    <w:rsid w:val="00FD0F09"/>
  </w:style>
  <w:style w:type="character" w:styleId="HTMLCite">
    <w:name w:val="HTML Cite"/>
    <w:basedOn w:val="DefaultParagraphFont"/>
    <w:uiPriority w:val="99"/>
    <w:semiHidden/>
    <w:unhideWhenUsed/>
    <w:rsid w:val="00FD0F09"/>
    <w:rPr>
      <w:i/>
      <w:iCs/>
    </w:rPr>
  </w:style>
  <w:style w:type="character" w:customStyle="1" w:styleId="fipmark">
    <w:name w:val="fip_mark"/>
    <w:basedOn w:val="DefaultParagraphFont"/>
    <w:rsid w:val="00FD0F09"/>
  </w:style>
  <w:style w:type="character" w:customStyle="1" w:styleId="ref-vol">
    <w:name w:val="ref-vol"/>
    <w:basedOn w:val="DefaultParagraphFont"/>
    <w:rsid w:val="00FD0F09"/>
  </w:style>
  <w:style w:type="character" w:customStyle="1" w:styleId="nowrap">
    <w:name w:val="nowrap"/>
    <w:basedOn w:val="DefaultParagraphFont"/>
    <w:rsid w:val="00FD0F09"/>
  </w:style>
  <w:style w:type="character" w:customStyle="1" w:styleId="highlight">
    <w:name w:val="highlight"/>
    <w:basedOn w:val="DefaultParagraphFont"/>
    <w:rsid w:val="00FD0F09"/>
  </w:style>
  <w:style w:type="character" w:customStyle="1" w:styleId="ui-ncbitoggler-master-text">
    <w:name w:val="ui-ncbitoggler-master-text"/>
    <w:basedOn w:val="DefaultParagraphFont"/>
    <w:rsid w:val="00FD0F09"/>
  </w:style>
  <w:style w:type="paragraph" w:customStyle="1" w:styleId="EndNoteBibliographyTitle">
    <w:name w:val="EndNote Bibliography Title"/>
    <w:basedOn w:val="Normal"/>
    <w:link w:val="EndNoteBibliographyTitleChar"/>
    <w:rsid w:val="00FD0F09"/>
    <w:pPr>
      <w:spacing w:after="0" w:line="276"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D0F09"/>
    <w:rPr>
      <w:rFonts w:ascii="Calibri" w:hAnsi="Calibri" w:cs="Calibri"/>
      <w:noProof/>
      <w:lang w:val="en-US"/>
    </w:rPr>
  </w:style>
  <w:style w:type="character" w:customStyle="1" w:styleId="IntenseEmphasis1">
    <w:name w:val="Intense Emphasis1"/>
    <w:basedOn w:val="DefaultParagraphFont"/>
    <w:uiPriority w:val="21"/>
    <w:qFormat/>
    <w:rsid w:val="00FD0F09"/>
    <w:rPr>
      <w:i/>
      <w:iCs/>
      <w:color w:val="4F81BD"/>
    </w:rPr>
  </w:style>
  <w:style w:type="character" w:customStyle="1" w:styleId="Heading1Char1">
    <w:name w:val="Heading 1 Char1"/>
    <w:basedOn w:val="DefaultParagraphFont"/>
    <w:link w:val="Heading1"/>
    <w:uiPriority w:val="9"/>
    <w:rsid w:val="00FD0F09"/>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link w:val="Heading2"/>
    <w:uiPriority w:val="9"/>
    <w:semiHidden/>
    <w:rsid w:val="00FD0F09"/>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link w:val="Heading3"/>
    <w:uiPriority w:val="9"/>
    <w:semiHidden/>
    <w:rsid w:val="00FD0F0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D0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0F09"/>
    <w:pPr>
      <w:ind w:left="720"/>
      <w:contextualSpacing/>
    </w:pPr>
  </w:style>
  <w:style w:type="paragraph" w:styleId="BalloonText">
    <w:name w:val="Balloon Text"/>
    <w:basedOn w:val="Normal"/>
    <w:link w:val="BalloonTextChar1"/>
    <w:uiPriority w:val="99"/>
    <w:semiHidden/>
    <w:unhideWhenUsed/>
    <w:rsid w:val="00FD0F09"/>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FD0F09"/>
    <w:rPr>
      <w:rFonts w:ascii="Segoe UI" w:hAnsi="Segoe UI" w:cs="Segoe UI"/>
      <w:sz w:val="18"/>
      <w:szCs w:val="18"/>
    </w:rPr>
  </w:style>
  <w:style w:type="paragraph" w:styleId="CommentText">
    <w:name w:val="annotation text"/>
    <w:basedOn w:val="Normal"/>
    <w:link w:val="CommentTextChar1"/>
    <w:uiPriority w:val="99"/>
    <w:semiHidden/>
    <w:unhideWhenUsed/>
    <w:rsid w:val="00FD0F09"/>
    <w:pPr>
      <w:spacing w:line="240" w:lineRule="auto"/>
    </w:pPr>
    <w:rPr>
      <w:sz w:val="20"/>
      <w:szCs w:val="20"/>
    </w:rPr>
  </w:style>
  <w:style w:type="character" w:customStyle="1" w:styleId="CommentTextChar1">
    <w:name w:val="Comment Text Char1"/>
    <w:basedOn w:val="DefaultParagraphFont"/>
    <w:link w:val="CommentText"/>
    <w:uiPriority w:val="99"/>
    <w:semiHidden/>
    <w:rsid w:val="00FD0F09"/>
    <w:rPr>
      <w:sz w:val="20"/>
      <w:szCs w:val="20"/>
    </w:rPr>
  </w:style>
  <w:style w:type="paragraph" w:styleId="CommentSubject">
    <w:name w:val="annotation subject"/>
    <w:basedOn w:val="CommentText"/>
    <w:next w:val="CommentText"/>
    <w:link w:val="CommentSubjectChar"/>
    <w:uiPriority w:val="99"/>
    <w:semiHidden/>
    <w:unhideWhenUsed/>
    <w:rsid w:val="00FD0F09"/>
    <w:rPr>
      <w:b/>
      <w:bCs/>
    </w:rPr>
  </w:style>
  <w:style w:type="character" w:customStyle="1" w:styleId="CommentSubjectChar1">
    <w:name w:val="Comment Subject Char1"/>
    <w:basedOn w:val="CommentTextChar1"/>
    <w:link w:val="CommentSubject"/>
    <w:uiPriority w:val="99"/>
    <w:semiHidden/>
    <w:rsid w:val="00FD0F09"/>
    <w:rPr>
      <w:b/>
      <w:bCs/>
      <w:sz w:val="20"/>
      <w:szCs w:val="20"/>
    </w:rPr>
  </w:style>
  <w:style w:type="table" w:styleId="LightList">
    <w:name w:val="Light List"/>
    <w:basedOn w:val="TableNormal"/>
    <w:uiPriority w:val="61"/>
    <w:semiHidden/>
    <w:unhideWhenUsed/>
    <w:rsid w:val="00FD0F0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semiHidden/>
    <w:unhideWhenUsed/>
    <w:rsid w:val="00FD0F09"/>
    <w:rPr>
      <w:color w:val="0563C1" w:themeColor="hyperlink"/>
      <w:u w:val="single"/>
    </w:rPr>
  </w:style>
  <w:style w:type="paragraph" w:styleId="Revision">
    <w:name w:val="Revision"/>
    <w:hidden/>
    <w:uiPriority w:val="99"/>
    <w:semiHidden/>
    <w:rsid w:val="00FD0F09"/>
    <w:pPr>
      <w:spacing w:after="0" w:line="240" w:lineRule="auto"/>
    </w:pPr>
  </w:style>
  <w:style w:type="character" w:styleId="IntenseEmphasis">
    <w:name w:val="Intense Emphasis"/>
    <w:basedOn w:val="DefaultParagraphFont"/>
    <w:uiPriority w:val="21"/>
    <w:qFormat/>
    <w:rsid w:val="00FD0F09"/>
    <w:rPr>
      <w:i/>
      <w:iCs/>
      <w:color w:val="5B9BD5"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3088</Words>
  <Characters>17109</Characters>
  <Application>Microsoft Office Word</Application>
  <DocSecurity>0</DocSecurity>
  <Lines>855</Lines>
  <Paragraphs>673</Paragraphs>
  <ScaleCrop>false</ScaleCrop>
  <Company>UBC Faculty of Medicine</Company>
  <LinksUpToDate>false</LinksUpToDate>
  <CharactersWithSpaces>19524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Tremlett</dc:creator>
  <cp:keywords/>
  <dc:description/>
  <cp:lastModifiedBy>LACOSTA</cp:lastModifiedBy>
  <cp:revision>4</cp:revision>
  <dcterms:created xsi:type="dcterms:W3CDTF">2016-08-08T21:47:00Z</dcterms:created>
  <dcterms:modified xsi:type="dcterms:W3CDTF">2016-09-13T02:04:00Z</dcterms:modified>
</cp:coreProperties>
</file>