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C04E" w14:textId="2E49D908" w:rsidR="003B5A2C" w:rsidRDefault="00FD5669" w:rsidP="00BE1577">
      <w:pPr>
        <w:pStyle w:val="THSmallHeading"/>
        <w:framePr w:h="388" w:hRule="exact" w:wrap="around"/>
        <w:spacing w:line="480" w:lineRule="auto"/>
      </w:pPr>
      <w:r>
        <w:t>Appendix</w:t>
      </w:r>
      <w:r w:rsidR="003B5A2C">
        <w:t xml:space="preserve"> 1</w:t>
      </w:r>
      <w:r w:rsidR="00BE1577">
        <w:t xml:space="preserve">: </w:t>
      </w:r>
      <w:r w:rsidR="00E403FE">
        <w:t>D</w:t>
      </w:r>
      <w:r w:rsidR="00E403FE" w:rsidRPr="00E403FE">
        <w:t>efinition</w:t>
      </w:r>
      <w:r w:rsidR="00E403FE">
        <w:t>s</w:t>
      </w:r>
      <w:r w:rsidR="00E403FE" w:rsidRPr="00E403FE">
        <w:t xml:space="preserve"> and potential actions</w:t>
      </w:r>
      <w:r w:rsidR="00E403FE" w:rsidRPr="00E403FE">
        <w:t xml:space="preserve"> </w:t>
      </w:r>
      <w:r w:rsidR="00E403FE">
        <w:t>for the Values</w:t>
      </w:r>
      <w:r w:rsidR="00E403FE" w:rsidRPr="00E403FE">
        <w:t xml:space="preserve"> </w:t>
      </w:r>
    </w:p>
    <w:p w14:paraId="6418E861" w14:textId="55523357" w:rsidR="00FC0E2F" w:rsidRDefault="00466670" w:rsidP="00BE1577">
      <w:pPr>
        <w:spacing w:line="480" w:lineRule="auto"/>
      </w:pPr>
      <w:r w:rsidRPr="00466670">
        <w:t>Potential</w:t>
      </w:r>
      <w:r>
        <w:t xml:space="preserve"> a</w:t>
      </w:r>
      <w:r w:rsidR="00FC0E2F">
        <w:t>ctions</w:t>
      </w:r>
      <w:r w:rsidR="00430497">
        <w:t xml:space="preserve"> (or processes)</w:t>
      </w:r>
      <w:r w:rsidR="00FC0E2F">
        <w:t xml:space="preserve"> </w:t>
      </w:r>
      <w:r>
        <w:t xml:space="preserve">related to the Values </w:t>
      </w:r>
      <w:r w:rsidR="00FC0E2F">
        <w:t>have been summarised from Values and Ethics</w:t>
      </w:r>
      <w:r w:rsidR="00921F47">
        <w:t xml:space="preserve"> </w:t>
      </w:r>
      <w:r w:rsidR="00921F47">
        <w:fldChar w:fldCharType="begin"/>
      </w:r>
      <w:r w:rsidR="00921F47">
        <w:instrText xml:space="preserve"> ADDIN EN.CITE &lt;EndNote&gt;&lt;Cite&gt;&lt;Author&gt;National Health and Medical Research Council&lt;/Author&gt;&lt;Year&gt;2003&lt;/Year&gt;&lt;RecNum&gt;5&lt;/RecNum&gt;&lt;DisplayText&gt;[1]&lt;/DisplayText&gt;&lt;record&gt;&lt;rec-number&gt;5&lt;/rec-number&gt;&lt;foreign-keys&gt;&lt;key app="EN" db-id="xvderzww95v027ezdvjxaft25wwtft9fas2w" timestamp="1435899949"&gt;5&lt;/key&gt;&lt;/foreign-keys&gt;&lt;ref-type name="Web Page"&gt;12&lt;/ref-type&gt;&lt;contributors&gt;&lt;authors&gt;&lt;author&gt;National Health and Medical Research Council,&lt;/author&gt;&lt;/authors&gt;&lt;/contributors&gt;&lt;titles&gt;&lt;title&gt;Values and Ethics: Guidelines for Ethical Conduct in Aboriginal and Torres Strait Islander Health Research&lt;/title&gt;&lt;/titles&gt;&lt;number&gt;[1 September 2014&lt;/number&gt;&lt;dates&gt;&lt;year&gt;2003&lt;/year&gt;&lt;/dates&gt;&lt;urls&gt;&lt;related-urls&gt;&lt;url&gt;https://www.nhmrc.gov.au/guidelines-publications/e52&lt;/url&gt;&lt;/related-urls&gt;&lt;/urls&gt;&lt;/record&gt;&lt;/Cite&gt;&lt;/EndNote&gt;</w:instrText>
      </w:r>
      <w:r w:rsidR="00921F47">
        <w:fldChar w:fldCharType="separate"/>
      </w:r>
      <w:r w:rsidR="00921F47">
        <w:rPr>
          <w:noProof/>
        </w:rPr>
        <w:t>[1]</w:t>
      </w:r>
      <w:r w:rsidR="00921F47">
        <w:fldChar w:fldCharType="end"/>
      </w:r>
      <w:r w:rsidR="00921F47">
        <w:t>.</w:t>
      </w:r>
      <w:r w:rsidR="00FC0E2F" w:rsidRPr="00FC0E2F">
        <w:t xml:space="preserve"> </w:t>
      </w:r>
      <w:r w:rsidR="00C65CBB">
        <w:t xml:space="preserve">Actions </w:t>
      </w:r>
      <w:r w:rsidR="00216295">
        <w:t xml:space="preserve">described in </w:t>
      </w:r>
      <w:r w:rsidR="00B36483">
        <w:t>articles</w:t>
      </w:r>
      <w:r w:rsidR="00216295">
        <w:t xml:space="preserve"> that appear to </w:t>
      </w:r>
      <w:r w:rsidR="00C65CBB">
        <w:t>m</w:t>
      </w:r>
      <w:r w:rsidR="00666F0B">
        <w:t>eet</w:t>
      </w:r>
      <w:r w:rsidR="00C65CBB">
        <w:t xml:space="preserve"> the</w:t>
      </w:r>
      <w:r w:rsidR="00666F0B">
        <w:t xml:space="preserve"> criteria </w:t>
      </w:r>
      <w:r w:rsidR="00C65CBB">
        <w:t>will be</w:t>
      </w:r>
      <w:r w:rsidR="00666F0B">
        <w:t xml:space="preserve"> </w:t>
      </w:r>
      <w:r w:rsidR="002B6A09">
        <w:t>attributed</w:t>
      </w:r>
      <w:r w:rsidR="00666F0B">
        <w:t xml:space="preserve"> to the corresponding Value</w:t>
      </w:r>
      <w:r w:rsidR="00216295">
        <w:t xml:space="preserve"> by the </w:t>
      </w:r>
      <w:r w:rsidR="00A47DE7">
        <w:t>reviewer</w:t>
      </w:r>
      <w:r w:rsidR="00216295">
        <w:t>s</w:t>
      </w:r>
      <w:r w:rsidR="00B36483">
        <w:t>,</w:t>
      </w:r>
      <w:r w:rsidR="00216295">
        <w:t xml:space="preserve"> even if no explicit mention is made of the Values and Ethics document </w:t>
      </w:r>
      <w:r w:rsidR="00216295">
        <w:fldChar w:fldCharType="begin"/>
      </w:r>
      <w:r w:rsidR="00921F47">
        <w:instrText xml:space="preserve"> ADDIN EN.CITE &lt;EndNote&gt;&lt;Cite&gt;&lt;Author&gt;National Health and Medical Research Council&lt;/Author&gt;&lt;Year&gt;2003&lt;/Year&gt;&lt;RecNum&gt;5&lt;/RecNum&gt;&lt;DisplayText&gt;[1]&lt;/DisplayText&gt;&lt;record&gt;&lt;rec-number&gt;5&lt;/rec-number&gt;&lt;foreign-keys&gt;&lt;key app="EN" db-id="xvderzww95v027ezdvjxaft25wwtft9fas2w" timestamp="1435899949"&gt;5&lt;/key&gt;&lt;/foreign-keys&gt;&lt;ref-type name="Web Page"&gt;12&lt;/ref-type&gt;&lt;contributors&gt;&lt;authors&gt;&lt;author&gt;National Health and Medical Research Council,&lt;/author&gt;&lt;/authors&gt;&lt;/contributors&gt;&lt;titles&gt;&lt;title&gt;Values and Ethics: Guidelines for Ethical Conduct in Aboriginal and Torres Strait Islander Health Research&lt;/title&gt;&lt;/titles&gt;&lt;number&gt;[1 September 2014&lt;/number&gt;&lt;dates&gt;&lt;year&gt;2003&lt;/year&gt;&lt;/dates&gt;&lt;urls&gt;&lt;related-urls&gt;&lt;url&gt;https://www.nhmrc.gov.au/guidelines-publications/e52&lt;/url&gt;&lt;/related-urls&gt;&lt;/urls&gt;&lt;/record&gt;&lt;/Cite&gt;&lt;/EndNote&gt;</w:instrText>
      </w:r>
      <w:r w:rsidR="00216295">
        <w:fldChar w:fldCharType="separate"/>
      </w:r>
      <w:r w:rsidR="00921F47">
        <w:rPr>
          <w:noProof/>
        </w:rPr>
        <w:t>[1]</w:t>
      </w:r>
      <w:r w:rsidR="00216295">
        <w:fldChar w:fldCharType="end"/>
      </w:r>
      <w:r w:rsidR="00666F0B">
        <w:t>.</w:t>
      </w:r>
    </w:p>
    <w:p w14:paraId="79B1A3BE" w14:textId="28E1E3C6" w:rsidR="003B5A2C" w:rsidRDefault="0075434D" w:rsidP="00BE1577">
      <w:pPr>
        <w:spacing w:line="480" w:lineRule="auto"/>
      </w:pPr>
      <w:r>
        <w:t xml:space="preserve">Some overlap exists between the definitions and actions </w:t>
      </w:r>
      <w:r w:rsidR="008A7B6F">
        <w:t>associated with each</w:t>
      </w:r>
      <w:r>
        <w:t xml:space="preserve"> Value</w:t>
      </w:r>
      <w:r w:rsidR="00436178">
        <w:t xml:space="preserve">. </w:t>
      </w:r>
      <w:r w:rsidR="00245782">
        <w:t xml:space="preserve">Where clear overlap exists we will attribute actions to one Value, for example </w:t>
      </w:r>
      <w:r w:rsidR="00A47DE7">
        <w:t>‘</w:t>
      </w:r>
      <w:r w:rsidR="00245782">
        <w:t>equitable distribution of benefit</w:t>
      </w:r>
      <w:r w:rsidR="00216295">
        <w:t>’</w:t>
      </w:r>
      <w:r w:rsidR="00245782">
        <w:t xml:space="preserve"> </w:t>
      </w:r>
      <w:r w:rsidR="002B6A09">
        <w:t>is</w:t>
      </w:r>
      <w:r w:rsidR="00245782">
        <w:t xml:space="preserve"> associated with </w:t>
      </w:r>
      <w:r w:rsidR="00547227">
        <w:t>reciprocity and equality</w:t>
      </w:r>
      <w:r w:rsidR="00245782">
        <w:t xml:space="preserve">, however for the purposes of this review </w:t>
      </w:r>
      <w:r w:rsidR="00DE692C">
        <w:t xml:space="preserve">actions </w:t>
      </w:r>
      <w:r w:rsidR="00245782">
        <w:t xml:space="preserve">will </w:t>
      </w:r>
      <w:r w:rsidR="00216295">
        <w:t>be</w:t>
      </w:r>
      <w:r w:rsidR="00A47DE7">
        <w:t xml:space="preserve"> attributed to</w:t>
      </w:r>
      <w:r w:rsidR="00245782">
        <w:t xml:space="preserve"> </w:t>
      </w:r>
      <w:r w:rsidR="00547227">
        <w:t>reciprocity</w:t>
      </w:r>
      <w:r w:rsidR="00245782">
        <w:t>.</w:t>
      </w:r>
      <w:r w:rsidR="00B72A36">
        <w:t xml:space="preserve"> </w:t>
      </w:r>
      <w:r w:rsidR="00466670">
        <w:t xml:space="preserve">This list </w:t>
      </w:r>
      <w:r w:rsidR="00412C1A">
        <w:t>provides</w:t>
      </w:r>
      <w:r w:rsidR="00A47DE7">
        <w:t xml:space="preserve"> some potential actions and </w:t>
      </w:r>
      <w:r w:rsidR="00466670">
        <w:t>examples</w:t>
      </w:r>
      <w:r w:rsidR="00A47DE7">
        <w:t xml:space="preserve">. It is not an exhaustive list and is not intended to be a checklist for Indigenous-focused </w:t>
      </w:r>
      <w:r w:rsidR="00412C1A">
        <w:t xml:space="preserve">health </w:t>
      </w:r>
      <w:r w:rsidR="00A47DE7">
        <w:t>research</w:t>
      </w:r>
      <w:r w:rsidR="0046667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295" w:rsidRPr="00216295" w14:paraId="0DFD68A7" w14:textId="74CD2322" w:rsidTr="00BE1577">
        <w:trPr>
          <w:trHeight w:val="1154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CC9CA01" w14:textId="6EA6B47F" w:rsidR="00216295" w:rsidRPr="00216295" w:rsidRDefault="00216295" w:rsidP="00BE1577">
            <w:pPr>
              <w:spacing w:line="480" w:lineRule="auto"/>
            </w:pPr>
            <w:r w:rsidRPr="00216295">
              <w:t xml:space="preserve">Reciprocity: Research that demonstrates inclusion, recognises partners’ contributions or ensures that research outcomes include equitable benefits of value </w:t>
            </w:r>
            <w:r w:rsidR="0068552F">
              <w:t>to communities and individuals</w:t>
            </w:r>
          </w:p>
        </w:tc>
      </w:tr>
      <w:tr w:rsidR="00B36483" w:rsidRPr="00216295" w14:paraId="2551776C" w14:textId="77777777" w:rsidTr="00412C1A">
        <w:trPr>
          <w:trHeight w:val="257"/>
        </w:trPr>
        <w:tc>
          <w:tcPr>
            <w:tcW w:w="4508" w:type="dxa"/>
            <w:shd w:val="clear" w:color="auto" w:fill="D9D9D9" w:themeFill="background1" w:themeFillShade="D9"/>
          </w:tcPr>
          <w:p w14:paraId="40601707" w14:textId="68897CCA" w:rsidR="00B36483" w:rsidRPr="00216295" w:rsidRDefault="00B36483" w:rsidP="00BE1577">
            <w:pPr>
              <w:spacing w:line="480" w:lineRule="auto"/>
            </w:pPr>
            <w:r>
              <w:t>Potential action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160455A" w14:textId="7D853496" w:rsidR="00B36483" w:rsidRPr="00216295" w:rsidRDefault="00B36483" w:rsidP="00BE1577">
            <w:pPr>
              <w:spacing w:line="480" w:lineRule="auto"/>
            </w:pPr>
            <w:r>
              <w:t>Example of potential action</w:t>
            </w:r>
          </w:p>
        </w:tc>
      </w:tr>
      <w:tr w:rsidR="00216295" w:rsidRPr="00216295" w14:paraId="3E439308" w14:textId="645795E7" w:rsidTr="00216295">
        <w:trPr>
          <w:trHeight w:val="1167"/>
        </w:trPr>
        <w:tc>
          <w:tcPr>
            <w:tcW w:w="4508" w:type="dxa"/>
          </w:tcPr>
          <w:p w14:paraId="4DA4970C" w14:textId="68D05930" w:rsidR="00216295" w:rsidRPr="00216295" w:rsidRDefault="00216295" w:rsidP="00BE1577">
            <w:pPr>
              <w:spacing w:line="480" w:lineRule="auto"/>
            </w:pPr>
            <w:r w:rsidRPr="00216295">
              <w:t>Demonstrat</w:t>
            </w:r>
            <w:r w:rsidR="00F6665C">
              <w:t>ed</w:t>
            </w:r>
            <w:r w:rsidRPr="00216295">
              <w:t xml:space="preserve"> </w:t>
            </w:r>
            <w:r w:rsidR="007C1019">
              <w:t xml:space="preserve">intention to </w:t>
            </w:r>
            <w:r w:rsidRPr="00216295">
              <w:t>contribut</w:t>
            </w:r>
            <w:r w:rsidR="007C1019">
              <w:t>e</w:t>
            </w:r>
            <w:r w:rsidRPr="00216295">
              <w:t xml:space="preserve"> to the advancement of the health and wellbeing </w:t>
            </w:r>
            <w:r w:rsidR="00B36483">
              <w:t>of participants and communit</w:t>
            </w:r>
            <w:r w:rsidR="00615A93">
              <w:t>y/</w:t>
            </w:r>
            <w:proofErr w:type="spellStart"/>
            <w:r w:rsidR="00B36483">
              <w:t>ies</w:t>
            </w:r>
            <w:proofErr w:type="spellEnd"/>
          </w:p>
        </w:tc>
        <w:tc>
          <w:tcPr>
            <w:tcW w:w="4508" w:type="dxa"/>
          </w:tcPr>
          <w:p w14:paraId="0F1E9D68" w14:textId="27970954" w:rsidR="00216295" w:rsidRPr="00216295" w:rsidRDefault="00412C1A" w:rsidP="00BE1577">
            <w:pPr>
              <w:spacing w:line="480" w:lineRule="auto"/>
            </w:pPr>
            <w:r>
              <w:t>I</w:t>
            </w:r>
            <w:r w:rsidR="00B36483">
              <w:t>mplement</w:t>
            </w:r>
            <w:r>
              <w:t xml:space="preserve">ation of </w:t>
            </w:r>
            <w:r w:rsidR="00CA2FDD">
              <w:t xml:space="preserve">research </w:t>
            </w:r>
            <w:r>
              <w:t xml:space="preserve">findings at participating PHCS e.g. </w:t>
            </w:r>
            <w:r w:rsidR="00CA2FDD">
              <w:t>incorporation</w:t>
            </w:r>
            <w:r>
              <w:t xml:space="preserve"> of validated screening tool into medical software </w:t>
            </w:r>
          </w:p>
        </w:tc>
      </w:tr>
      <w:tr w:rsidR="00216295" w:rsidRPr="00216295" w14:paraId="78BB16E4" w14:textId="24895422" w:rsidTr="00216295">
        <w:trPr>
          <w:trHeight w:val="1167"/>
        </w:trPr>
        <w:tc>
          <w:tcPr>
            <w:tcW w:w="4508" w:type="dxa"/>
          </w:tcPr>
          <w:p w14:paraId="416C746B" w14:textId="04172511" w:rsidR="00216295" w:rsidRPr="00216295" w:rsidRDefault="00216295" w:rsidP="00BE1577">
            <w:pPr>
              <w:spacing w:line="480" w:lineRule="auto"/>
            </w:pPr>
            <w:r w:rsidRPr="00216295">
              <w:t>Research respondin</w:t>
            </w:r>
            <w:r w:rsidR="00415E28">
              <w:t xml:space="preserve">g to </w:t>
            </w:r>
            <w:r w:rsidR="007C1019">
              <w:t>regional, jurisdictional or international priorities</w:t>
            </w:r>
            <w:r w:rsidR="00CA2FDD">
              <w:t>,</w:t>
            </w:r>
            <w:r w:rsidR="007C1019">
              <w:t xml:space="preserve"> or community-identified</w:t>
            </w:r>
            <w:r w:rsidR="00B36483">
              <w:t xml:space="preserve"> need</w:t>
            </w:r>
          </w:p>
        </w:tc>
        <w:tc>
          <w:tcPr>
            <w:tcW w:w="4508" w:type="dxa"/>
          </w:tcPr>
          <w:p w14:paraId="436D5C6A" w14:textId="5248EF10" w:rsidR="00216295" w:rsidRPr="00216295" w:rsidRDefault="00415E28" w:rsidP="00BE1577">
            <w:pPr>
              <w:spacing w:line="480" w:lineRule="auto"/>
            </w:pPr>
            <w:r>
              <w:t xml:space="preserve">A </w:t>
            </w:r>
            <w:r w:rsidR="00DE74E6">
              <w:t>PHCS Research Committee</w:t>
            </w:r>
            <w:r>
              <w:t xml:space="preserve"> </w:t>
            </w:r>
            <w:r w:rsidR="00CA2FDD">
              <w:t>expressing</w:t>
            </w:r>
            <w:r>
              <w:t xml:space="preserve"> </w:t>
            </w:r>
            <w:r w:rsidR="00CA2FDD">
              <w:t>the</w:t>
            </w:r>
            <w:r>
              <w:t xml:space="preserve"> need </w:t>
            </w:r>
            <w:r w:rsidR="008F4560">
              <w:t>for</w:t>
            </w:r>
            <w:r w:rsidR="00CA2FDD">
              <w:t xml:space="preserve"> research</w:t>
            </w:r>
            <w:r w:rsidR="00FC12E0">
              <w:t xml:space="preserve"> to</w:t>
            </w:r>
            <w:r w:rsidR="00CA2FDD">
              <w:t xml:space="preserve"> </w:t>
            </w:r>
            <w:r w:rsidR="00A3419A">
              <w:t xml:space="preserve">develop </w:t>
            </w:r>
            <w:r w:rsidR="00FC12E0">
              <w:t>tailored</w:t>
            </w:r>
            <w:r w:rsidR="00CA2FDD">
              <w:t xml:space="preserve"> SEWB strategies for adolescents</w:t>
            </w:r>
            <w:r w:rsidR="00FC12E0">
              <w:t xml:space="preserve"> in their community</w:t>
            </w:r>
          </w:p>
        </w:tc>
      </w:tr>
      <w:tr w:rsidR="00216295" w:rsidRPr="00216295" w14:paraId="4FD4884E" w14:textId="557F33F6" w:rsidTr="00216295">
        <w:trPr>
          <w:trHeight w:val="1167"/>
        </w:trPr>
        <w:tc>
          <w:tcPr>
            <w:tcW w:w="4508" w:type="dxa"/>
          </w:tcPr>
          <w:p w14:paraId="3C6A29DB" w14:textId="70184563" w:rsidR="00216295" w:rsidRPr="00216295" w:rsidRDefault="0068552F" w:rsidP="00BE1577">
            <w:pPr>
              <w:spacing w:line="480" w:lineRule="auto"/>
            </w:pPr>
            <w:bookmarkStart w:id="0" w:name="_GoBack" w:colFirst="0" w:colLast="0"/>
            <w:r>
              <w:t>Nature of the b</w:t>
            </w:r>
            <w:r w:rsidR="00415E28">
              <w:t>enefit to com</w:t>
            </w:r>
            <w:r w:rsidR="00FC12E0">
              <w:t>munity</w:t>
            </w:r>
            <w:r w:rsidR="00615A93">
              <w:t>/</w:t>
            </w:r>
            <w:proofErr w:type="spellStart"/>
            <w:r w:rsidR="00615A93">
              <w:t>ies</w:t>
            </w:r>
            <w:proofErr w:type="spellEnd"/>
            <w:r w:rsidR="00A3419A">
              <w:t>,</w:t>
            </w:r>
            <w:r w:rsidR="00615A93">
              <w:t xml:space="preserve"> </w:t>
            </w:r>
            <w:r w:rsidR="00415E28">
              <w:t xml:space="preserve">including demonstration </w:t>
            </w:r>
            <w:r w:rsidR="00216295" w:rsidRPr="00216295">
              <w:t xml:space="preserve">of discussions </w:t>
            </w:r>
            <w:r w:rsidR="00FC12E0">
              <w:t>related to</w:t>
            </w:r>
            <w:r w:rsidR="00216295" w:rsidRPr="00216295">
              <w:t xml:space="preserve"> benefits</w:t>
            </w:r>
            <w:r w:rsidR="00415E28">
              <w:t xml:space="preserve"> prior to approval</w:t>
            </w:r>
          </w:p>
        </w:tc>
        <w:tc>
          <w:tcPr>
            <w:tcW w:w="4508" w:type="dxa"/>
          </w:tcPr>
          <w:p w14:paraId="0BF93BF6" w14:textId="7CEBF499" w:rsidR="00216295" w:rsidRPr="00216295" w:rsidRDefault="00F6665C" w:rsidP="00BE1577">
            <w:pPr>
              <w:spacing w:line="480" w:lineRule="auto"/>
            </w:pPr>
            <w:r>
              <w:t>D</w:t>
            </w:r>
            <w:r w:rsidR="007C1019">
              <w:t>ocumentation of</w:t>
            </w:r>
            <w:r>
              <w:t xml:space="preserve"> discussions </w:t>
            </w:r>
            <w:r w:rsidR="00A3419A">
              <w:t xml:space="preserve">between researchers and a </w:t>
            </w:r>
            <w:r w:rsidR="00DE74E6">
              <w:t xml:space="preserve">PHCS Research Committee </w:t>
            </w:r>
            <w:r w:rsidR="00A3419A">
              <w:t>(prior to approval)</w:t>
            </w:r>
            <w:r>
              <w:t xml:space="preserve"> </w:t>
            </w:r>
            <w:r w:rsidR="00015089">
              <w:t>concerning</w:t>
            </w:r>
            <w:r w:rsidR="00A3419A">
              <w:t xml:space="preserve"> the</w:t>
            </w:r>
            <w:r w:rsidR="00615A93">
              <w:t xml:space="preserve"> </w:t>
            </w:r>
            <w:r w:rsidR="009006BC">
              <w:t>obligations</w:t>
            </w:r>
            <w:r w:rsidR="00615A93">
              <w:t xml:space="preserve"> and </w:t>
            </w:r>
            <w:r w:rsidR="0068552F">
              <w:t xml:space="preserve">potential </w:t>
            </w:r>
            <w:r>
              <w:t>benefits</w:t>
            </w:r>
            <w:r w:rsidR="00615A93">
              <w:t xml:space="preserve"> of </w:t>
            </w:r>
            <w:r w:rsidR="009006BC">
              <w:t xml:space="preserve">participation in </w:t>
            </w:r>
            <w:r w:rsidR="00615A93">
              <w:t>the research</w:t>
            </w:r>
          </w:p>
        </w:tc>
      </w:tr>
      <w:bookmarkEnd w:id="0"/>
      <w:tr w:rsidR="00216295" w:rsidRPr="00216295" w14:paraId="26BA8EC5" w14:textId="737E0CCD" w:rsidTr="00216295">
        <w:trPr>
          <w:trHeight w:val="1167"/>
        </w:trPr>
        <w:tc>
          <w:tcPr>
            <w:tcW w:w="4508" w:type="dxa"/>
          </w:tcPr>
          <w:p w14:paraId="277DF8B2" w14:textId="63C19722" w:rsidR="00216295" w:rsidRPr="00216295" w:rsidRDefault="00216295" w:rsidP="00BE1577">
            <w:pPr>
              <w:spacing w:line="480" w:lineRule="auto"/>
            </w:pPr>
            <w:r w:rsidRPr="00216295">
              <w:lastRenderedPageBreak/>
              <w:t>D</w:t>
            </w:r>
            <w:r w:rsidR="00F6665C">
              <w:t xml:space="preserve">emonstrated </w:t>
            </w:r>
            <w:r w:rsidRPr="00216295">
              <w:t xml:space="preserve">willingness to modify research according to the </w:t>
            </w:r>
            <w:r w:rsidR="00F6665C">
              <w:t>community</w:t>
            </w:r>
            <w:r w:rsidR="00A3419A">
              <w:t>/</w:t>
            </w:r>
            <w:proofErr w:type="spellStart"/>
            <w:r w:rsidR="00A3419A">
              <w:t>ies</w:t>
            </w:r>
            <w:proofErr w:type="spellEnd"/>
            <w:r w:rsidR="00F6665C">
              <w:t xml:space="preserve"> values and aspirations</w:t>
            </w:r>
          </w:p>
        </w:tc>
        <w:tc>
          <w:tcPr>
            <w:tcW w:w="4508" w:type="dxa"/>
          </w:tcPr>
          <w:p w14:paraId="45BE1CC4" w14:textId="36AF4C83" w:rsidR="00216295" w:rsidRPr="00216295" w:rsidRDefault="00F6665C" w:rsidP="00BE1577">
            <w:pPr>
              <w:spacing w:line="480" w:lineRule="auto"/>
            </w:pPr>
            <w:r>
              <w:t>Alterin</w:t>
            </w:r>
            <w:r w:rsidR="00FC12E0">
              <w:t>g</w:t>
            </w:r>
            <w:r>
              <w:t xml:space="preserve"> research design </w:t>
            </w:r>
            <w:r w:rsidR="00FC12E0">
              <w:t>from a RCT to a non-randomised design following community concerns a</w:t>
            </w:r>
            <w:r w:rsidR="00A3419A">
              <w:t>bout</w:t>
            </w:r>
            <w:r w:rsidR="00FC12E0">
              <w:t xml:space="preserve"> the fairness of randomisation</w:t>
            </w:r>
          </w:p>
        </w:tc>
      </w:tr>
      <w:tr w:rsidR="00216295" w14:paraId="56DC601E" w14:textId="296274A1" w:rsidTr="00216295">
        <w:trPr>
          <w:trHeight w:val="1167"/>
        </w:trPr>
        <w:tc>
          <w:tcPr>
            <w:tcW w:w="4508" w:type="dxa"/>
          </w:tcPr>
          <w:p w14:paraId="5E03E7B1" w14:textId="6C008E0F" w:rsidR="00216295" w:rsidRDefault="00216295" w:rsidP="00BE1577">
            <w:pPr>
              <w:spacing w:line="480" w:lineRule="auto"/>
            </w:pPr>
            <w:r w:rsidRPr="00216295">
              <w:t xml:space="preserve">Research processes that </w:t>
            </w:r>
            <w:r w:rsidR="007C1019">
              <w:t xml:space="preserve">enhance capacity of </w:t>
            </w:r>
            <w:r w:rsidR="00BD699B">
              <w:t xml:space="preserve">the </w:t>
            </w:r>
            <w:r w:rsidR="007C1019">
              <w:t>communit</w:t>
            </w:r>
            <w:r w:rsidR="00615A93">
              <w:t>y/</w:t>
            </w:r>
            <w:proofErr w:type="spellStart"/>
            <w:r w:rsidR="007C1019">
              <w:t>ies</w:t>
            </w:r>
            <w:proofErr w:type="spellEnd"/>
            <w:r w:rsidR="007C1019">
              <w:t xml:space="preserve"> beyond the </w:t>
            </w:r>
            <w:r w:rsidR="00615A93">
              <w:t>research</w:t>
            </w:r>
          </w:p>
        </w:tc>
        <w:tc>
          <w:tcPr>
            <w:tcW w:w="4508" w:type="dxa"/>
          </w:tcPr>
          <w:p w14:paraId="41210DC5" w14:textId="20BB5E8B" w:rsidR="00216295" w:rsidRPr="00216295" w:rsidRDefault="008A7B6F" w:rsidP="00BE1577">
            <w:pPr>
              <w:spacing w:line="480" w:lineRule="auto"/>
            </w:pPr>
            <w:r>
              <w:t>Training and i</w:t>
            </w:r>
            <w:r w:rsidR="00615A93">
              <w:t xml:space="preserve">nvolvement of a PHCS staff member with minimal research experience </w:t>
            </w:r>
            <w:r>
              <w:t xml:space="preserve">in </w:t>
            </w:r>
            <w:r w:rsidR="00615A93">
              <w:t>re</w:t>
            </w:r>
            <w:r w:rsidR="00A3419A">
              <w:t>search design, data collection and</w:t>
            </w:r>
            <w:r w:rsidR="00615A93">
              <w:t xml:space="preserve"> analysis</w:t>
            </w:r>
            <w:r>
              <w:t xml:space="preserve"> to develop the staff member’s skills</w:t>
            </w:r>
          </w:p>
        </w:tc>
      </w:tr>
      <w:tr w:rsidR="00B36483" w14:paraId="5FB77479" w14:textId="77777777" w:rsidTr="00335E43">
        <w:trPr>
          <w:trHeight w:val="116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8CDF187" w14:textId="6DE34971" w:rsidR="00B36483" w:rsidRPr="00216295" w:rsidRDefault="008F4560" w:rsidP="00BE1577">
            <w:pPr>
              <w:spacing w:line="480" w:lineRule="auto"/>
            </w:pPr>
            <w:r w:rsidRPr="003F1A07">
              <w:t xml:space="preserve">Respect: Research </w:t>
            </w:r>
            <w:r>
              <w:t>that</w:t>
            </w:r>
            <w:r w:rsidRPr="003F1A07">
              <w:t xml:space="preserve"> acknowledg</w:t>
            </w:r>
            <w:r>
              <w:t xml:space="preserve">es and affirms the </w:t>
            </w:r>
            <w:r w:rsidRPr="003F1A07">
              <w:t>right</w:t>
            </w:r>
            <w:r>
              <w:t>s</w:t>
            </w:r>
            <w:r w:rsidRPr="003F1A07">
              <w:t xml:space="preserve"> of people to have different values, norms and </w:t>
            </w:r>
            <w:r w:rsidRPr="00DE692C">
              <w:t>aspirations, is not blind to differences, recognises</w:t>
            </w:r>
            <w:r w:rsidR="004D1986">
              <w:t xml:space="preserve"> the</w:t>
            </w:r>
            <w:r w:rsidRPr="00DE692C">
              <w:t xml:space="preserve"> </w:t>
            </w:r>
            <w:r w:rsidR="004D1986">
              <w:t>contributions</w:t>
            </w:r>
            <w:r w:rsidR="004D1986" w:rsidRPr="00DE692C">
              <w:t xml:space="preserve"> </w:t>
            </w:r>
            <w:r w:rsidR="004D1986">
              <w:t>of others to</w:t>
            </w:r>
            <w:r w:rsidR="004D1986" w:rsidRPr="00DE692C">
              <w:t xml:space="preserve"> </w:t>
            </w:r>
            <w:r w:rsidR="004D1986">
              <w:t xml:space="preserve">the </w:t>
            </w:r>
            <w:r w:rsidR="004D1986" w:rsidRPr="00DE692C">
              <w:t>research</w:t>
            </w:r>
            <w:r w:rsidR="004D1986">
              <w:t xml:space="preserve"> and its </w:t>
            </w:r>
            <w:r w:rsidR="004D1986" w:rsidRPr="00DE692C">
              <w:t>consequences</w:t>
            </w:r>
          </w:p>
        </w:tc>
      </w:tr>
      <w:tr w:rsidR="00D51137" w14:paraId="71F88343" w14:textId="77777777" w:rsidTr="00615A93">
        <w:trPr>
          <w:trHeight w:val="567"/>
        </w:trPr>
        <w:tc>
          <w:tcPr>
            <w:tcW w:w="4508" w:type="dxa"/>
            <w:shd w:val="clear" w:color="auto" w:fill="D9D9D9" w:themeFill="background1" w:themeFillShade="D9"/>
          </w:tcPr>
          <w:p w14:paraId="6F734934" w14:textId="60156CCF" w:rsidR="00D51137" w:rsidRPr="003F1A07" w:rsidRDefault="00D51137" w:rsidP="00BE1577">
            <w:pPr>
              <w:spacing w:line="480" w:lineRule="auto"/>
            </w:pPr>
            <w:r>
              <w:t>Potential action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88E30F2" w14:textId="1D6B9792" w:rsidR="00D51137" w:rsidRPr="003F1A07" w:rsidRDefault="00D51137" w:rsidP="00BE1577">
            <w:pPr>
              <w:spacing w:line="480" w:lineRule="auto"/>
            </w:pPr>
            <w:r>
              <w:t>Example of potential action</w:t>
            </w:r>
          </w:p>
        </w:tc>
      </w:tr>
      <w:tr w:rsidR="008F4560" w14:paraId="71C34858" w14:textId="77777777" w:rsidTr="00561DC8">
        <w:trPr>
          <w:trHeight w:val="1167"/>
        </w:trPr>
        <w:tc>
          <w:tcPr>
            <w:tcW w:w="4508" w:type="dxa"/>
          </w:tcPr>
          <w:p w14:paraId="2DF6BD2D" w14:textId="50B2AF3A" w:rsidR="008F4560" w:rsidRPr="008F4560" w:rsidRDefault="008F4560" w:rsidP="00BE1577">
            <w:pPr>
              <w:spacing w:line="480" w:lineRule="auto"/>
            </w:pPr>
            <w:r>
              <w:t xml:space="preserve">Decision-making processes that acknowledge </w:t>
            </w:r>
            <w:r w:rsidR="004D1986">
              <w:t xml:space="preserve">the </w:t>
            </w:r>
            <w:r>
              <w:t>diversity</w:t>
            </w:r>
            <w:r w:rsidR="00425A05">
              <w:t xml:space="preserve"> of individuals and community</w:t>
            </w:r>
            <w:r w:rsidR="004D1986">
              <w:t>/</w:t>
            </w:r>
            <w:proofErr w:type="spellStart"/>
            <w:r w:rsidR="004D1986">
              <w:t>ies</w:t>
            </w:r>
            <w:proofErr w:type="spellEnd"/>
          </w:p>
        </w:tc>
        <w:tc>
          <w:tcPr>
            <w:tcW w:w="4508" w:type="dxa"/>
          </w:tcPr>
          <w:p w14:paraId="20121BDA" w14:textId="4F26CD38" w:rsidR="00BA2D70" w:rsidRPr="00D51137" w:rsidRDefault="00D51137" w:rsidP="00BE1577">
            <w:pPr>
              <w:spacing w:line="480" w:lineRule="auto"/>
              <w:rPr>
                <w:color w:val="FF0000"/>
              </w:rPr>
            </w:pPr>
            <w:r>
              <w:t>I</w:t>
            </w:r>
            <w:r w:rsidR="008A7B6F">
              <w:t>nvitation and i</w:t>
            </w:r>
            <w:r>
              <w:t xml:space="preserve">nvolvement of </w:t>
            </w:r>
            <w:r w:rsidR="00781F0A">
              <w:t xml:space="preserve">PHCS staff members </w:t>
            </w:r>
            <w:r>
              <w:t xml:space="preserve">from </w:t>
            </w:r>
            <w:r w:rsidR="004D1986">
              <w:t>several</w:t>
            </w:r>
            <w:r>
              <w:t xml:space="preserve"> </w:t>
            </w:r>
            <w:r w:rsidR="004D1986">
              <w:t>communities as members of the</w:t>
            </w:r>
            <w:r w:rsidR="00DA38C7">
              <w:t xml:space="preserve"> </w:t>
            </w:r>
            <w:r w:rsidRPr="00D51137">
              <w:t xml:space="preserve">research </w:t>
            </w:r>
            <w:r w:rsidR="00015089">
              <w:t>advisory</w:t>
            </w:r>
            <w:r>
              <w:t xml:space="preserve"> committee</w:t>
            </w:r>
          </w:p>
        </w:tc>
      </w:tr>
      <w:tr w:rsidR="008F4560" w14:paraId="6E5B0DD5" w14:textId="77777777" w:rsidTr="00561DC8">
        <w:trPr>
          <w:trHeight w:val="1167"/>
        </w:trPr>
        <w:tc>
          <w:tcPr>
            <w:tcW w:w="4508" w:type="dxa"/>
          </w:tcPr>
          <w:p w14:paraId="14553535" w14:textId="106773ED" w:rsidR="008F4560" w:rsidRDefault="008F4560" w:rsidP="00BE1577">
            <w:pPr>
              <w:spacing w:line="480" w:lineRule="auto"/>
            </w:pPr>
            <w:r>
              <w:t>Acknowledgement of t</w:t>
            </w:r>
            <w:r w:rsidRPr="00581CA8">
              <w:t xml:space="preserve">he </w:t>
            </w:r>
            <w:r w:rsidRPr="00DE692C">
              <w:t>contribution</w:t>
            </w:r>
            <w:r>
              <w:t xml:space="preserve"> of individuals and communities</w:t>
            </w:r>
          </w:p>
        </w:tc>
        <w:tc>
          <w:tcPr>
            <w:tcW w:w="4508" w:type="dxa"/>
          </w:tcPr>
          <w:p w14:paraId="23E6F53E" w14:textId="1E9BBC35" w:rsidR="00BA2D70" w:rsidRPr="00BA2D70" w:rsidRDefault="004D1986" w:rsidP="00BE1577">
            <w:pPr>
              <w:spacing w:line="480" w:lineRule="auto"/>
            </w:pPr>
            <w:r>
              <w:t>I</w:t>
            </w:r>
            <w:r w:rsidR="00D51137">
              <w:t>nclu</w:t>
            </w:r>
            <w:r>
              <w:t>sion of PHCS staff members involved in the research</w:t>
            </w:r>
            <w:r w:rsidR="00D51137">
              <w:t xml:space="preserve"> </w:t>
            </w:r>
            <w:r>
              <w:t>as authors o</w:t>
            </w:r>
            <w:r w:rsidR="00015089">
              <w:t>n</w:t>
            </w:r>
            <w:r>
              <w:t xml:space="preserve"> publications related to the research</w:t>
            </w:r>
          </w:p>
        </w:tc>
      </w:tr>
      <w:tr w:rsidR="008F4560" w14:paraId="7E85A3F8" w14:textId="77777777" w:rsidTr="00561DC8">
        <w:trPr>
          <w:trHeight w:val="1167"/>
        </w:trPr>
        <w:tc>
          <w:tcPr>
            <w:tcW w:w="4508" w:type="dxa"/>
          </w:tcPr>
          <w:p w14:paraId="6B097E5D" w14:textId="6F8B2C3E" w:rsidR="008F4560" w:rsidRPr="00DE692C" w:rsidRDefault="008F4560" w:rsidP="00BE1577">
            <w:pPr>
              <w:spacing w:line="480" w:lineRule="auto"/>
            </w:pPr>
            <w:r w:rsidRPr="00DE692C">
              <w:t xml:space="preserve">Efforts to minimise the </w:t>
            </w:r>
            <w:r>
              <w:t>effect</w:t>
            </w:r>
            <w:r w:rsidRPr="00DE692C">
              <w:t xml:space="preserve"> of difference blindness</w:t>
            </w:r>
            <w:r w:rsidRPr="00DE74E6">
              <w:rPr>
                <w:vertAlign w:val="superscript"/>
              </w:rPr>
              <w:t>*</w:t>
            </w:r>
          </w:p>
        </w:tc>
        <w:tc>
          <w:tcPr>
            <w:tcW w:w="4508" w:type="dxa"/>
          </w:tcPr>
          <w:p w14:paraId="66419F35" w14:textId="47D3CA73" w:rsidR="008F4560" w:rsidRPr="00BA2D70" w:rsidRDefault="006A4EF4" w:rsidP="00BE1577">
            <w:pPr>
              <w:spacing w:line="480" w:lineRule="auto"/>
            </w:pPr>
            <w:r>
              <w:t>Adaptation of a</w:t>
            </w:r>
            <w:r w:rsidR="00015089">
              <w:t>n</w:t>
            </w:r>
            <w:r>
              <w:t xml:space="preserve"> app to improve </w:t>
            </w:r>
            <w:r w:rsidR="006626C4">
              <w:t>cultural</w:t>
            </w:r>
            <w:r>
              <w:t>-appropriateness and relevance</w:t>
            </w:r>
          </w:p>
        </w:tc>
      </w:tr>
      <w:tr w:rsidR="008F4560" w14:paraId="00459C54" w14:textId="77777777" w:rsidTr="008F4560">
        <w:trPr>
          <w:trHeight w:val="918"/>
        </w:trPr>
        <w:tc>
          <w:tcPr>
            <w:tcW w:w="4508" w:type="dxa"/>
          </w:tcPr>
          <w:p w14:paraId="3BA2EA42" w14:textId="53215E44" w:rsidR="008F4560" w:rsidRPr="00561DC8" w:rsidRDefault="00B906D6" w:rsidP="00BE1577">
            <w:pPr>
              <w:spacing w:line="480" w:lineRule="auto"/>
              <w:rPr>
                <w:highlight w:val="yellow"/>
              </w:rPr>
            </w:pPr>
            <w:r w:rsidRPr="006A4EF4">
              <w:t>Incorporation of</w:t>
            </w:r>
            <w:r w:rsidR="008F4560" w:rsidRPr="006A4EF4">
              <w:t xml:space="preserve"> </w:t>
            </w:r>
            <w:r w:rsidRPr="006A4EF4">
              <w:t>Indigenous</w:t>
            </w:r>
            <w:r w:rsidR="008F4560" w:rsidRPr="006A4EF4">
              <w:t xml:space="preserve"> knowledge and experience</w:t>
            </w:r>
          </w:p>
        </w:tc>
        <w:tc>
          <w:tcPr>
            <w:tcW w:w="4508" w:type="dxa"/>
          </w:tcPr>
          <w:p w14:paraId="7401B33A" w14:textId="4EAF6101" w:rsidR="008F4560" w:rsidRPr="00BA2D70" w:rsidRDefault="0054732D" w:rsidP="00BE1577">
            <w:pPr>
              <w:spacing w:line="480" w:lineRule="auto"/>
            </w:pPr>
            <w:r>
              <w:t xml:space="preserve">Indigenous </w:t>
            </w:r>
            <w:r w:rsidR="009006BC">
              <w:t>PHCS staff members</w:t>
            </w:r>
            <w:r>
              <w:t xml:space="preserve"> guiding</w:t>
            </w:r>
            <w:r w:rsidR="009006BC">
              <w:t xml:space="preserve"> the</w:t>
            </w:r>
            <w:r>
              <w:t xml:space="preserve"> </w:t>
            </w:r>
            <w:r w:rsidR="00086AA0">
              <w:t xml:space="preserve">development of a </w:t>
            </w:r>
            <w:r w:rsidR="006A4EF4">
              <w:t>wellbeing program f</w:t>
            </w:r>
            <w:r w:rsidR="00D51137">
              <w:t xml:space="preserve">or implementation </w:t>
            </w:r>
            <w:r w:rsidR="006A4EF4">
              <w:t>and evaluation at a PHCS</w:t>
            </w:r>
          </w:p>
        </w:tc>
      </w:tr>
      <w:tr w:rsidR="008F4560" w14:paraId="19E77EB4" w14:textId="77777777" w:rsidTr="00561DC8">
        <w:trPr>
          <w:trHeight w:val="1167"/>
        </w:trPr>
        <w:tc>
          <w:tcPr>
            <w:tcW w:w="4508" w:type="dxa"/>
          </w:tcPr>
          <w:p w14:paraId="1D1DB1D2" w14:textId="34D7A71A" w:rsidR="008F4560" w:rsidRPr="00B36483" w:rsidRDefault="008F4560" w:rsidP="00BE1577">
            <w:pPr>
              <w:spacing w:line="480" w:lineRule="auto"/>
              <w:rPr>
                <w:b/>
              </w:rPr>
            </w:pPr>
            <w:r>
              <w:lastRenderedPageBreak/>
              <w:t>Demonstration of negotiation of agreements about ownership and rights to intellectual and cultural property</w:t>
            </w:r>
          </w:p>
        </w:tc>
        <w:tc>
          <w:tcPr>
            <w:tcW w:w="4508" w:type="dxa"/>
          </w:tcPr>
          <w:p w14:paraId="15FCAF8D" w14:textId="0BDFDA70" w:rsidR="008F4560" w:rsidRPr="00BA2D70" w:rsidRDefault="00196A1F" w:rsidP="00BE1577">
            <w:pPr>
              <w:spacing w:line="480" w:lineRule="auto"/>
            </w:pPr>
            <w:r>
              <w:t>Community and researchers jointly conduct</w:t>
            </w:r>
            <w:r w:rsidR="006F2416">
              <w:t>ing</w:t>
            </w:r>
            <w:r>
              <w:t xml:space="preserve"> research into Traditional Bush Medicine</w:t>
            </w:r>
            <w:r w:rsidR="006F2416">
              <w:t>, where an agreement is described</w:t>
            </w:r>
            <w:r w:rsidR="007E73D9">
              <w:t xml:space="preserve"> that</w:t>
            </w:r>
            <w:r w:rsidR="006F2416">
              <w:t xml:space="preserve"> </w:t>
            </w:r>
            <w:r w:rsidR="007E73D9">
              <w:t xml:space="preserve">protects and  </w:t>
            </w:r>
            <w:r w:rsidR="006F2416">
              <w:t>maintain</w:t>
            </w:r>
            <w:r w:rsidR="007E73D9">
              <w:t>s</w:t>
            </w:r>
            <w:r w:rsidR="006F2416">
              <w:t xml:space="preserve"> Community</w:t>
            </w:r>
            <w:r w:rsidR="007E73D9">
              <w:t xml:space="preserve"> </w:t>
            </w:r>
            <w:r w:rsidR="006F2416">
              <w:t>owners</w:t>
            </w:r>
            <w:r w:rsidR="007E73D9">
              <w:t>hip</w:t>
            </w:r>
            <w:r w:rsidR="006F2416">
              <w:t xml:space="preserve"> of intellectual and cultural property arising from the research</w:t>
            </w:r>
          </w:p>
        </w:tc>
      </w:tr>
      <w:tr w:rsidR="008F4560" w14:paraId="6CE64DBD" w14:textId="77777777" w:rsidTr="00561DC8">
        <w:trPr>
          <w:trHeight w:val="1167"/>
        </w:trPr>
        <w:tc>
          <w:tcPr>
            <w:tcW w:w="4508" w:type="dxa"/>
          </w:tcPr>
          <w:p w14:paraId="4DF5ABAB" w14:textId="0EA2C13B" w:rsidR="008F4560" w:rsidRPr="00B36483" w:rsidRDefault="008F4560" w:rsidP="00BE1577">
            <w:pPr>
              <w:spacing w:line="480" w:lineRule="auto"/>
              <w:rPr>
                <w:b/>
              </w:rPr>
            </w:pPr>
            <w:r>
              <w:t>Processes of reaching agreements that demonstrate engaging with local values and</w:t>
            </w:r>
            <w:r w:rsidR="00BD699B">
              <w:t>/or</w:t>
            </w:r>
            <w:r>
              <w:t xml:space="preserve"> processes</w:t>
            </w:r>
          </w:p>
        </w:tc>
        <w:tc>
          <w:tcPr>
            <w:tcW w:w="4508" w:type="dxa"/>
          </w:tcPr>
          <w:p w14:paraId="77114739" w14:textId="0A6F436D" w:rsidR="00755BA2" w:rsidRPr="00BA2D70" w:rsidRDefault="00DB7105" w:rsidP="00BE1577">
            <w:pPr>
              <w:spacing w:line="480" w:lineRule="auto"/>
            </w:pPr>
            <w:r>
              <w:t>Following</w:t>
            </w:r>
            <w:r w:rsidR="00177145">
              <w:t xml:space="preserve"> </w:t>
            </w:r>
            <w:r w:rsidR="00DF687F">
              <w:t>PHCS</w:t>
            </w:r>
            <w:r w:rsidR="00177145">
              <w:t xml:space="preserve"> request</w:t>
            </w:r>
            <w:r w:rsidR="00DF687F">
              <w:t>,</w:t>
            </w:r>
            <w:r w:rsidR="00177145">
              <w:t xml:space="preserve"> researchers present/</w:t>
            </w:r>
            <w:r w:rsidR="000C3F1A">
              <w:t>discuss research idea with</w:t>
            </w:r>
            <w:r w:rsidR="00177145">
              <w:t xml:space="preserve"> the</w:t>
            </w:r>
            <w:r w:rsidR="000C3F1A">
              <w:t xml:space="preserve"> PHCS Research Committee</w:t>
            </w:r>
            <w:r w:rsidR="000C3F1A" w:rsidRPr="00DE74E6">
              <w:rPr>
                <w:vertAlign w:val="superscript"/>
              </w:rPr>
              <w:t>#</w:t>
            </w:r>
            <w:r w:rsidR="000C3F1A">
              <w:t xml:space="preserve"> (local process)</w:t>
            </w:r>
            <w:r w:rsidR="00177145">
              <w:t xml:space="preserve">, </w:t>
            </w:r>
            <w:r w:rsidR="00BD699B">
              <w:t>and/or</w:t>
            </w:r>
            <w:r w:rsidR="00177145">
              <w:t xml:space="preserve"> modification of the research according to local preference (local values)</w:t>
            </w:r>
          </w:p>
        </w:tc>
      </w:tr>
      <w:tr w:rsidR="008F4560" w14:paraId="768677C8" w14:textId="77777777" w:rsidTr="00561DC8">
        <w:trPr>
          <w:trHeight w:val="1167"/>
        </w:trPr>
        <w:tc>
          <w:tcPr>
            <w:tcW w:w="4508" w:type="dxa"/>
          </w:tcPr>
          <w:p w14:paraId="3A8DD921" w14:textId="091029C1" w:rsidR="008F4560" w:rsidRPr="00B36483" w:rsidRDefault="008F4560" w:rsidP="00BE1577">
            <w:pPr>
              <w:spacing w:line="480" w:lineRule="auto"/>
              <w:rPr>
                <w:b/>
              </w:rPr>
            </w:pPr>
            <w:r>
              <w:t>Communit</w:t>
            </w:r>
            <w:r w:rsidR="00F3363A">
              <w:t>y/</w:t>
            </w:r>
            <w:proofErr w:type="spellStart"/>
            <w:r>
              <w:t>ies</w:t>
            </w:r>
            <w:proofErr w:type="spellEnd"/>
            <w:r>
              <w:t xml:space="preserve"> expressed satisfaction with research agreements and processes</w:t>
            </w:r>
          </w:p>
        </w:tc>
        <w:tc>
          <w:tcPr>
            <w:tcW w:w="4508" w:type="dxa"/>
          </w:tcPr>
          <w:p w14:paraId="3F9FF4FE" w14:textId="15070AC3" w:rsidR="008F4560" w:rsidRPr="00BA2D70" w:rsidRDefault="004C26B5" w:rsidP="00BE1577">
            <w:pPr>
              <w:spacing w:line="480" w:lineRule="auto"/>
            </w:pPr>
            <w:r>
              <w:t>A</w:t>
            </w:r>
            <w:r w:rsidR="00DB7105">
              <w:t>pproval from the PHCS Research Committee</w:t>
            </w:r>
            <w:r w:rsidR="00DB7105" w:rsidRPr="00DE74E6">
              <w:rPr>
                <w:vertAlign w:val="superscript"/>
              </w:rPr>
              <w:t>#</w:t>
            </w:r>
            <w:r>
              <w:rPr>
                <w:vertAlign w:val="superscript"/>
              </w:rPr>
              <w:t xml:space="preserve"> </w:t>
            </w:r>
            <w:r>
              <w:t xml:space="preserve">for the conduct of a </w:t>
            </w:r>
            <w:r w:rsidR="00DB7105">
              <w:t>research study</w:t>
            </w:r>
            <w:r>
              <w:t xml:space="preserve"> at the PHCS</w:t>
            </w:r>
          </w:p>
        </w:tc>
      </w:tr>
      <w:tr w:rsidR="008F4560" w14:paraId="4A8FD922" w14:textId="77777777" w:rsidTr="00561DC8">
        <w:trPr>
          <w:trHeight w:val="1167"/>
        </w:trPr>
        <w:tc>
          <w:tcPr>
            <w:tcW w:w="4508" w:type="dxa"/>
          </w:tcPr>
          <w:p w14:paraId="4C675711" w14:textId="43B871F8" w:rsidR="008F4560" w:rsidRPr="00B36483" w:rsidRDefault="008F4560" w:rsidP="00BE1577">
            <w:pPr>
              <w:spacing w:line="480" w:lineRule="auto"/>
              <w:rPr>
                <w:b/>
              </w:rPr>
            </w:pPr>
            <w:r>
              <w:t xml:space="preserve">Agreements that include data management, publication arrangements and </w:t>
            </w:r>
            <w:r w:rsidR="00B72A36">
              <w:t>where identity of participants is protected</w:t>
            </w:r>
          </w:p>
        </w:tc>
        <w:tc>
          <w:tcPr>
            <w:tcW w:w="4508" w:type="dxa"/>
          </w:tcPr>
          <w:p w14:paraId="2CE0E3CC" w14:textId="5D2AAC43" w:rsidR="008F4560" w:rsidRPr="00BA2D70" w:rsidRDefault="00DE74E6" w:rsidP="00BE1577">
            <w:pPr>
              <w:spacing w:line="480" w:lineRule="auto"/>
            </w:pPr>
            <w:r>
              <w:t xml:space="preserve">A </w:t>
            </w:r>
            <w:r w:rsidR="00086AA0">
              <w:t xml:space="preserve">contract involving researchers and </w:t>
            </w:r>
            <w:r>
              <w:t xml:space="preserve">PHCS </w:t>
            </w:r>
            <w:r w:rsidR="00086AA0">
              <w:t xml:space="preserve">that includes: </w:t>
            </w:r>
            <w:r w:rsidR="00B72A36">
              <w:t>data management, publication arrangement</w:t>
            </w:r>
            <w:r w:rsidR="00086AA0">
              <w:t xml:space="preserve"> and protection of community and individual identity</w:t>
            </w:r>
          </w:p>
        </w:tc>
      </w:tr>
      <w:tr w:rsidR="00D51137" w14:paraId="5AE6B650" w14:textId="77777777" w:rsidTr="009006BC">
        <w:trPr>
          <w:trHeight w:val="91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D1A0962" w14:textId="7BC9D41C" w:rsidR="00D51137" w:rsidRDefault="00D51137" w:rsidP="00BE1577">
            <w:pPr>
              <w:spacing w:line="480" w:lineRule="auto"/>
            </w:pPr>
            <w:r w:rsidRPr="00CC0D82">
              <w:t xml:space="preserve">Equality: Research </w:t>
            </w:r>
            <w:r>
              <w:t>that</w:t>
            </w:r>
            <w:r w:rsidRPr="00CC0D82">
              <w:t xml:space="preserve"> </w:t>
            </w:r>
            <w:r>
              <w:t xml:space="preserve">recognises </w:t>
            </w:r>
            <w:r w:rsidRPr="00CC0D82">
              <w:t xml:space="preserve">the equal </w:t>
            </w:r>
            <w:r w:rsidRPr="00F0154A">
              <w:t xml:space="preserve">value of all people involved in research, distributive fairness and </w:t>
            </w:r>
            <w:r w:rsidR="0040471B">
              <w:t>justice</w:t>
            </w:r>
          </w:p>
        </w:tc>
      </w:tr>
      <w:tr w:rsidR="00D51137" w14:paraId="7FB02EF3" w14:textId="77777777" w:rsidTr="00E807BA">
        <w:trPr>
          <w:trHeight w:val="635"/>
        </w:trPr>
        <w:tc>
          <w:tcPr>
            <w:tcW w:w="4508" w:type="dxa"/>
            <w:shd w:val="clear" w:color="auto" w:fill="D9D9D9" w:themeFill="background1" w:themeFillShade="D9"/>
          </w:tcPr>
          <w:p w14:paraId="73F0FF1A" w14:textId="09F0DAEE" w:rsidR="00D51137" w:rsidRPr="00CC0D82" w:rsidRDefault="00D51137" w:rsidP="00BE1577">
            <w:pPr>
              <w:spacing w:line="480" w:lineRule="auto"/>
            </w:pPr>
            <w:r>
              <w:t>Potential action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6E9BACD" w14:textId="780B84C5" w:rsidR="00D51137" w:rsidRPr="00CC0D82" w:rsidRDefault="00D51137" w:rsidP="00BE1577">
            <w:pPr>
              <w:spacing w:line="480" w:lineRule="auto"/>
            </w:pPr>
            <w:r>
              <w:t>Example of potential action</w:t>
            </w:r>
          </w:p>
        </w:tc>
      </w:tr>
      <w:tr w:rsidR="00D51137" w14:paraId="5031B745" w14:textId="77777777" w:rsidTr="00561DC8">
        <w:trPr>
          <w:trHeight w:val="1167"/>
        </w:trPr>
        <w:tc>
          <w:tcPr>
            <w:tcW w:w="4508" w:type="dxa"/>
          </w:tcPr>
          <w:p w14:paraId="61A687E4" w14:textId="0C830128" w:rsidR="00D51137" w:rsidRDefault="00D51137" w:rsidP="00BE1577">
            <w:pPr>
              <w:spacing w:line="480" w:lineRule="auto"/>
            </w:pPr>
            <w:r>
              <w:t xml:space="preserve">Demonstration of equality </w:t>
            </w:r>
            <w:r w:rsidR="009C5F99">
              <w:t>between individuals, communities and researchers during the research process</w:t>
            </w:r>
          </w:p>
        </w:tc>
        <w:tc>
          <w:tcPr>
            <w:tcW w:w="4508" w:type="dxa"/>
          </w:tcPr>
          <w:p w14:paraId="4CB82A0B" w14:textId="261DC4BF" w:rsidR="00D51137" w:rsidRDefault="00362661" w:rsidP="00BE1577">
            <w:pPr>
              <w:spacing w:line="480" w:lineRule="auto"/>
            </w:pPr>
            <w:r>
              <w:t>Process to gain input from PHCS Research Committee</w:t>
            </w:r>
            <w:r w:rsidRPr="00DE74E6">
              <w:rPr>
                <w:vertAlign w:val="superscript"/>
              </w:rPr>
              <w:t>#</w:t>
            </w:r>
            <w:r>
              <w:t xml:space="preserve"> and/or staff members to ensure  interpretation of research findings are correct</w:t>
            </w:r>
            <w:r w:rsidR="002575C7">
              <w:t xml:space="preserve"> </w:t>
            </w:r>
          </w:p>
        </w:tc>
      </w:tr>
      <w:tr w:rsidR="00D51137" w14:paraId="2BC5DB0E" w14:textId="77777777" w:rsidTr="00DE74E6">
        <w:trPr>
          <w:trHeight w:val="699"/>
        </w:trPr>
        <w:tc>
          <w:tcPr>
            <w:tcW w:w="4508" w:type="dxa"/>
          </w:tcPr>
          <w:p w14:paraId="623EE581" w14:textId="35926C01" w:rsidR="00D51137" w:rsidRDefault="002B62ED" w:rsidP="00BE1577">
            <w:pPr>
              <w:spacing w:line="480" w:lineRule="auto"/>
            </w:pPr>
            <w:r>
              <w:lastRenderedPageBreak/>
              <w:t>Demonstration of communit</w:t>
            </w:r>
            <w:r w:rsidR="00DE74E6">
              <w:t>y/</w:t>
            </w:r>
            <w:proofErr w:type="spellStart"/>
            <w:r>
              <w:t>ies’</w:t>
            </w:r>
            <w:proofErr w:type="spellEnd"/>
            <w:r>
              <w:t xml:space="preserve"> understanding </w:t>
            </w:r>
            <w:r w:rsidR="00390E39">
              <w:t>(and expressed</w:t>
            </w:r>
            <w:r>
              <w:t xml:space="preserve"> satisfaction</w:t>
            </w:r>
            <w:r w:rsidR="00390E39">
              <w:t>)</w:t>
            </w:r>
            <w:r>
              <w:t xml:space="preserve"> with the research, </w:t>
            </w:r>
            <w:r w:rsidR="00390E39">
              <w:t xml:space="preserve">its </w:t>
            </w:r>
            <w:r>
              <w:t xml:space="preserve">potential benefits and their distribution. This includes </w:t>
            </w:r>
            <w:r w:rsidR="00015089">
              <w:t xml:space="preserve">prior to research </w:t>
            </w:r>
            <w:r>
              <w:t>the p</w:t>
            </w:r>
            <w:r w:rsidR="00D51137">
              <w:t xml:space="preserve">rovision of information to the community </w:t>
            </w:r>
            <w:r w:rsidR="009C5F99">
              <w:t>in a way that is understood and usable</w:t>
            </w:r>
          </w:p>
        </w:tc>
        <w:tc>
          <w:tcPr>
            <w:tcW w:w="4508" w:type="dxa"/>
          </w:tcPr>
          <w:p w14:paraId="21F76AB8" w14:textId="4B4CE96A" w:rsidR="00D51137" w:rsidRDefault="00000BC1" w:rsidP="00BE1577">
            <w:pPr>
              <w:spacing w:line="480" w:lineRule="auto"/>
            </w:pPr>
            <w:r>
              <w:t>R</w:t>
            </w:r>
            <w:r w:rsidR="006722E4">
              <w:t>esearchers attend</w:t>
            </w:r>
            <w:r>
              <w:t>ing</w:t>
            </w:r>
            <w:r w:rsidR="006722E4">
              <w:t xml:space="preserve"> </w:t>
            </w:r>
            <w:r w:rsidR="00DE74E6">
              <w:t>PHCS Research Committee</w:t>
            </w:r>
            <w:r w:rsidR="00366AC5" w:rsidRPr="00DE74E6">
              <w:rPr>
                <w:vertAlign w:val="superscript"/>
              </w:rPr>
              <w:t>#</w:t>
            </w:r>
            <w:r w:rsidR="00DE74E6">
              <w:rPr>
                <w:vertAlign w:val="superscript"/>
              </w:rPr>
              <w:t xml:space="preserve"> </w:t>
            </w:r>
            <w:r w:rsidR="004C26B5">
              <w:rPr>
                <w:vertAlign w:val="superscript"/>
              </w:rPr>
              <w:t xml:space="preserve"> </w:t>
            </w:r>
            <w:r w:rsidR="006722E4">
              <w:t>meeting</w:t>
            </w:r>
            <w:r w:rsidR="004C26B5">
              <w:t>/</w:t>
            </w:r>
            <w:r w:rsidR="006722E4">
              <w:t>s</w:t>
            </w:r>
            <w:r w:rsidR="004C26B5">
              <w:t xml:space="preserve">, where all aspects of a potential study are discussed, prior to the provision of </w:t>
            </w:r>
            <w:r w:rsidR="00DA38C7">
              <w:t xml:space="preserve">consent </w:t>
            </w:r>
            <w:r w:rsidR="004C26B5">
              <w:t xml:space="preserve">for the PHCS </w:t>
            </w:r>
            <w:r w:rsidR="006722E4">
              <w:t>to participate</w:t>
            </w:r>
            <w:r w:rsidR="004C26B5">
              <w:t xml:space="preserve"> in the study</w:t>
            </w:r>
          </w:p>
        </w:tc>
      </w:tr>
      <w:tr w:rsidR="00C309D2" w14:paraId="227DF23F" w14:textId="77777777" w:rsidTr="00C309D2">
        <w:trPr>
          <w:trHeight w:val="116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0B03214" w14:textId="51D26204" w:rsidR="00C309D2" w:rsidRPr="00E807BA" w:rsidRDefault="00C309D2" w:rsidP="00BE1577">
            <w:pPr>
              <w:spacing w:line="480" w:lineRule="auto"/>
              <w:rPr>
                <w:color w:val="FF0000"/>
              </w:rPr>
            </w:pPr>
            <w:r w:rsidRPr="00F623F5">
              <w:t>Responsibility: Research that does no harm to individuals and communities and the things that they value, or processes that ensure researcher accountability to individuals, families and communities</w:t>
            </w:r>
          </w:p>
        </w:tc>
      </w:tr>
      <w:tr w:rsidR="00C309D2" w14:paraId="48B388FC" w14:textId="77777777" w:rsidTr="000D3229">
        <w:trPr>
          <w:trHeight w:val="611"/>
        </w:trPr>
        <w:tc>
          <w:tcPr>
            <w:tcW w:w="4508" w:type="dxa"/>
            <w:shd w:val="clear" w:color="auto" w:fill="D9D9D9" w:themeFill="background1" w:themeFillShade="D9"/>
          </w:tcPr>
          <w:p w14:paraId="1D8A04AD" w14:textId="185B5671" w:rsidR="00C309D2" w:rsidRPr="00C309D2" w:rsidRDefault="00C309D2" w:rsidP="00BE1577">
            <w:pPr>
              <w:spacing w:line="480" w:lineRule="auto"/>
              <w:rPr>
                <w:b/>
              </w:rPr>
            </w:pPr>
            <w:r>
              <w:t>Potential action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2E22508" w14:textId="5E9CD6CC" w:rsidR="00C309D2" w:rsidRPr="00C309D2" w:rsidRDefault="00C309D2" w:rsidP="00BE1577">
            <w:pPr>
              <w:spacing w:line="480" w:lineRule="auto"/>
              <w:rPr>
                <w:b/>
              </w:rPr>
            </w:pPr>
            <w:r>
              <w:t>Example of potential action</w:t>
            </w:r>
          </w:p>
        </w:tc>
      </w:tr>
      <w:tr w:rsidR="00D51137" w14:paraId="3B96F439" w14:textId="77777777" w:rsidTr="00CE1480">
        <w:trPr>
          <w:trHeight w:val="1399"/>
        </w:trPr>
        <w:tc>
          <w:tcPr>
            <w:tcW w:w="4508" w:type="dxa"/>
          </w:tcPr>
          <w:p w14:paraId="424EF0F5" w14:textId="0BA30FBC" w:rsidR="00D51137" w:rsidRDefault="00C309D2" w:rsidP="00BE1577">
            <w:pPr>
              <w:spacing w:line="480" w:lineRule="auto"/>
            </w:pPr>
            <w:r>
              <w:t xml:space="preserve">Demonstration of researcher transparency </w:t>
            </w:r>
            <w:r w:rsidRPr="00B20C2F">
              <w:t>in</w:t>
            </w:r>
            <w:r>
              <w:t>cluding</w:t>
            </w:r>
            <w:r w:rsidRPr="00B20C2F">
              <w:t xml:space="preserve"> negotiations related to research purpose, methodology, conduc</w:t>
            </w:r>
            <w:r>
              <w:t>t and dissemination of findings</w:t>
            </w:r>
          </w:p>
        </w:tc>
        <w:tc>
          <w:tcPr>
            <w:tcW w:w="4508" w:type="dxa"/>
          </w:tcPr>
          <w:p w14:paraId="697EABF0" w14:textId="3B0EAD02" w:rsidR="00D51137" w:rsidRDefault="00F623F5" w:rsidP="00BE1577">
            <w:pPr>
              <w:spacing w:line="480" w:lineRule="auto"/>
            </w:pPr>
            <w:r w:rsidRPr="00921F47">
              <w:t xml:space="preserve">Documentation of </w:t>
            </w:r>
            <w:r w:rsidR="00921F47" w:rsidRPr="00921F47">
              <w:t xml:space="preserve">upfront </w:t>
            </w:r>
            <w:r w:rsidRPr="00921F47">
              <w:t>communications between researcher</w:t>
            </w:r>
            <w:r w:rsidR="00DE74E6">
              <w:t>s</w:t>
            </w:r>
            <w:r w:rsidRPr="00921F47">
              <w:t xml:space="preserve"> and</w:t>
            </w:r>
            <w:r w:rsidR="00DE74E6">
              <w:t xml:space="preserve"> PHCS Research Committee</w:t>
            </w:r>
            <w:r w:rsidR="00366AC5" w:rsidRPr="00DE74E6">
              <w:rPr>
                <w:vertAlign w:val="superscript"/>
              </w:rPr>
              <w:t>#</w:t>
            </w:r>
            <w:r w:rsidRPr="00921F47">
              <w:t xml:space="preserve"> </w:t>
            </w:r>
            <w:r w:rsidR="00015089">
              <w:t xml:space="preserve">members </w:t>
            </w:r>
            <w:r w:rsidRPr="00921F47">
              <w:t xml:space="preserve">related to </w:t>
            </w:r>
            <w:r w:rsidR="009006BC">
              <w:t xml:space="preserve">expected </w:t>
            </w:r>
            <w:r w:rsidRPr="00921F47">
              <w:t>timeframes</w:t>
            </w:r>
            <w:r w:rsidR="009006BC">
              <w:t xml:space="preserve"> for the research</w:t>
            </w:r>
          </w:p>
        </w:tc>
      </w:tr>
      <w:tr w:rsidR="00D51137" w14:paraId="624D3564" w14:textId="77777777" w:rsidTr="007B0F07">
        <w:trPr>
          <w:trHeight w:val="911"/>
        </w:trPr>
        <w:tc>
          <w:tcPr>
            <w:tcW w:w="4508" w:type="dxa"/>
          </w:tcPr>
          <w:p w14:paraId="440F741D" w14:textId="7502FA36" w:rsidR="00D51137" w:rsidRDefault="00C309D2" w:rsidP="00BE1577">
            <w:pPr>
              <w:spacing w:line="480" w:lineRule="auto"/>
            </w:pPr>
            <w:r>
              <w:t xml:space="preserve">Establishment of </w:t>
            </w:r>
            <w:r w:rsidR="00A44930">
              <w:t>mechanisms to provide ongoing community review of the research</w:t>
            </w:r>
          </w:p>
        </w:tc>
        <w:tc>
          <w:tcPr>
            <w:tcW w:w="4508" w:type="dxa"/>
          </w:tcPr>
          <w:p w14:paraId="1FE654BA" w14:textId="3D10009D" w:rsidR="00D51137" w:rsidRDefault="00F623F5" w:rsidP="00BE1577">
            <w:pPr>
              <w:spacing w:line="480" w:lineRule="auto"/>
            </w:pPr>
            <w:r>
              <w:t>R</w:t>
            </w:r>
            <w:r w:rsidR="00CE1480">
              <w:t>egular meetings between researchers</w:t>
            </w:r>
            <w:r w:rsidR="001E21FA">
              <w:t xml:space="preserve"> and </w:t>
            </w:r>
            <w:r w:rsidR="00DE74E6">
              <w:t>PHCS Research Committee</w:t>
            </w:r>
            <w:r w:rsidR="00366AC5" w:rsidRPr="00DE74E6">
              <w:rPr>
                <w:vertAlign w:val="superscript"/>
              </w:rPr>
              <w:t>#</w:t>
            </w:r>
            <w:r w:rsidR="00DE74E6">
              <w:t xml:space="preserve"> </w:t>
            </w:r>
            <w:r w:rsidR="00015089">
              <w:t xml:space="preserve">members </w:t>
            </w:r>
            <w:r w:rsidR="000D3229">
              <w:t>throughout the research to monitor and review it</w:t>
            </w:r>
            <w:r w:rsidR="009006BC">
              <w:t>s</w:t>
            </w:r>
            <w:r w:rsidR="000D3229">
              <w:t xml:space="preserve"> progress</w:t>
            </w:r>
          </w:p>
        </w:tc>
      </w:tr>
      <w:tr w:rsidR="00D51137" w14:paraId="1680DADD" w14:textId="77777777" w:rsidTr="00561DC8">
        <w:trPr>
          <w:trHeight w:val="1167"/>
        </w:trPr>
        <w:tc>
          <w:tcPr>
            <w:tcW w:w="4508" w:type="dxa"/>
          </w:tcPr>
          <w:p w14:paraId="01ED39CD" w14:textId="3B274C00" w:rsidR="00D51137" w:rsidRDefault="00C309D2" w:rsidP="00BE1577">
            <w:pPr>
              <w:spacing w:line="480" w:lineRule="auto"/>
            </w:pPr>
            <w:r>
              <w:t xml:space="preserve">Demonstrated mechanisms to provide </w:t>
            </w:r>
            <w:r w:rsidR="007B0F07">
              <w:t>feedback to communities related to expressed concerns, values and expectations</w:t>
            </w:r>
          </w:p>
        </w:tc>
        <w:tc>
          <w:tcPr>
            <w:tcW w:w="4508" w:type="dxa"/>
          </w:tcPr>
          <w:p w14:paraId="04CF0F0B" w14:textId="0FB968C1" w:rsidR="00D51137" w:rsidRDefault="0078737A" w:rsidP="00BE1577">
            <w:pPr>
              <w:spacing w:line="480" w:lineRule="auto"/>
            </w:pPr>
            <w:r>
              <w:t>Presentation</w:t>
            </w:r>
            <w:r w:rsidR="007B0F07">
              <w:t xml:space="preserve"> of </w:t>
            </w:r>
            <w:r w:rsidR="00B84739">
              <w:t>research</w:t>
            </w:r>
            <w:r w:rsidR="007B0F07">
              <w:t xml:space="preserve"> findings</w:t>
            </w:r>
            <w:r>
              <w:t xml:space="preserve"> </w:t>
            </w:r>
            <w:r w:rsidR="000D3229">
              <w:t xml:space="preserve">identified by the community as </w:t>
            </w:r>
            <w:r>
              <w:t>relevant</w:t>
            </w:r>
            <w:r w:rsidR="00015089">
              <w:t>,</w:t>
            </w:r>
            <w:r>
              <w:t xml:space="preserve"> at</w:t>
            </w:r>
            <w:r w:rsidR="009006BC">
              <w:t xml:space="preserve"> PHCS Research Committee</w:t>
            </w:r>
            <w:r w:rsidR="009006BC" w:rsidRPr="00DE74E6">
              <w:rPr>
                <w:vertAlign w:val="superscript"/>
              </w:rPr>
              <w:t>#</w:t>
            </w:r>
            <w:r w:rsidR="00015089">
              <w:rPr>
                <w:vertAlign w:val="superscript"/>
              </w:rPr>
              <w:t xml:space="preserve">  </w:t>
            </w:r>
            <w:r w:rsidR="00015089" w:rsidRPr="00BE1577">
              <w:t>meetings</w:t>
            </w:r>
          </w:p>
        </w:tc>
      </w:tr>
      <w:tr w:rsidR="00C309D2" w14:paraId="741C3E43" w14:textId="77777777" w:rsidTr="00561DC8">
        <w:trPr>
          <w:trHeight w:val="1167"/>
        </w:trPr>
        <w:tc>
          <w:tcPr>
            <w:tcW w:w="4508" w:type="dxa"/>
          </w:tcPr>
          <w:p w14:paraId="59845E15" w14:textId="4D772EAB" w:rsidR="00C309D2" w:rsidRDefault="00C309D2" w:rsidP="00BE1577">
            <w:pPr>
              <w:spacing w:line="480" w:lineRule="auto"/>
            </w:pPr>
            <w:r>
              <w:lastRenderedPageBreak/>
              <w:t>Agreements related to publications arrangements, joint sign-off or the protection of individual and community identity</w:t>
            </w:r>
          </w:p>
        </w:tc>
        <w:tc>
          <w:tcPr>
            <w:tcW w:w="4508" w:type="dxa"/>
          </w:tcPr>
          <w:p w14:paraId="461A2578" w14:textId="5EF39914" w:rsidR="00C309D2" w:rsidRDefault="000D3229" w:rsidP="00BE1577">
            <w:pPr>
              <w:spacing w:line="480" w:lineRule="auto"/>
            </w:pPr>
            <w:r>
              <w:t>Agreements where PHCS staff members and researchers jointly review findings and develop publications</w:t>
            </w:r>
          </w:p>
        </w:tc>
      </w:tr>
      <w:tr w:rsidR="001E21FA" w14:paraId="141F2902" w14:textId="77777777" w:rsidTr="00BE1577">
        <w:trPr>
          <w:trHeight w:val="83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4614EF7" w14:textId="02B2155B" w:rsidR="001E21FA" w:rsidRDefault="001E21FA" w:rsidP="00BE1577">
            <w:pPr>
              <w:spacing w:line="480" w:lineRule="auto"/>
            </w:pPr>
            <w:r w:rsidRPr="003F1A07">
              <w:t xml:space="preserve">Survival and Protection: Research </w:t>
            </w:r>
            <w:r>
              <w:t>that</w:t>
            </w:r>
            <w:r w:rsidRPr="003F1A07">
              <w:t xml:space="preserve"> demonstrate</w:t>
            </w:r>
            <w:r>
              <w:t>s</w:t>
            </w:r>
            <w:r w:rsidRPr="003F1A07">
              <w:t xml:space="preserve"> how</w:t>
            </w:r>
            <w:r>
              <w:t xml:space="preserve"> it </w:t>
            </w:r>
            <w:r w:rsidRPr="003F1A07">
              <w:t>will protect personal and collective bonds</w:t>
            </w:r>
            <w:r>
              <w:t>,</w:t>
            </w:r>
            <w:r w:rsidRPr="003F1A07">
              <w:t xml:space="preserve"> </w:t>
            </w:r>
            <w:r>
              <w:t>or</w:t>
            </w:r>
            <w:r w:rsidRPr="003F1A07">
              <w:t xml:space="preserve"> the cultural</w:t>
            </w:r>
            <w:r w:rsidR="00EF6A93">
              <w:t xml:space="preserve"> distinctiveness of communities</w:t>
            </w:r>
          </w:p>
        </w:tc>
      </w:tr>
      <w:tr w:rsidR="001E21FA" w14:paraId="4235004D" w14:textId="77777777" w:rsidTr="000D3229">
        <w:trPr>
          <w:trHeight w:val="593"/>
        </w:trPr>
        <w:tc>
          <w:tcPr>
            <w:tcW w:w="4508" w:type="dxa"/>
            <w:shd w:val="clear" w:color="auto" w:fill="D9D9D9" w:themeFill="background1" w:themeFillShade="D9"/>
          </w:tcPr>
          <w:p w14:paraId="4A6C2B46" w14:textId="4A565929" w:rsidR="001E21FA" w:rsidRPr="003F1A07" w:rsidRDefault="001E21FA" w:rsidP="00BE1577">
            <w:pPr>
              <w:spacing w:line="480" w:lineRule="auto"/>
            </w:pPr>
            <w:r>
              <w:t>Potential action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A33D9BD" w14:textId="4203DA26" w:rsidR="001E21FA" w:rsidRPr="003F1A07" w:rsidRDefault="001E21FA" w:rsidP="00BE1577">
            <w:pPr>
              <w:spacing w:line="480" w:lineRule="auto"/>
            </w:pPr>
            <w:r>
              <w:t>Example of potential action</w:t>
            </w:r>
          </w:p>
        </w:tc>
      </w:tr>
      <w:tr w:rsidR="001E21FA" w14:paraId="5E74D9FE" w14:textId="77777777" w:rsidTr="00561DC8">
        <w:trPr>
          <w:trHeight w:val="1167"/>
        </w:trPr>
        <w:tc>
          <w:tcPr>
            <w:tcW w:w="4508" w:type="dxa"/>
          </w:tcPr>
          <w:p w14:paraId="2DCB344F" w14:textId="3C55C0FE" w:rsidR="001E21FA" w:rsidRPr="00A260EC" w:rsidRDefault="001E21FA" w:rsidP="00BE1577">
            <w:pPr>
              <w:spacing w:line="480" w:lineRule="auto"/>
              <w:rPr>
                <w:color w:val="FF0000"/>
              </w:rPr>
            </w:pPr>
            <w:r w:rsidRPr="001059FB">
              <w:t>Demonstration of the contribution to social or cultural bonds</w:t>
            </w:r>
            <w:r w:rsidR="00B84739" w:rsidRPr="001059FB">
              <w:t xml:space="preserve"> among Indigenous families and communities</w:t>
            </w:r>
          </w:p>
        </w:tc>
        <w:tc>
          <w:tcPr>
            <w:tcW w:w="4508" w:type="dxa"/>
          </w:tcPr>
          <w:p w14:paraId="67A27524" w14:textId="1610FE1A" w:rsidR="001E21FA" w:rsidRDefault="00C541E0" w:rsidP="00BE1577">
            <w:pPr>
              <w:spacing w:line="480" w:lineRule="auto"/>
            </w:pPr>
            <w:r>
              <w:t xml:space="preserve">A research study into </w:t>
            </w:r>
            <w:r w:rsidR="001059FB">
              <w:t>maternal</w:t>
            </w:r>
            <w:r>
              <w:t xml:space="preserve"> health</w:t>
            </w:r>
            <w:r w:rsidR="00991508">
              <w:t xml:space="preserve"> that </w:t>
            </w:r>
            <w:r w:rsidR="001059FB">
              <w:t>involves mothers and grandmothers and is conducted with respect to women’s business</w:t>
            </w:r>
          </w:p>
        </w:tc>
      </w:tr>
      <w:tr w:rsidR="001E21FA" w14:paraId="139C8331" w14:textId="77777777" w:rsidTr="00561DC8">
        <w:trPr>
          <w:trHeight w:val="1167"/>
        </w:trPr>
        <w:tc>
          <w:tcPr>
            <w:tcW w:w="4508" w:type="dxa"/>
          </w:tcPr>
          <w:p w14:paraId="7709F3B7" w14:textId="014F2A42" w:rsidR="001E21FA" w:rsidRDefault="001E21FA" w:rsidP="00BE1577">
            <w:pPr>
              <w:spacing w:line="480" w:lineRule="auto"/>
            </w:pPr>
            <w:r>
              <w:t>Existence of safeguards against potential discriminati</w:t>
            </w:r>
            <w:r w:rsidR="00A04AB5">
              <w:t xml:space="preserve">on of individuals or cultures </w:t>
            </w:r>
          </w:p>
        </w:tc>
        <w:tc>
          <w:tcPr>
            <w:tcW w:w="4508" w:type="dxa"/>
          </w:tcPr>
          <w:p w14:paraId="53D7A9DE" w14:textId="19EA3279" w:rsidR="001E21FA" w:rsidRDefault="00C449F8" w:rsidP="00BE1577">
            <w:pPr>
              <w:spacing w:line="480" w:lineRule="auto"/>
            </w:pPr>
            <w:r>
              <w:t>De</w:t>
            </w:r>
            <w:r w:rsidR="001059FB">
              <w:t xml:space="preserve">cision not to publish </w:t>
            </w:r>
            <w:r>
              <w:t xml:space="preserve">certain demographic information </w:t>
            </w:r>
            <w:r w:rsidR="009006BC">
              <w:t xml:space="preserve">(to protect identity) </w:t>
            </w:r>
            <w:r>
              <w:t>from a study conducted in a small community</w:t>
            </w:r>
          </w:p>
        </w:tc>
      </w:tr>
      <w:tr w:rsidR="001E21FA" w14:paraId="5F59BA6E" w14:textId="77777777" w:rsidTr="00561DC8">
        <w:trPr>
          <w:trHeight w:val="1167"/>
        </w:trPr>
        <w:tc>
          <w:tcPr>
            <w:tcW w:w="4508" w:type="dxa"/>
          </w:tcPr>
          <w:p w14:paraId="1AAC9038" w14:textId="70C86CF3" w:rsidR="001E21FA" w:rsidRDefault="001E21FA" w:rsidP="00BE1577">
            <w:pPr>
              <w:spacing w:line="480" w:lineRule="auto"/>
            </w:pPr>
            <w:r>
              <w:t>Contribution to the opportunity for communities to better advocate or enjoy cultural distinctiveness</w:t>
            </w:r>
          </w:p>
        </w:tc>
        <w:tc>
          <w:tcPr>
            <w:tcW w:w="4508" w:type="dxa"/>
          </w:tcPr>
          <w:p w14:paraId="69258484" w14:textId="0E45DAB0" w:rsidR="001E21FA" w:rsidRDefault="00A260EC" w:rsidP="00BE1577">
            <w:pPr>
              <w:spacing w:line="480" w:lineRule="auto"/>
            </w:pPr>
            <w:r>
              <w:t>Identify</w:t>
            </w:r>
            <w:r w:rsidR="001C6866">
              <w:t>ing a local artist to develop a</w:t>
            </w:r>
            <w:r w:rsidR="00015089">
              <w:t>rtwork</w:t>
            </w:r>
            <w:r w:rsidR="001C6866">
              <w:t xml:space="preserve"> to represent the study</w:t>
            </w:r>
            <w:r w:rsidR="00362661">
              <w:t>, promoting local cultural</w:t>
            </w:r>
            <w:r w:rsidR="00CD08A7">
              <w:t xml:space="preserve"> uniqueness and</w:t>
            </w:r>
            <w:r w:rsidR="00362661">
              <w:t xml:space="preserve"> </w:t>
            </w:r>
            <w:r w:rsidR="00CD08A7">
              <w:t>identity</w:t>
            </w:r>
          </w:p>
        </w:tc>
      </w:tr>
      <w:tr w:rsidR="001E21FA" w14:paraId="20BF4EB4" w14:textId="77777777" w:rsidTr="00561DC8">
        <w:trPr>
          <w:trHeight w:val="1167"/>
        </w:trPr>
        <w:tc>
          <w:tcPr>
            <w:tcW w:w="4508" w:type="dxa"/>
          </w:tcPr>
          <w:p w14:paraId="2FA0A874" w14:textId="0EDF6B83" w:rsidR="001E21FA" w:rsidRPr="003F1A07" w:rsidRDefault="001E21FA" w:rsidP="00BE1577">
            <w:pPr>
              <w:spacing w:line="480" w:lineRule="auto"/>
            </w:pPr>
            <w:r>
              <w:t xml:space="preserve">Existence of strategies to reduce/eliminate threats to </w:t>
            </w:r>
            <w:r w:rsidR="00A260EC">
              <w:t>cultural distinctiveness</w:t>
            </w:r>
          </w:p>
          <w:p w14:paraId="4E02D24F" w14:textId="77777777" w:rsidR="001E21FA" w:rsidRDefault="001E21FA" w:rsidP="00BE1577">
            <w:pPr>
              <w:spacing w:line="480" w:lineRule="auto"/>
            </w:pPr>
          </w:p>
        </w:tc>
        <w:tc>
          <w:tcPr>
            <w:tcW w:w="4508" w:type="dxa"/>
          </w:tcPr>
          <w:p w14:paraId="5D4AFC56" w14:textId="6D235936" w:rsidR="001E21FA" w:rsidRDefault="0078737A" w:rsidP="00BE1577">
            <w:pPr>
              <w:spacing w:line="480" w:lineRule="auto"/>
            </w:pPr>
            <w:r>
              <w:t xml:space="preserve">Identifying a local cultural mentor to provide cultural advice to researchers to ensure local </w:t>
            </w:r>
            <w:r w:rsidR="00C541E0">
              <w:t>context is</w:t>
            </w:r>
            <w:r>
              <w:t xml:space="preserve"> considered</w:t>
            </w:r>
          </w:p>
        </w:tc>
      </w:tr>
      <w:tr w:rsidR="001E21FA" w14:paraId="16947E6E" w14:textId="77777777" w:rsidTr="00A260EC">
        <w:trPr>
          <w:trHeight w:val="116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C96781" w14:textId="01EE57D0" w:rsidR="001E21FA" w:rsidRDefault="001E21FA" w:rsidP="00BE1577">
            <w:pPr>
              <w:spacing w:line="480" w:lineRule="auto"/>
            </w:pPr>
            <w:r w:rsidRPr="000E421E">
              <w:t>Spirit and Integrity: Research</w:t>
            </w:r>
            <w:r>
              <w:t xml:space="preserve"> that</w:t>
            </w:r>
            <w:r w:rsidRPr="000E421E">
              <w:t xml:space="preserve"> respect</w:t>
            </w:r>
            <w:r>
              <w:t>s</w:t>
            </w:r>
            <w:r w:rsidRPr="000E421E">
              <w:t xml:space="preserve"> the </w:t>
            </w:r>
            <w:r>
              <w:t>continuity of the</w:t>
            </w:r>
            <w:r w:rsidRPr="000E421E">
              <w:t xml:space="preserve"> past, current and future generations</w:t>
            </w:r>
            <w:r>
              <w:t xml:space="preserve"> and </w:t>
            </w:r>
            <w:r w:rsidRPr="000E421E">
              <w:t>demonstrate</w:t>
            </w:r>
            <w:r>
              <w:t>s</w:t>
            </w:r>
            <w:r w:rsidRPr="000E421E">
              <w:t xml:space="preserve"> inte</w:t>
            </w:r>
            <w:r>
              <w:t>grity and credibility during the research</w:t>
            </w:r>
            <w:r w:rsidRPr="000E421E">
              <w:t xml:space="preserve"> process.</w:t>
            </w:r>
            <w:r>
              <w:t xml:space="preserve"> This is an overarching </w:t>
            </w:r>
            <w:r w:rsidR="00272D04">
              <w:t>V</w:t>
            </w:r>
            <w:r>
              <w:t>alue</w:t>
            </w:r>
            <w:r w:rsidR="00272D04">
              <w:t xml:space="preserve"> that</w:t>
            </w:r>
            <w:r>
              <w:t xml:space="preserve"> bind</w:t>
            </w:r>
            <w:r w:rsidR="00272D04">
              <w:t>s</w:t>
            </w:r>
            <w:r>
              <w:t xml:space="preserve"> </w:t>
            </w:r>
            <w:r w:rsidR="00272D04">
              <w:t xml:space="preserve">the </w:t>
            </w:r>
            <w:r>
              <w:t>other Values</w:t>
            </w:r>
            <w:r w:rsidR="00A260EC">
              <w:t xml:space="preserve"> together</w:t>
            </w:r>
          </w:p>
        </w:tc>
      </w:tr>
      <w:tr w:rsidR="009B3613" w14:paraId="194960A2" w14:textId="77777777" w:rsidTr="009B3613">
        <w:trPr>
          <w:trHeight w:val="634"/>
        </w:trPr>
        <w:tc>
          <w:tcPr>
            <w:tcW w:w="4508" w:type="dxa"/>
            <w:shd w:val="clear" w:color="auto" w:fill="D9D9D9" w:themeFill="background1" w:themeFillShade="D9"/>
          </w:tcPr>
          <w:p w14:paraId="33B8C7DA" w14:textId="7D5BADB1" w:rsidR="009B3613" w:rsidRPr="000E421E" w:rsidRDefault="009B3613" w:rsidP="00BE1577">
            <w:pPr>
              <w:spacing w:line="480" w:lineRule="auto"/>
            </w:pPr>
            <w:r>
              <w:lastRenderedPageBreak/>
              <w:t>Potential action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108CA66" w14:textId="3108CE4D" w:rsidR="009B3613" w:rsidRPr="000E421E" w:rsidRDefault="009B3613" w:rsidP="00BE1577">
            <w:pPr>
              <w:spacing w:line="480" w:lineRule="auto"/>
            </w:pPr>
            <w:r>
              <w:t>Example of potential action</w:t>
            </w:r>
          </w:p>
        </w:tc>
      </w:tr>
      <w:tr w:rsidR="001E21FA" w14:paraId="23AC0B3C" w14:textId="77777777" w:rsidTr="00561DC8">
        <w:trPr>
          <w:trHeight w:val="1167"/>
        </w:trPr>
        <w:tc>
          <w:tcPr>
            <w:tcW w:w="4508" w:type="dxa"/>
          </w:tcPr>
          <w:p w14:paraId="31F7863C" w14:textId="18FFB77B" w:rsidR="001E21FA" w:rsidRDefault="001E21FA" w:rsidP="00BE1577">
            <w:pPr>
              <w:spacing w:line="480" w:lineRule="auto"/>
            </w:pPr>
            <w:r>
              <w:t>Demonstration of an understanding of cultural, social and spiritual cohesion, including workable timeframes</w:t>
            </w:r>
          </w:p>
        </w:tc>
        <w:tc>
          <w:tcPr>
            <w:tcW w:w="4508" w:type="dxa"/>
          </w:tcPr>
          <w:p w14:paraId="7FE58854" w14:textId="5AC22175" w:rsidR="00272D04" w:rsidRDefault="00015089" w:rsidP="00BE1577">
            <w:pPr>
              <w:spacing w:line="480" w:lineRule="auto"/>
            </w:pPr>
            <w:r>
              <w:t>R</w:t>
            </w:r>
            <w:r w:rsidR="001F738C">
              <w:t xml:space="preserve">esearch </w:t>
            </w:r>
            <w:r w:rsidR="009B3613">
              <w:t xml:space="preserve">study </w:t>
            </w:r>
            <w:r>
              <w:t>timeframes that include reduced/minimal activities for</w:t>
            </w:r>
            <w:r w:rsidR="00272D04">
              <w:t xml:space="preserve"> important cultural events</w:t>
            </w:r>
            <w:r w:rsidR="009B3613">
              <w:t>, including</w:t>
            </w:r>
            <w:r w:rsidR="00272D04">
              <w:t xml:space="preserve"> festivals or celebrations</w:t>
            </w:r>
          </w:p>
        </w:tc>
      </w:tr>
      <w:tr w:rsidR="001E21FA" w14:paraId="41C4500F" w14:textId="77777777" w:rsidTr="00561DC8">
        <w:trPr>
          <w:trHeight w:val="1167"/>
        </w:trPr>
        <w:tc>
          <w:tcPr>
            <w:tcW w:w="4508" w:type="dxa"/>
          </w:tcPr>
          <w:p w14:paraId="606E1548" w14:textId="61BD5DB1" w:rsidR="001E21FA" w:rsidRDefault="001E21FA" w:rsidP="00BE1577">
            <w:pPr>
              <w:spacing w:line="480" w:lineRule="auto"/>
            </w:pPr>
            <w:r>
              <w:t>Recognition of the</w:t>
            </w:r>
            <w:r w:rsidR="00272D04">
              <w:t xml:space="preserve"> diversity of cultures</w:t>
            </w:r>
          </w:p>
          <w:p w14:paraId="435DF3AC" w14:textId="77777777" w:rsidR="001E21FA" w:rsidRDefault="001E21FA" w:rsidP="00BE1577">
            <w:pPr>
              <w:spacing w:line="480" w:lineRule="auto"/>
            </w:pPr>
          </w:p>
        </w:tc>
        <w:tc>
          <w:tcPr>
            <w:tcW w:w="4508" w:type="dxa"/>
          </w:tcPr>
          <w:p w14:paraId="0659E574" w14:textId="139278D7" w:rsidR="001E21FA" w:rsidRDefault="009B3613" w:rsidP="00BE1577">
            <w:pPr>
              <w:spacing w:line="480" w:lineRule="auto"/>
            </w:pPr>
            <w:r>
              <w:t>Documentation of</w:t>
            </w:r>
            <w:r w:rsidR="00A260EC">
              <w:t xml:space="preserve"> steps </w:t>
            </w:r>
            <w:r>
              <w:t>taken by researcher</w:t>
            </w:r>
            <w:r w:rsidR="00015089">
              <w:t>s</w:t>
            </w:r>
            <w:r>
              <w:t xml:space="preserve"> </w:t>
            </w:r>
            <w:r w:rsidR="00A260EC">
              <w:t>to identify</w:t>
            </w:r>
            <w:r w:rsidR="001F738C">
              <w:t xml:space="preserve"> </w:t>
            </w:r>
            <w:r w:rsidR="009006BC">
              <w:t xml:space="preserve">and comply with </w:t>
            </w:r>
            <w:r w:rsidR="001F738C">
              <w:t>local protocols f</w:t>
            </w:r>
            <w:r w:rsidR="009006BC">
              <w:t>o</w:t>
            </w:r>
            <w:r w:rsidR="001F738C">
              <w:t>r each community in a multi-centre study</w:t>
            </w:r>
          </w:p>
        </w:tc>
      </w:tr>
      <w:tr w:rsidR="001E21FA" w14:paraId="20221E92" w14:textId="77777777" w:rsidTr="00561DC8">
        <w:trPr>
          <w:trHeight w:val="1167"/>
        </w:trPr>
        <w:tc>
          <w:tcPr>
            <w:tcW w:w="4508" w:type="dxa"/>
          </w:tcPr>
          <w:p w14:paraId="1CA873C7" w14:textId="5F870B23" w:rsidR="001E21FA" w:rsidRDefault="001E21FA" w:rsidP="00BE1577">
            <w:pPr>
              <w:spacing w:line="480" w:lineRule="auto"/>
            </w:pPr>
            <w:r>
              <w:t>Demonstration of personnel integrity (specifi</w:t>
            </w:r>
            <w:r w:rsidR="00A260EC">
              <w:t>cally during study development)</w:t>
            </w:r>
          </w:p>
          <w:p w14:paraId="02F36878" w14:textId="77777777" w:rsidR="001E21FA" w:rsidRDefault="001E21FA" w:rsidP="00BE1577">
            <w:pPr>
              <w:spacing w:line="480" w:lineRule="auto"/>
            </w:pPr>
          </w:p>
        </w:tc>
        <w:tc>
          <w:tcPr>
            <w:tcW w:w="4508" w:type="dxa"/>
          </w:tcPr>
          <w:p w14:paraId="4EFB7772" w14:textId="75328321" w:rsidR="001E21FA" w:rsidRDefault="009B3613" w:rsidP="00BE1577">
            <w:pPr>
              <w:spacing w:line="480" w:lineRule="auto"/>
            </w:pPr>
            <w:r>
              <w:t>Researchers learning about local context and priorities by visiting the PHCS several times during study planning and prior to funding application</w:t>
            </w:r>
            <w:r w:rsidR="00015089">
              <w:t xml:space="preserve"> or finalisation of study protocol</w:t>
            </w:r>
          </w:p>
        </w:tc>
      </w:tr>
      <w:tr w:rsidR="001E21FA" w14:paraId="55AEEBA8" w14:textId="77777777" w:rsidTr="00561DC8">
        <w:trPr>
          <w:trHeight w:val="1167"/>
        </w:trPr>
        <w:tc>
          <w:tcPr>
            <w:tcW w:w="4508" w:type="dxa"/>
          </w:tcPr>
          <w:p w14:paraId="269F81E6" w14:textId="2FCFCAC3" w:rsidR="001E21FA" w:rsidRDefault="001E21FA" w:rsidP="00BE1577">
            <w:pPr>
              <w:spacing w:line="480" w:lineRule="auto"/>
            </w:pPr>
            <w:r>
              <w:t>Commitment to working within the spirit and integrity of the community</w:t>
            </w:r>
            <w:r w:rsidR="00DE74E6">
              <w:t>/</w:t>
            </w:r>
            <w:proofErr w:type="spellStart"/>
            <w:r w:rsidR="00DE74E6">
              <w:t>ies</w:t>
            </w:r>
            <w:proofErr w:type="spellEnd"/>
          </w:p>
        </w:tc>
        <w:tc>
          <w:tcPr>
            <w:tcW w:w="4508" w:type="dxa"/>
          </w:tcPr>
          <w:p w14:paraId="50472DA5" w14:textId="6DCC8555" w:rsidR="001E21FA" w:rsidRDefault="00DE74E6" w:rsidP="00BE1577">
            <w:pPr>
              <w:spacing w:line="480" w:lineRule="auto"/>
            </w:pPr>
            <w:r>
              <w:t>PHCS Research Committee</w:t>
            </w:r>
            <w:r w:rsidR="00366AC5" w:rsidRPr="00DE74E6">
              <w:rPr>
                <w:vertAlign w:val="superscript"/>
              </w:rPr>
              <w:t>#</w:t>
            </w:r>
            <w:r>
              <w:t xml:space="preserve"> </w:t>
            </w:r>
            <w:r w:rsidR="009B3613">
              <w:t>preferences determining</w:t>
            </w:r>
            <w:r w:rsidR="001F738C">
              <w:t xml:space="preserve"> appropriate</w:t>
            </w:r>
            <w:r w:rsidR="00A260EC">
              <w:t xml:space="preserve"> study </w:t>
            </w:r>
            <w:r w:rsidR="001F738C">
              <w:t>d</w:t>
            </w:r>
            <w:r w:rsidR="00DD5C9D">
              <w:t>esign and timeframes</w:t>
            </w:r>
          </w:p>
        </w:tc>
      </w:tr>
      <w:tr w:rsidR="008F4560" w14:paraId="1643E8A2" w14:textId="77777777" w:rsidTr="00921F47">
        <w:trPr>
          <w:trHeight w:val="1069"/>
        </w:trPr>
        <w:tc>
          <w:tcPr>
            <w:tcW w:w="9016" w:type="dxa"/>
            <w:gridSpan w:val="2"/>
          </w:tcPr>
          <w:p w14:paraId="354AF4B3" w14:textId="02C0CCA3" w:rsidR="008F4560" w:rsidRDefault="008F4560" w:rsidP="00BE1577">
            <w:pPr>
              <w:spacing w:line="480" w:lineRule="auto"/>
            </w:pPr>
            <w:r w:rsidRPr="00B36483">
              <w:rPr>
                <w:b/>
              </w:rPr>
              <w:t>Abbreviations:</w:t>
            </w:r>
            <w:r>
              <w:t xml:space="preserve"> PHCS –  primary healthcare service; RCT – randomised control trial</w:t>
            </w:r>
          </w:p>
          <w:p w14:paraId="315B4A73" w14:textId="2DDD7D94" w:rsidR="00DE74E6" w:rsidRPr="00921F47" w:rsidRDefault="00BA2D70" w:rsidP="00BE1577">
            <w:pPr>
              <w:spacing w:line="480" w:lineRule="auto"/>
              <w:rPr>
                <w:rFonts w:eastAsia="Times New Roman" w:cs="Times New Roman"/>
                <w:lang w:eastAsia="en-AU"/>
              </w:rPr>
            </w:pPr>
            <w:r w:rsidRPr="0060080A">
              <w:rPr>
                <w:rFonts w:eastAsia="Times New Roman" w:cs="Times New Roman"/>
                <w:b/>
                <w:lang w:eastAsia="en-AU"/>
              </w:rPr>
              <w:t>Definitions:</w:t>
            </w:r>
            <w:r>
              <w:rPr>
                <w:rFonts w:eastAsia="Times New Roman" w:cs="Times New Roman"/>
                <w:lang w:eastAsia="en-AU"/>
              </w:rPr>
              <w:t xml:space="preserve"> </w:t>
            </w:r>
            <w:r w:rsidRPr="00DE74E6">
              <w:rPr>
                <w:rFonts w:eastAsia="Times New Roman" w:cs="Times New Roman"/>
                <w:vertAlign w:val="superscript"/>
                <w:lang w:eastAsia="en-AU"/>
              </w:rPr>
              <w:t>*</w:t>
            </w:r>
            <w:r>
              <w:rPr>
                <w:rFonts w:eastAsia="Times New Roman" w:cs="Times New Roman"/>
                <w:lang w:eastAsia="en-AU"/>
              </w:rPr>
              <w:t xml:space="preserve"> Difference blindness: to misrecognise of fail to recognise cultural differences</w:t>
            </w:r>
            <w:r w:rsidR="00D57D7B">
              <w:rPr>
                <w:rFonts w:eastAsia="Times New Roman" w:cs="Times New Roman"/>
                <w:lang w:eastAsia="en-AU"/>
              </w:rPr>
              <w:t xml:space="preserve">. </w:t>
            </w:r>
            <w:r w:rsidR="00DE74E6" w:rsidRPr="00DE74E6">
              <w:rPr>
                <w:rFonts w:eastAsia="Times New Roman" w:cs="Times New Roman"/>
                <w:vertAlign w:val="superscript"/>
                <w:lang w:eastAsia="en-AU"/>
              </w:rPr>
              <w:t>#</w:t>
            </w:r>
            <w:r w:rsidR="00DE74E6">
              <w:rPr>
                <w:rFonts w:eastAsia="Times New Roman" w:cs="Times New Roman"/>
                <w:lang w:eastAsia="en-AU"/>
              </w:rPr>
              <w:t xml:space="preserve"> </w:t>
            </w:r>
            <w:r w:rsidR="00366AC5">
              <w:rPr>
                <w:rFonts w:eastAsia="Times New Roman" w:cs="Times New Roman"/>
                <w:lang w:eastAsia="en-AU"/>
              </w:rPr>
              <w:t>PHCS Research Committee: a</w:t>
            </w:r>
            <w:r w:rsidR="00DE74E6">
              <w:rPr>
                <w:rFonts w:eastAsia="Times New Roman" w:cs="Times New Roman"/>
                <w:lang w:eastAsia="en-AU"/>
              </w:rPr>
              <w:t xml:space="preserve"> group that represent</w:t>
            </w:r>
            <w:r w:rsidR="00366AC5">
              <w:rPr>
                <w:rFonts w:eastAsia="Times New Roman" w:cs="Times New Roman"/>
                <w:lang w:eastAsia="en-AU"/>
              </w:rPr>
              <w:t>s</w:t>
            </w:r>
            <w:r w:rsidR="00DE74E6">
              <w:rPr>
                <w:rFonts w:eastAsia="Times New Roman" w:cs="Times New Roman"/>
                <w:lang w:eastAsia="en-AU"/>
              </w:rPr>
              <w:t xml:space="preserve"> and provide</w:t>
            </w:r>
            <w:r w:rsidR="00366AC5">
              <w:rPr>
                <w:rFonts w:eastAsia="Times New Roman" w:cs="Times New Roman"/>
                <w:lang w:eastAsia="en-AU"/>
              </w:rPr>
              <w:t>s</w:t>
            </w:r>
            <w:r w:rsidR="00DE74E6">
              <w:rPr>
                <w:rFonts w:eastAsia="Times New Roman" w:cs="Times New Roman"/>
                <w:lang w:eastAsia="en-AU"/>
              </w:rPr>
              <w:t xml:space="preserve"> oversight of research conducted at a PHCS</w:t>
            </w:r>
            <w:r w:rsidR="00366AC5">
              <w:rPr>
                <w:rFonts w:eastAsia="Times New Roman" w:cs="Times New Roman"/>
                <w:lang w:eastAsia="en-AU"/>
              </w:rPr>
              <w:t xml:space="preserve">. This can include community members </w:t>
            </w:r>
            <w:r w:rsidR="00015089">
              <w:rPr>
                <w:rFonts w:eastAsia="Times New Roman" w:cs="Times New Roman"/>
                <w:lang w:eastAsia="en-AU"/>
              </w:rPr>
              <w:t>and/</w:t>
            </w:r>
            <w:r w:rsidR="00366AC5">
              <w:rPr>
                <w:rFonts w:eastAsia="Times New Roman" w:cs="Times New Roman"/>
                <w:lang w:eastAsia="en-AU"/>
              </w:rPr>
              <w:t>or staff members.</w:t>
            </w:r>
          </w:p>
        </w:tc>
      </w:tr>
    </w:tbl>
    <w:p w14:paraId="734226C7" w14:textId="77777777" w:rsidR="00BE1577" w:rsidRDefault="00BE1577" w:rsidP="00BE1577">
      <w:pPr>
        <w:spacing w:line="480" w:lineRule="auto"/>
        <w:jc w:val="center"/>
        <w:rPr>
          <w:rFonts w:eastAsia="Times New Roman" w:cs="Times New Roman"/>
          <w:b/>
          <w:sz w:val="36"/>
          <w:szCs w:val="36"/>
          <w:lang w:eastAsia="en-AU"/>
        </w:rPr>
      </w:pPr>
    </w:p>
    <w:p w14:paraId="04FD2CB2" w14:textId="77777777" w:rsidR="00BE1577" w:rsidRDefault="00BE1577">
      <w:pPr>
        <w:spacing w:before="0" w:after="160" w:line="259" w:lineRule="auto"/>
        <w:rPr>
          <w:rFonts w:eastAsia="Times New Roman" w:cs="Times New Roman"/>
          <w:b/>
          <w:sz w:val="36"/>
          <w:szCs w:val="36"/>
          <w:lang w:eastAsia="en-AU"/>
        </w:rPr>
      </w:pPr>
      <w:r>
        <w:rPr>
          <w:rFonts w:eastAsia="Times New Roman" w:cs="Times New Roman"/>
          <w:b/>
          <w:sz w:val="36"/>
          <w:szCs w:val="36"/>
          <w:lang w:eastAsia="en-AU"/>
        </w:rPr>
        <w:br w:type="page"/>
      </w:r>
    </w:p>
    <w:p w14:paraId="0E3AC5E8" w14:textId="4BD6A823" w:rsidR="00216295" w:rsidRDefault="00BE1577" w:rsidP="00BE1577">
      <w:pPr>
        <w:spacing w:line="480" w:lineRule="auto"/>
        <w:jc w:val="center"/>
        <w:rPr>
          <w:rFonts w:eastAsia="Times New Roman" w:cs="Times New Roman"/>
          <w:lang w:eastAsia="en-AU"/>
        </w:rPr>
      </w:pPr>
      <w:r w:rsidRPr="00BE1577">
        <w:rPr>
          <w:rFonts w:eastAsia="Times New Roman" w:cs="Times New Roman"/>
          <w:b/>
          <w:sz w:val="36"/>
          <w:szCs w:val="36"/>
          <w:lang w:eastAsia="en-AU"/>
        </w:rPr>
        <w:lastRenderedPageBreak/>
        <w:t>References</w:t>
      </w:r>
    </w:p>
    <w:p w14:paraId="4670EB9A" w14:textId="403613F4" w:rsidR="00921F47" w:rsidRPr="00921F47" w:rsidRDefault="00216295" w:rsidP="00BE1577">
      <w:pPr>
        <w:pStyle w:val="EndNoteBibliography"/>
        <w:spacing w:line="48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921F47" w:rsidRPr="00921F47">
        <w:t>1.</w:t>
      </w:r>
      <w:r w:rsidR="00921F47" w:rsidRPr="00921F47">
        <w:tab/>
        <w:t xml:space="preserve">National Health and Medical Research Council. </w:t>
      </w:r>
      <w:r w:rsidR="00921F47" w:rsidRPr="00921F47">
        <w:rPr>
          <w:i/>
        </w:rPr>
        <w:t>Values and Ethics: Guidelines for Ethical Conduct in Aboriginal and Torres Strait Islander Health Research</w:t>
      </w:r>
      <w:r w:rsidR="00921F47" w:rsidRPr="00921F47">
        <w:t xml:space="preserve">. 2003  [1 September 2014]; Available from: </w:t>
      </w:r>
      <w:hyperlink r:id="rId8" w:history="1">
        <w:r w:rsidR="00921F47" w:rsidRPr="00921F47">
          <w:rPr>
            <w:rStyle w:val="Hyperlink"/>
          </w:rPr>
          <w:t>https://www.nhmrc.gov.au/guidelines-publications/e52</w:t>
        </w:r>
      </w:hyperlink>
      <w:r w:rsidR="00921F47" w:rsidRPr="00921F47">
        <w:t>.</w:t>
      </w:r>
    </w:p>
    <w:p w14:paraId="48175F83" w14:textId="3E77BE48" w:rsidR="00381592" w:rsidRDefault="00216295" w:rsidP="00BE1577">
      <w:pPr>
        <w:spacing w:line="480" w:lineRule="auto"/>
      </w:pPr>
      <w:r>
        <w:fldChar w:fldCharType="end"/>
      </w:r>
    </w:p>
    <w:sectPr w:rsidR="00381592" w:rsidSect="00BE1577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04B6D" w14:textId="77777777" w:rsidR="002A061D" w:rsidRDefault="002A061D" w:rsidP="00BE1577">
      <w:pPr>
        <w:spacing w:before="0" w:after="0" w:line="240" w:lineRule="auto"/>
      </w:pPr>
      <w:r>
        <w:separator/>
      </w:r>
    </w:p>
  </w:endnote>
  <w:endnote w:type="continuationSeparator" w:id="0">
    <w:p w14:paraId="62A59F08" w14:textId="77777777" w:rsidR="002A061D" w:rsidRDefault="002A061D" w:rsidP="00BE15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3647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14557D" w14:textId="12D3320C" w:rsidR="00BE1577" w:rsidRPr="00BE1577" w:rsidRDefault="00BE1577">
            <w:pPr>
              <w:pStyle w:val="Footer"/>
              <w:jc w:val="center"/>
            </w:pPr>
            <w:r w:rsidRPr="00BE1577">
              <w:t xml:space="preserve">Farnbach S: Appendix 1 </w:t>
            </w:r>
            <w:r w:rsidR="00E403FE">
              <w:t>D</w:t>
            </w:r>
            <w:r w:rsidR="00E403FE" w:rsidRPr="00E403FE">
              <w:t>efinition</w:t>
            </w:r>
            <w:r w:rsidR="00E403FE">
              <w:t>s</w:t>
            </w:r>
            <w:r w:rsidR="00E403FE" w:rsidRPr="00E403FE">
              <w:t xml:space="preserve"> and potential actions </w:t>
            </w:r>
            <w:r w:rsidR="00E403FE">
              <w:t>for the Values</w:t>
            </w:r>
            <w:r w:rsidR="000B20AF">
              <w:tab/>
            </w:r>
            <w:r w:rsidRPr="00BE1577">
              <w:t xml:space="preserve"> </w:t>
            </w:r>
            <w:r w:rsidRPr="00BE1577">
              <w:tab/>
              <w:t xml:space="preserve">Page </w:t>
            </w:r>
            <w:r w:rsidRPr="00BE1577">
              <w:rPr>
                <w:bCs/>
              </w:rPr>
              <w:fldChar w:fldCharType="begin"/>
            </w:r>
            <w:r w:rsidRPr="00BE1577">
              <w:rPr>
                <w:bCs/>
              </w:rPr>
              <w:instrText xml:space="preserve"> PAGE </w:instrText>
            </w:r>
            <w:r w:rsidRPr="00BE1577">
              <w:rPr>
                <w:bCs/>
              </w:rPr>
              <w:fldChar w:fldCharType="separate"/>
            </w:r>
            <w:r w:rsidR="00E403FE">
              <w:rPr>
                <w:bCs/>
                <w:noProof/>
              </w:rPr>
              <w:t>2</w:t>
            </w:r>
            <w:r w:rsidRPr="00BE1577">
              <w:rPr>
                <w:bCs/>
              </w:rPr>
              <w:fldChar w:fldCharType="end"/>
            </w:r>
            <w:r w:rsidRPr="00BE1577">
              <w:t xml:space="preserve"> of </w:t>
            </w:r>
            <w:r w:rsidRPr="00BE1577">
              <w:rPr>
                <w:bCs/>
              </w:rPr>
              <w:fldChar w:fldCharType="begin"/>
            </w:r>
            <w:r w:rsidRPr="00BE1577">
              <w:rPr>
                <w:bCs/>
              </w:rPr>
              <w:instrText xml:space="preserve"> NUMPAGES  </w:instrText>
            </w:r>
            <w:r w:rsidRPr="00BE1577">
              <w:rPr>
                <w:bCs/>
              </w:rPr>
              <w:fldChar w:fldCharType="separate"/>
            </w:r>
            <w:r w:rsidR="00E403FE">
              <w:rPr>
                <w:bCs/>
                <w:noProof/>
              </w:rPr>
              <w:t>7</w:t>
            </w:r>
            <w:r w:rsidRPr="00BE1577">
              <w:rPr>
                <w:bCs/>
              </w:rPr>
              <w:fldChar w:fldCharType="end"/>
            </w:r>
            <w:r w:rsidRPr="00BE1577">
              <w:rPr>
                <w:bCs/>
              </w:rPr>
              <w:t xml:space="preserve"> </w:t>
            </w:r>
            <w:r w:rsidRPr="00BE1577">
              <w:rPr>
                <w:bCs/>
              </w:rPr>
              <w:tab/>
              <w:t xml:space="preserve">3 December 2015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F6604" w14:textId="77777777" w:rsidR="002A061D" w:rsidRDefault="002A061D" w:rsidP="00BE1577">
      <w:pPr>
        <w:spacing w:before="0" w:after="0" w:line="240" w:lineRule="auto"/>
      </w:pPr>
      <w:r>
        <w:separator/>
      </w:r>
    </w:p>
  </w:footnote>
  <w:footnote w:type="continuationSeparator" w:id="0">
    <w:p w14:paraId="5B8CC9A9" w14:textId="77777777" w:rsidR="002A061D" w:rsidRDefault="002A061D" w:rsidP="00BE15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5B0"/>
    <w:multiLevelType w:val="hybridMultilevel"/>
    <w:tmpl w:val="4BD46666"/>
    <w:lvl w:ilvl="0" w:tplc="235869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35869F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B2E46"/>
    <w:multiLevelType w:val="hybridMultilevel"/>
    <w:tmpl w:val="C96E356A"/>
    <w:lvl w:ilvl="0" w:tplc="235869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35869F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85F38"/>
    <w:multiLevelType w:val="hybridMultilevel"/>
    <w:tmpl w:val="FC5AD4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5869F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A463C"/>
    <w:multiLevelType w:val="hybridMultilevel"/>
    <w:tmpl w:val="83724212"/>
    <w:lvl w:ilvl="0" w:tplc="235869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35869F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764D73"/>
    <w:multiLevelType w:val="hybridMultilevel"/>
    <w:tmpl w:val="1562CDEE"/>
    <w:lvl w:ilvl="0" w:tplc="235869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35869F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derzww95v027ezdvjxaft25wwtft9fas2w&quot;&gt;SF SR1 Complete Search ART ONLY FINAL 3July2015&lt;record-ids&gt;&lt;item&gt;5&lt;/item&gt;&lt;/record-ids&gt;&lt;/item&gt;&lt;/Libraries&gt;"/>
  </w:docVars>
  <w:rsids>
    <w:rsidRoot w:val="00B16B1B"/>
    <w:rsid w:val="00000BC1"/>
    <w:rsid w:val="00004B57"/>
    <w:rsid w:val="00007785"/>
    <w:rsid w:val="000100E6"/>
    <w:rsid w:val="00015089"/>
    <w:rsid w:val="0002074B"/>
    <w:rsid w:val="0002747F"/>
    <w:rsid w:val="00030087"/>
    <w:rsid w:val="00030154"/>
    <w:rsid w:val="00031969"/>
    <w:rsid w:val="0003242C"/>
    <w:rsid w:val="00032F1F"/>
    <w:rsid w:val="00033A54"/>
    <w:rsid w:val="00037026"/>
    <w:rsid w:val="00042062"/>
    <w:rsid w:val="0004298B"/>
    <w:rsid w:val="000441FE"/>
    <w:rsid w:val="00047AFB"/>
    <w:rsid w:val="0005218C"/>
    <w:rsid w:val="000578EF"/>
    <w:rsid w:val="00063094"/>
    <w:rsid w:val="0007212C"/>
    <w:rsid w:val="00084CC8"/>
    <w:rsid w:val="00085924"/>
    <w:rsid w:val="00086AA0"/>
    <w:rsid w:val="000913FA"/>
    <w:rsid w:val="00093B0D"/>
    <w:rsid w:val="0009714A"/>
    <w:rsid w:val="000A3FA5"/>
    <w:rsid w:val="000A3FAC"/>
    <w:rsid w:val="000A4225"/>
    <w:rsid w:val="000B0659"/>
    <w:rsid w:val="000B20AF"/>
    <w:rsid w:val="000C3F1A"/>
    <w:rsid w:val="000C4B43"/>
    <w:rsid w:val="000C5F59"/>
    <w:rsid w:val="000C73E1"/>
    <w:rsid w:val="000D3229"/>
    <w:rsid w:val="000D40FD"/>
    <w:rsid w:val="000D755D"/>
    <w:rsid w:val="000E3660"/>
    <w:rsid w:val="000E5CFA"/>
    <w:rsid w:val="000F2BB9"/>
    <w:rsid w:val="000F7E13"/>
    <w:rsid w:val="00100478"/>
    <w:rsid w:val="0010504E"/>
    <w:rsid w:val="001059FB"/>
    <w:rsid w:val="001076A8"/>
    <w:rsid w:val="00112A1A"/>
    <w:rsid w:val="001133BD"/>
    <w:rsid w:val="00120B40"/>
    <w:rsid w:val="00121FAB"/>
    <w:rsid w:val="001238AB"/>
    <w:rsid w:val="00123B4D"/>
    <w:rsid w:val="00123E6E"/>
    <w:rsid w:val="001251BA"/>
    <w:rsid w:val="001312AB"/>
    <w:rsid w:val="00132BDF"/>
    <w:rsid w:val="0013321A"/>
    <w:rsid w:val="00133BA1"/>
    <w:rsid w:val="00133DE3"/>
    <w:rsid w:val="00135E16"/>
    <w:rsid w:val="00136BA7"/>
    <w:rsid w:val="001370BF"/>
    <w:rsid w:val="00141E09"/>
    <w:rsid w:val="001520F2"/>
    <w:rsid w:val="00153D60"/>
    <w:rsid w:val="001553E2"/>
    <w:rsid w:val="0016023C"/>
    <w:rsid w:val="001646E6"/>
    <w:rsid w:val="0016580E"/>
    <w:rsid w:val="00172ADD"/>
    <w:rsid w:val="00177145"/>
    <w:rsid w:val="00177CC0"/>
    <w:rsid w:val="0018088E"/>
    <w:rsid w:val="00184105"/>
    <w:rsid w:val="001875DE"/>
    <w:rsid w:val="00191C32"/>
    <w:rsid w:val="001921C6"/>
    <w:rsid w:val="00193B66"/>
    <w:rsid w:val="001952FF"/>
    <w:rsid w:val="00196A1F"/>
    <w:rsid w:val="001A776C"/>
    <w:rsid w:val="001B4003"/>
    <w:rsid w:val="001B41B3"/>
    <w:rsid w:val="001C6866"/>
    <w:rsid w:val="001D0D1F"/>
    <w:rsid w:val="001D0DC0"/>
    <w:rsid w:val="001D2B5B"/>
    <w:rsid w:val="001D3AF7"/>
    <w:rsid w:val="001D483D"/>
    <w:rsid w:val="001E022D"/>
    <w:rsid w:val="001E21FA"/>
    <w:rsid w:val="001E3C0C"/>
    <w:rsid w:val="001E419C"/>
    <w:rsid w:val="001E4A26"/>
    <w:rsid w:val="001E5891"/>
    <w:rsid w:val="001E6AF2"/>
    <w:rsid w:val="001E7E20"/>
    <w:rsid w:val="001F738C"/>
    <w:rsid w:val="002008DA"/>
    <w:rsid w:val="00200DFA"/>
    <w:rsid w:val="00207CFD"/>
    <w:rsid w:val="00212F38"/>
    <w:rsid w:val="0021356C"/>
    <w:rsid w:val="00213900"/>
    <w:rsid w:val="00215B25"/>
    <w:rsid w:val="00216295"/>
    <w:rsid w:val="0022020F"/>
    <w:rsid w:val="002207BB"/>
    <w:rsid w:val="00223F5A"/>
    <w:rsid w:val="0022468E"/>
    <w:rsid w:val="002279C4"/>
    <w:rsid w:val="002371B2"/>
    <w:rsid w:val="00245782"/>
    <w:rsid w:val="00246841"/>
    <w:rsid w:val="00250591"/>
    <w:rsid w:val="002575C7"/>
    <w:rsid w:val="00260A2B"/>
    <w:rsid w:val="00260D37"/>
    <w:rsid w:val="00265178"/>
    <w:rsid w:val="00266660"/>
    <w:rsid w:val="00271B59"/>
    <w:rsid w:val="0027260B"/>
    <w:rsid w:val="00272D04"/>
    <w:rsid w:val="00274F82"/>
    <w:rsid w:val="00275378"/>
    <w:rsid w:val="00275AF1"/>
    <w:rsid w:val="002860A1"/>
    <w:rsid w:val="00291EAF"/>
    <w:rsid w:val="00294475"/>
    <w:rsid w:val="00295CBB"/>
    <w:rsid w:val="0029643F"/>
    <w:rsid w:val="002A061D"/>
    <w:rsid w:val="002B44D9"/>
    <w:rsid w:val="002B4B9D"/>
    <w:rsid w:val="002B62ED"/>
    <w:rsid w:val="002B6A09"/>
    <w:rsid w:val="002C0446"/>
    <w:rsid w:val="002C0DA5"/>
    <w:rsid w:val="002C7031"/>
    <w:rsid w:val="002C7A45"/>
    <w:rsid w:val="002D3F5E"/>
    <w:rsid w:val="002E10BC"/>
    <w:rsid w:val="002E353A"/>
    <w:rsid w:val="002E5D2B"/>
    <w:rsid w:val="002E644C"/>
    <w:rsid w:val="002E65A2"/>
    <w:rsid w:val="002F6BA3"/>
    <w:rsid w:val="00317680"/>
    <w:rsid w:val="00322F24"/>
    <w:rsid w:val="00323B1A"/>
    <w:rsid w:val="003323E3"/>
    <w:rsid w:val="00335E43"/>
    <w:rsid w:val="00337F08"/>
    <w:rsid w:val="00344B69"/>
    <w:rsid w:val="00347160"/>
    <w:rsid w:val="00347EC4"/>
    <w:rsid w:val="0035652E"/>
    <w:rsid w:val="00361311"/>
    <w:rsid w:val="0036156B"/>
    <w:rsid w:val="00362661"/>
    <w:rsid w:val="0036379D"/>
    <w:rsid w:val="00366AC5"/>
    <w:rsid w:val="003678F1"/>
    <w:rsid w:val="00367C64"/>
    <w:rsid w:val="00381592"/>
    <w:rsid w:val="00382A50"/>
    <w:rsid w:val="00384D25"/>
    <w:rsid w:val="00385A7B"/>
    <w:rsid w:val="003868F9"/>
    <w:rsid w:val="00390E39"/>
    <w:rsid w:val="003926DA"/>
    <w:rsid w:val="003A116D"/>
    <w:rsid w:val="003A1B90"/>
    <w:rsid w:val="003A7F1F"/>
    <w:rsid w:val="003B4C9D"/>
    <w:rsid w:val="003B5A2C"/>
    <w:rsid w:val="003C1560"/>
    <w:rsid w:val="003C4A31"/>
    <w:rsid w:val="003C52BA"/>
    <w:rsid w:val="003C7EEA"/>
    <w:rsid w:val="003D0706"/>
    <w:rsid w:val="003D1641"/>
    <w:rsid w:val="003D5B9C"/>
    <w:rsid w:val="003D602A"/>
    <w:rsid w:val="003D72AE"/>
    <w:rsid w:val="003F0EDD"/>
    <w:rsid w:val="003F1931"/>
    <w:rsid w:val="003F2DAF"/>
    <w:rsid w:val="003F586E"/>
    <w:rsid w:val="004009C6"/>
    <w:rsid w:val="00403781"/>
    <w:rsid w:val="0040471B"/>
    <w:rsid w:val="00405F83"/>
    <w:rsid w:val="00412C1A"/>
    <w:rsid w:val="00413C07"/>
    <w:rsid w:val="00415E28"/>
    <w:rsid w:val="00416405"/>
    <w:rsid w:val="00417707"/>
    <w:rsid w:val="00421578"/>
    <w:rsid w:val="00421D1B"/>
    <w:rsid w:val="00423E2D"/>
    <w:rsid w:val="00424332"/>
    <w:rsid w:val="00425A05"/>
    <w:rsid w:val="00430497"/>
    <w:rsid w:val="0043197C"/>
    <w:rsid w:val="00436178"/>
    <w:rsid w:val="00436A45"/>
    <w:rsid w:val="00437BDD"/>
    <w:rsid w:val="004407D8"/>
    <w:rsid w:val="00445844"/>
    <w:rsid w:val="00445CBD"/>
    <w:rsid w:val="004479BB"/>
    <w:rsid w:val="00450CD4"/>
    <w:rsid w:val="00452445"/>
    <w:rsid w:val="004633A6"/>
    <w:rsid w:val="00466670"/>
    <w:rsid w:val="0046744E"/>
    <w:rsid w:val="004702E3"/>
    <w:rsid w:val="00470E6D"/>
    <w:rsid w:val="004747E4"/>
    <w:rsid w:val="0047637F"/>
    <w:rsid w:val="0047682C"/>
    <w:rsid w:val="004779FE"/>
    <w:rsid w:val="00481CF6"/>
    <w:rsid w:val="00487161"/>
    <w:rsid w:val="00487AD8"/>
    <w:rsid w:val="004907E0"/>
    <w:rsid w:val="00490E5B"/>
    <w:rsid w:val="004A10A7"/>
    <w:rsid w:val="004A4DC6"/>
    <w:rsid w:val="004A72EF"/>
    <w:rsid w:val="004A7691"/>
    <w:rsid w:val="004A7B99"/>
    <w:rsid w:val="004B137B"/>
    <w:rsid w:val="004B1848"/>
    <w:rsid w:val="004B29CB"/>
    <w:rsid w:val="004B5669"/>
    <w:rsid w:val="004B6C6E"/>
    <w:rsid w:val="004C083F"/>
    <w:rsid w:val="004C1641"/>
    <w:rsid w:val="004C26B5"/>
    <w:rsid w:val="004C2768"/>
    <w:rsid w:val="004C60AF"/>
    <w:rsid w:val="004C6D02"/>
    <w:rsid w:val="004C729E"/>
    <w:rsid w:val="004C78BD"/>
    <w:rsid w:val="004D1986"/>
    <w:rsid w:val="004D35FA"/>
    <w:rsid w:val="004D3F65"/>
    <w:rsid w:val="004D5F31"/>
    <w:rsid w:val="004E0DE2"/>
    <w:rsid w:val="004E4F61"/>
    <w:rsid w:val="004E6A34"/>
    <w:rsid w:val="004F1D56"/>
    <w:rsid w:val="004F43F7"/>
    <w:rsid w:val="005078DB"/>
    <w:rsid w:val="005118F3"/>
    <w:rsid w:val="00512CD2"/>
    <w:rsid w:val="00514FEF"/>
    <w:rsid w:val="005237C8"/>
    <w:rsid w:val="00525AA5"/>
    <w:rsid w:val="005318D0"/>
    <w:rsid w:val="00537985"/>
    <w:rsid w:val="005411DD"/>
    <w:rsid w:val="005422E9"/>
    <w:rsid w:val="0054483D"/>
    <w:rsid w:val="00544903"/>
    <w:rsid w:val="005449D9"/>
    <w:rsid w:val="005461E4"/>
    <w:rsid w:val="00547227"/>
    <w:rsid w:val="0054732D"/>
    <w:rsid w:val="00550302"/>
    <w:rsid w:val="00561050"/>
    <w:rsid w:val="00561DC8"/>
    <w:rsid w:val="005636A5"/>
    <w:rsid w:val="005640EC"/>
    <w:rsid w:val="0057403B"/>
    <w:rsid w:val="005743E5"/>
    <w:rsid w:val="00574CF1"/>
    <w:rsid w:val="005806A3"/>
    <w:rsid w:val="00581CA8"/>
    <w:rsid w:val="00586658"/>
    <w:rsid w:val="00586F80"/>
    <w:rsid w:val="00586FF3"/>
    <w:rsid w:val="005878A7"/>
    <w:rsid w:val="005914AE"/>
    <w:rsid w:val="0059319D"/>
    <w:rsid w:val="0059520C"/>
    <w:rsid w:val="005978E4"/>
    <w:rsid w:val="005A193C"/>
    <w:rsid w:val="005A5365"/>
    <w:rsid w:val="005A54AF"/>
    <w:rsid w:val="005A7E9C"/>
    <w:rsid w:val="005B031F"/>
    <w:rsid w:val="005B1B17"/>
    <w:rsid w:val="005B2453"/>
    <w:rsid w:val="005B49B4"/>
    <w:rsid w:val="005B5462"/>
    <w:rsid w:val="005B5FD5"/>
    <w:rsid w:val="005C01A1"/>
    <w:rsid w:val="005C0726"/>
    <w:rsid w:val="005C489F"/>
    <w:rsid w:val="005C5BAF"/>
    <w:rsid w:val="005D3F3E"/>
    <w:rsid w:val="005D6627"/>
    <w:rsid w:val="005D74AC"/>
    <w:rsid w:val="005F09CA"/>
    <w:rsid w:val="005F2725"/>
    <w:rsid w:val="005F2FB7"/>
    <w:rsid w:val="0060271D"/>
    <w:rsid w:val="00602DDF"/>
    <w:rsid w:val="00607399"/>
    <w:rsid w:val="0061336C"/>
    <w:rsid w:val="00615A93"/>
    <w:rsid w:val="0062152E"/>
    <w:rsid w:val="00622E59"/>
    <w:rsid w:val="00631564"/>
    <w:rsid w:val="006333C5"/>
    <w:rsid w:val="006334AB"/>
    <w:rsid w:val="00634623"/>
    <w:rsid w:val="00641448"/>
    <w:rsid w:val="00645B52"/>
    <w:rsid w:val="0065027E"/>
    <w:rsid w:val="006610E5"/>
    <w:rsid w:val="006626C4"/>
    <w:rsid w:val="006630A8"/>
    <w:rsid w:val="006641A9"/>
    <w:rsid w:val="0066577C"/>
    <w:rsid w:val="00666F0B"/>
    <w:rsid w:val="00667F8A"/>
    <w:rsid w:val="00671FFD"/>
    <w:rsid w:val="006722E4"/>
    <w:rsid w:val="00673C36"/>
    <w:rsid w:val="0068420F"/>
    <w:rsid w:val="0068552F"/>
    <w:rsid w:val="00687435"/>
    <w:rsid w:val="006A4B69"/>
    <w:rsid w:val="006A4EF4"/>
    <w:rsid w:val="006A5B93"/>
    <w:rsid w:val="006A6294"/>
    <w:rsid w:val="006A7B3D"/>
    <w:rsid w:val="006B4C54"/>
    <w:rsid w:val="006B5167"/>
    <w:rsid w:val="006C015E"/>
    <w:rsid w:val="006C0C61"/>
    <w:rsid w:val="006C1DB4"/>
    <w:rsid w:val="006C42F6"/>
    <w:rsid w:val="006C6AC7"/>
    <w:rsid w:val="006D67FA"/>
    <w:rsid w:val="006E0541"/>
    <w:rsid w:val="006E15E4"/>
    <w:rsid w:val="006E351E"/>
    <w:rsid w:val="006E5825"/>
    <w:rsid w:val="006F0916"/>
    <w:rsid w:val="006F1923"/>
    <w:rsid w:val="006F2416"/>
    <w:rsid w:val="006F3E5B"/>
    <w:rsid w:val="006F5668"/>
    <w:rsid w:val="00700D4F"/>
    <w:rsid w:val="00704C51"/>
    <w:rsid w:val="007061B8"/>
    <w:rsid w:val="007146FF"/>
    <w:rsid w:val="00714C88"/>
    <w:rsid w:val="00715526"/>
    <w:rsid w:val="007208A0"/>
    <w:rsid w:val="00721C2D"/>
    <w:rsid w:val="0072248B"/>
    <w:rsid w:val="007237F8"/>
    <w:rsid w:val="0072408A"/>
    <w:rsid w:val="00724EA6"/>
    <w:rsid w:val="0072548A"/>
    <w:rsid w:val="00725D0B"/>
    <w:rsid w:val="00732724"/>
    <w:rsid w:val="00735D31"/>
    <w:rsid w:val="00746D10"/>
    <w:rsid w:val="007503CD"/>
    <w:rsid w:val="007536D7"/>
    <w:rsid w:val="0075434D"/>
    <w:rsid w:val="00755BA2"/>
    <w:rsid w:val="0076003D"/>
    <w:rsid w:val="00770361"/>
    <w:rsid w:val="00772F7F"/>
    <w:rsid w:val="007776B4"/>
    <w:rsid w:val="00781F0A"/>
    <w:rsid w:val="00784A0E"/>
    <w:rsid w:val="00785F96"/>
    <w:rsid w:val="0078737A"/>
    <w:rsid w:val="00787BE5"/>
    <w:rsid w:val="00797D98"/>
    <w:rsid w:val="007A00BC"/>
    <w:rsid w:val="007A20FB"/>
    <w:rsid w:val="007A32A0"/>
    <w:rsid w:val="007B0128"/>
    <w:rsid w:val="007B0F07"/>
    <w:rsid w:val="007B2883"/>
    <w:rsid w:val="007C06A3"/>
    <w:rsid w:val="007C1019"/>
    <w:rsid w:val="007C1D73"/>
    <w:rsid w:val="007C2054"/>
    <w:rsid w:val="007C6C16"/>
    <w:rsid w:val="007D4E01"/>
    <w:rsid w:val="007D7822"/>
    <w:rsid w:val="007E6EB3"/>
    <w:rsid w:val="007E73D9"/>
    <w:rsid w:val="007F5448"/>
    <w:rsid w:val="00800209"/>
    <w:rsid w:val="00801A50"/>
    <w:rsid w:val="0080755C"/>
    <w:rsid w:val="008101E2"/>
    <w:rsid w:val="00810579"/>
    <w:rsid w:val="0081198A"/>
    <w:rsid w:val="00812BD1"/>
    <w:rsid w:val="00812CB7"/>
    <w:rsid w:val="008273B2"/>
    <w:rsid w:val="008338B5"/>
    <w:rsid w:val="00834F5C"/>
    <w:rsid w:val="00842BE8"/>
    <w:rsid w:val="008508CB"/>
    <w:rsid w:val="0085365C"/>
    <w:rsid w:val="00860C59"/>
    <w:rsid w:val="00862BBD"/>
    <w:rsid w:val="00863665"/>
    <w:rsid w:val="008638D6"/>
    <w:rsid w:val="008653DE"/>
    <w:rsid w:val="00872F99"/>
    <w:rsid w:val="00883FD3"/>
    <w:rsid w:val="00886B23"/>
    <w:rsid w:val="00886EF2"/>
    <w:rsid w:val="008916AC"/>
    <w:rsid w:val="00892466"/>
    <w:rsid w:val="00894A56"/>
    <w:rsid w:val="00894C8D"/>
    <w:rsid w:val="00895793"/>
    <w:rsid w:val="008A7B6F"/>
    <w:rsid w:val="008B5637"/>
    <w:rsid w:val="008C1534"/>
    <w:rsid w:val="008C274F"/>
    <w:rsid w:val="008C565F"/>
    <w:rsid w:val="008D408F"/>
    <w:rsid w:val="008E2CB8"/>
    <w:rsid w:val="008E58BC"/>
    <w:rsid w:val="008E7C55"/>
    <w:rsid w:val="008F02CC"/>
    <w:rsid w:val="008F4560"/>
    <w:rsid w:val="008F4C1E"/>
    <w:rsid w:val="009006BC"/>
    <w:rsid w:val="00901CBA"/>
    <w:rsid w:val="00903AD1"/>
    <w:rsid w:val="00921F47"/>
    <w:rsid w:val="00924AC8"/>
    <w:rsid w:val="00924D0B"/>
    <w:rsid w:val="009307EC"/>
    <w:rsid w:val="0093102C"/>
    <w:rsid w:val="00936FBC"/>
    <w:rsid w:val="00940821"/>
    <w:rsid w:val="0094392E"/>
    <w:rsid w:val="00945AAF"/>
    <w:rsid w:val="009461B9"/>
    <w:rsid w:val="00946606"/>
    <w:rsid w:val="0094662A"/>
    <w:rsid w:val="00946FC7"/>
    <w:rsid w:val="00950B9E"/>
    <w:rsid w:val="00951CB2"/>
    <w:rsid w:val="00952BBF"/>
    <w:rsid w:val="009558FF"/>
    <w:rsid w:val="0096165A"/>
    <w:rsid w:val="00961D25"/>
    <w:rsid w:val="00962A9A"/>
    <w:rsid w:val="009674EC"/>
    <w:rsid w:val="00967D53"/>
    <w:rsid w:val="00972649"/>
    <w:rsid w:val="00973065"/>
    <w:rsid w:val="009765F8"/>
    <w:rsid w:val="00981F80"/>
    <w:rsid w:val="00987080"/>
    <w:rsid w:val="009907D5"/>
    <w:rsid w:val="00991508"/>
    <w:rsid w:val="009925EF"/>
    <w:rsid w:val="009A14DD"/>
    <w:rsid w:val="009A17A0"/>
    <w:rsid w:val="009A67B7"/>
    <w:rsid w:val="009B1364"/>
    <w:rsid w:val="009B3613"/>
    <w:rsid w:val="009B379E"/>
    <w:rsid w:val="009B3A8A"/>
    <w:rsid w:val="009B72ED"/>
    <w:rsid w:val="009C3DB7"/>
    <w:rsid w:val="009C5F99"/>
    <w:rsid w:val="009D1345"/>
    <w:rsid w:val="009D3442"/>
    <w:rsid w:val="009D737E"/>
    <w:rsid w:val="009E465D"/>
    <w:rsid w:val="009F777E"/>
    <w:rsid w:val="00A0434F"/>
    <w:rsid w:val="00A04AB5"/>
    <w:rsid w:val="00A051D1"/>
    <w:rsid w:val="00A078DD"/>
    <w:rsid w:val="00A12EDB"/>
    <w:rsid w:val="00A15E99"/>
    <w:rsid w:val="00A226AD"/>
    <w:rsid w:val="00A233E1"/>
    <w:rsid w:val="00A23F95"/>
    <w:rsid w:val="00A24703"/>
    <w:rsid w:val="00A260EC"/>
    <w:rsid w:val="00A2788E"/>
    <w:rsid w:val="00A278A3"/>
    <w:rsid w:val="00A31965"/>
    <w:rsid w:val="00A31F3D"/>
    <w:rsid w:val="00A33E4C"/>
    <w:rsid w:val="00A3419A"/>
    <w:rsid w:val="00A36C62"/>
    <w:rsid w:val="00A42308"/>
    <w:rsid w:val="00A44930"/>
    <w:rsid w:val="00A47DE7"/>
    <w:rsid w:val="00A5024D"/>
    <w:rsid w:val="00A51D2D"/>
    <w:rsid w:val="00A56935"/>
    <w:rsid w:val="00A60F3B"/>
    <w:rsid w:val="00A61F79"/>
    <w:rsid w:val="00A6379F"/>
    <w:rsid w:val="00A64708"/>
    <w:rsid w:val="00A71368"/>
    <w:rsid w:val="00A71C60"/>
    <w:rsid w:val="00A7394D"/>
    <w:rsid w:val="00A81C55"/>
    <w:rsid w:val="00A8224D"/>
    <w:rsid w:val="00A822E8"/>
    <w:rsid w:val="00A82594"/>
    <w:rsid w:val="00A87A14"/>
    <w:rsid w:val="00A93167"/>
    <w:rsid w:val="00A97A9F"/>
    <w:rsid w:val="00AA284A"/>
    <w:rsid w:val="00AA306A"/>
    <w:rsid w:val="00AA456A"/>
    <w:rsid w:val="00AB45FA"/>
    <w:rsid w:val="00AB525D"/>
    <w:rsid w:val="00AB5730"/>
    <w:rsid w:val="00AB5971"/>
    <w:rsid w:val="00AB635D"/>
    <w:rsid w:val="00AC46E6"/>
    <w:rsid w:val="00AC4F9B"/>
    <w:rsid w:val="00AD618E"/>
    <w:rsid w:val="00AE1527"/>
    <w:rsid w:val="00AF75E9"/>
    <w:rsid w:val="00B0073D"/>
    <w:rsid w:val="00B036F3"/>
    <w:rsid w:val="00B06A8D"/>
    <w:rsid w:val="00B13C86"/>
    <w:rsid w:val="00B14184"/>
    <w:rsid w:val="00B14349"/>
    <w:rsid w:val="00B1644D"/>
    <w:rsid w:val="00B16AD6"/>
    <w:rsid w:val="00B16B1B"/>
    <w:rsid w:val="00B20C2F"/>
    <w:rsid w:val="00B246AB"/>
    <w:rsid w:val="00B272BA"/>
    <w:rsid w:val="00B27FD8"/>
    <w:rsid w:val="00B307C5"/>
    <w:rsid w:val="00B36483"/>
    <w:rsid w:val="00B36E5C"/>
    <w:rsid w:val="00B435D7"/>
    <w:rsid w:val="00B460A5"/>
    <w:rsid w:val="00B47380"/>
    <w:rsid w:val="00B50E87"/>
    <w:rsid w:val="00B51FCE"/>
    <w:rsid w:val="00B54976"/>
    <w:rsid w:val="00B615E7"/>
    <w:rsid w:val="00B64797"/>
    <w:rsid w:val="00B70419"/>
    <w:rsid w:val="00B72A36"/>
    <w:rsid w:val="00B734EB"/>
    <w:rsid w:val="00B73699"/>
    <w:rsid w:val="00B77786"/>
    <w:rsid w:val="00B84739"/>
    <w:rsid w:val="00B86513"/>
    <w:rsid w:val="00B869F4"/>
    <w:rsid w:val="00B90292"/>
    <w:rsid w:val="00B906D6"/>
    <w:rsid w:val="00B91795"/>
    <w:rsid w:val="00B91D31"/>
    <w:rsid w:val="00B9592B"/>
    <w:rsid w:val="00B9644A"/>
    <w:rsid w:val="00B9712F"/>
    <w:rsid w:val="00BA1F86"/>
    <w:rsid w:val="00BA231A"/>
    <w:rsid w:val="00BA2CAA"/>
    <w:rsid w:val="00BA2D70"/>
    <w:rsid w:val="00BA3122"/>
    <w:rsid w:val="00BA44D3"/>
    <w:rsid w:val="00BB0A2C"/>
    <w:rsid w:val="00BB1066"/>
    <w:rsid w:val="00BB4705"/>
    <w:rsid w:val="00BB4756"/>
    <w:rsid w:val="00BB73A7"/>
    <w:rsid w:val="00BC5799"/>
    <w:rsid w:val="00BD149E"/>
    <w:rsid w:val="00BD489E"/>
    <w:rsid w:val="00BD5CEE"/>
    <w:rsid w:val="00BD5E41"/>
    <w:rsid w:val="00BD699B"/>
    <w:rsid w:val="00BD6E19"/>
    <w:rsid w:val="00BE12EF"/>
    <w:rsid w:val="00BE1577"/>
    <w:rsid w:val="00BE1E97"/>
    <w:rsid w:val="00BE21CD"/>
    <w:rsid w:val="00BE5FD6"/>
    <w:rsid w:val="00BE7C8C"/>
    <w:rsid w:val="00BF4B4F"/>
    <w:rsid w:val="00BF6F55"/>
    <w:rsid w:val="00C04466"/>
    <w:rsid w:val="00C05CBC"/>
    <w:rsid w:val="00C06245"/>
    <w:rsid w:val="00C12DC8"/>
    <w:rsid w:val="00C150C0"/>
    <w:rsid w:val="00C23828"/>
    <w:rsid w:val="00C248A8"/>
    <w:rsid w:val="00C309D2"/>
    <w:rsid w:val="00C311E7"/>
    <w:rsid w:val="00C316EF"/>
    <w:rsid w:val="00C31A09"/>
    <w:rsid w:val="00C35229"/>
    <w:rsid w:val="00C35B40"/>
    <w:rsid w:val="00C36101"/>
    <w:rsid w:val="00C449F8"/>
    <w:rsid w:val="00C541E0"/>
    <w:rsid w:val="00C651AA"/>
    <w:rsid w:val="00C65CBB"/>
    <w:rsid w:val="00C66AD1"/>
    <w:rsid w:val="00C73F7F"/>
    <w:rsid w:val="00C7477C"/>
    <w:rsid w:val="00C944C9"/>
    <w:rsid w:val="00CA03EC"/>
    <w:rsid w:val="00CA2FDD"/>
    <w:rsid w:val="00CA730D"/>
    <w:rsid w:val="00CB285A"/>
    <w:rsid w:val="00CB4C45"/>
    <w:rsid w:val="00CC254A"/>
    <w:rsid w:val="00CD08A7"/>
    <w:rsid w:val="00CD5B18"/>
    <w:rsid w:val="00CD5BDA"/>
    <w:rsid w:val="00CD7423"/>
    <w:rsid w:val="00CE1480"/>
    <w:rsid w:val="00D02B92"/>
    <w:rsid w:val="00D05275"/>
    <w:rsid w:val="00D1741C"/>
    <w:rsid w:val="00D25112"/>
    <w:rsid w:val="00D279F5"/>
    <w:rsid w:val="00D31208"/>
    <w:rsid w:val="00D42AE5"/>
    <w:rsid w:val="00D432BA"/>
    <w:rsid w:val="00D50079"/>
    <w:rsid w:val="00D51137"/>
    <w:rsid w:val="00D51978"/>
    <w:rsid w:val="00D52B6C"/>
    <w:rsid w:val="00D57D7B"/>
    <w:rsid w:val="00D64E2A"/>
    <w:rsid w:val="00D66551"/>
    <w:rsid w:val="00D66773"/>
    <w:rsid w:val="00D671B6"/>
    <w:rsid w:val="00D73BB6"/>
    <w:rsid w:val="00D7481E"/>
    <w:rsid w:val="00D75781"/>
    <w:rsid w:val="00D759F5"/>
    <w:rsid w:val="00D8397A"/>
    <w:rsid w:val="00D85D75"/>
    <w:rsid w:val="00D905CE"/>
    <w:rsid w:val="00D90FB1"/>
    <w:rsid w:val="00D97897"/>
    <w:rsid w:val="00DA0165"/>
    <w:rsid w:val="00DA026B"/>
    <w:rsid w:val="00DA38C7"/>
    <w:rsid w:val="00DA39CA"/>
    <w:rsid w:val="00DA3A43"/>
    <w:rsid w:val="00DA405D"/>
    <w:rsid w:val="00DB07D8"/>
    <w:rsid w:val="00DB163D"/>
    <w:rsid w:val="00DB20B8"/>
    <w:rsid w:val="00DB6D3C"/>
    <w:rsid w:val="00DB7105"/>
    <w:rsid w:val="00DC3208"/>
    <w:rsid w:val="00DC6523"/>
    <w:rsid w:val="00DC72E3"/>
    <w:rsid w:val="00DC77CF"/>
    <w:rsid w:val="00DD0030"/>
    <w:rsid w:val="00DD3CE9"/>
    <w:rsid w:val="00DD4C65"/>
    <w:rsid w:val="00DD504D"/>
    <w:rsid w:val="00DD50F6"/>
    <w:rsid w:val="00DD5C9D"/>
    <w:rsid w:val="00DE1CE9"/>
    <w:rsid w:val="00DE67DC"/>
    <w:rsid w:val="00DE692C"/>
    <w:rsid w:val="00DE74E6"/>
    <w:rsid w:val="00DF0585"/>
    <w:rsid w:val="00DF687F"/>
    <w:rsid w:val="00DF71E6"/>
    <w:rsid w:val="00E0200A"/>
    <w:rsid w:val="00E1027B"/>
    <w:rsid w:val="00E1051D"/>
    <w:rsid w:val="00E1586E"/>
    <w:rsid w:val="00E21411"/>
    <w:rsid w:val="00E2439D"/>
    <w:rsid w:val="00E2700F"/>
    <w:rsid w:val="00E35939"/>
    <w:rsid w:val="00E403FE"/>
    <w:rsid w:val="00E44209"/>
    <w:rsid w:val="00E4526B"/>
    <w:rsid w:val="00E50602"/>
    <w:rsid w:val="00E5152A"/>
    <w:rsid w:val="00E517C0"/>
    <w:rsid w:val="00E56F4C"/>
    <w:rsid w:val="00E6006E"/>
    <w:rsid w:val="00E603E9"/>
    <w:rsid w:val="00E6142B"/>
    <w:rsid w:val="00E67D0D"/>
    <w:rsid w:val="00E70A50"/>
    <w:rsid w:val="00E7481E"/>
    <w:rsid w:val="00E807BA"/>
    <w:rsid w:val="00E836D6"/>
    <w:rsid w:val="00E85B55"/>
    <w:rsid w:val="00E900EF"/>
    <w:rsid w:val="00E9050C"/>
    <w:rsid w:val="00E94EAA"/>
    <w:rsid w:val="00E96CC8"/>
    <w:rsid w:val="00E974A6"/>
    <w:rsid w:val="00E97DC8"/>
    <w:rsid w:val="00EA30A6"/>
    <w:rsid w:val="00EA4489"/>
    <w:rsid w:val="00EA5733"/>
    <w:rsid w:val="00EB25DC"/>
    <w:rsid w:val="00EB2C8D"/>
    <w:rsid w:val="00EC22AF"/>
    <w:rsid w:val="00EC2658"/>
    <w:rsid w:val="00EC36FA"/>
    <w:rsid w:val="00EC4271"/>
    <w:rsid w:val="00ED1394"/>
    <w:rsid w:val="00ED1C37"/>
    <w:rsid w:val="00ED4BDA"/>
    <w:rsid w:val="00ED7CAA"/>
    <w:rsid w:val="00EE369E"/>
    <w:rsid w:val="00EE4E98"/>
    <w:rsid w:val="00EE5574"/>
    <w:rsid w:val="00EE680B"/>
    <w:rsid w:val="00EE7E9E"/>
    <w:rsid w:val="00EF1DD3"/>
    <w:rsid w:val="00EF26CC"/>
    <w:rsid w:val="00EF46E7"/>
    <w:rsid w:val="00EF6A93"/>
    <w:rsid w:val="00F00EE7"/>
    <w:rsid w:val="00F0154A"/>
    <w:rsid w:val="00F0405F"/>
    <w:rsid w:val="00F06F42"/>
    <w:rsid w:val="00F21013"/>
    <w:rsid w:val="00F3108B"/>
    <w:rsid w:val="00F3177C"/>
    <w:rsid w:val="00F323E4"/>
    <w:rsid w:val="00F3363A"/>
    <w:rsid w:val="00F346E6"/>
    <w:rsid w:val="00F3648D"/>
    <w:rsid w:val="00F37117"/>
    <w:rsid w:val="00F450D4"/>
    <w:rsid w:val="00F45CAB"/>
    <w:rsid w:val="00F463D1"/>
    <w:rsid w:val="00F5242E"/>
    <w:rsid w:val="00F6074D"/>
    <w:rsid w:val="00F623F5"/>
    <w:rsid w:val="00F652CC"/>
    <w:rsid w:val="00F6535D"/>
    <w:rsid w:val="00F6665C"/>
    <w:rsid w:val="00F67820"/>
    <w:rsid w:val="00F7092A"/>
    <w:rsid w:val="00F73457"/>
    <w:rsid w:val="00F868D9"/>
    <w:rsid w:val="00F93120"/>
    <w:rsid w:val="00F94F25"/>
    <w:rsid w:val="00FA1562"/>
    <w:rsid w:val="00FA40AF"/>
    <w:rsid w:val="00FA706A"/>
    <w:rsid w:val="00FB4B85"/>
    <w:rsid w:val="00FC049D"/>
    <w:rsid w:val="00FC0E2F"/>
    <w:rsid w:val="00FC12E0"/>
    <w:rsid w:val="00FC16D4"/>
    <w:rsid w:val="00FC2A02"/>
    <w:rsid w:val="00FC2C49"/>
    <w:rsid w:val="00FD034C"/>
    <w:rsid w:val="00FD5669"/>
    <w:rsid w:val="00FD5831"/>
    <w:rsid w:val="00FD73FC"/>
    <w:rsid w:val="00FE064D"/>
    <w:rsid w:val="00FE628D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8768D"/>
  <w15:chartTrackingRefBased/>
  <w15:docId w15:val="{9438CC56-CA2D-4B71-A94C-3A2FF28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H Normal"/>
    <w:qFormat/>
    <w:rsid w:val="00B16B1B"/>
    <w:pPr>
      <w:spacing w:before="120" w:after="120" w:line="276" w:lineRule="auto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B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SmallHeading">
    <w:name w:val="TH Small Heading"/>
    <w:basedOn w:val="Normal"/>
    <w:next w:val="Normal"/>
    <w:link w:val="THSmallHeadingChar"/>
    <w:autoRedefine/>
    <w:qFormat/>
    <w:rsid w:val="002207BB"/>
    <w:pPr>
      <w:framePr w:hSpace="180" w:wrap="around" w:vAnchor="page" w:hAnchor="margin" w:y="901"/>
      <w:spacing w:after="0"/>
      <w:ind w:left="176" w:hanging="142"/>
    </w:pPr>
    <w:rPr>
      <w:b/>
      <w:lang w:eastAsia="en-AU"/>
    </w:rPr>
  </w:style>
  <w:style w:type="character" w:customStyle="1" w:styleId="THSmallHeadingChar">
    <w:name w:val="TH Small Heading Char"/>
    <w:basedOn w:val="DefaultParagraphFont"/>
    <w:link w:val="THSmallHeading"/>
    <w:rsid w:val="002207BB"/>
    <w:rPr>
      <w:rFonts w:ascii="Calibri" w:hAnsi="Calibri"/>
      <w:b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B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16B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4E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4EB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E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E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1629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629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16295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1629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162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57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7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E157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77"/>
    <w:rPr>
      <w:rFonts w:ascii="Calibri" w:hAnsi="Calibri"/>
    </w:rPr>
  </w:style>
  <w:style w:type="character" w:styleId="LineNumber">
    <w:name w:val="line number"/>
    <w:basedOn w:val="DefaultParagraphFont"/>
    <w:uiPriority w:val="99"/>
    <w:semiHidden/>
    <w:unhideWhenUsed/>
    <w:rsid w:val="00BE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guidelines-publications/e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960C-51FB-4C4D-A0B8-407CA325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Farnbach</dc:creator>
  <cp:keywords/>
  <dc:description/>
  <cp:lastModifiedBy>Sara Farnbach</cp:lastModifiedBy>
  <cp:revision>43</cp:revision>
  <cp:lastPrinted>2015-12-01T05:18:00Z</cp:lastPrinted>
  <dcterms:created xsi:type="dcterms:W3CDTF">2015-11-14T01:21:00Z</dcterms:created>
  <dcterms:modified xsi:type="dcterms:W3CDTF">2015-12-03T22:23:00Z</dcterms:modified>
</cp:coreProperties>
</file>