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8" w:rsidRPr="00062C2E" w:rsidRDefault="0015107F" w:rsidP="00E45358">
      <w:pPr>
        <w:spacing w:after="240"/>
        <w:rPr>
          <w:rStyle w:val="bluetxt"/>
          <w:iCs/>
        </w:rPr>
      </w:pPr>
      <w:r>
        <w:t xml:space="preserve">Additional file 3: </w:t>
      </w:r>
      <w:r w:rsidR="00757BC8">
        <w:rPr>
          <w:rStyle w:val="bluetxt"/>
          <w:iCs/>
        </w:rPr>
        <w:t>Table S3</w:t>
      </w:r>
      <w:r w:rsidR="00E45358">
        <w:rPr>
          <w:rStyle w:val="bluetxt"/>
          <w:iCs/>
        </w:rPr>
        <w:t xml:space="preserve"> Association of Clinical Factors and PAD</w:t>
      </w:r>
    </w:p>
    <w:tbl>
      <w:tblPr>
        <w:tblW w:w="9039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236"/>
        <w:gridCol w:w="26"/>
        <w:gridCol w:w="2540"/>
        <w:gridCol w:w="2003"/>
        <w:gridCol w:w="973"/>
        <w:gridCol w:w="284"/>
        <w:gridCol w:w="1984"/>
        <w:gridCol w:w="993"/>
      </w:tblGrid>
      <w:tr w:rsidR="00E45358" w:rsidRPr="004E4C08" w:rsidTr="001C2BDF">
        <w:tc>
          <w:tcPr>
            <w:tcW w:w="2802" w:type="dxa"/>
            <w:gridSpan w:val="3"/>
            <w:tcBorders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003" w:type="dxa"/>
            <w:tcBorders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Crude OR (95% CI)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Adjusted OR (95% CI)*</w:t>
            </w:r>
          </w:p>
        </w:tc>
        <w:tc>
          <w:tcPr>
            <w:tcW w:w="993" w:type="dxa"/>
            <w:tcBorders>
              <w:bottom w:val="nil"/>
            </w:tcBorders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Age</w:t>
            </w:r>
          </w:p>
        </w:tc>
        <w:tc>
          <w:tcPr>
            <w:tcW w:w="200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1.03 (1.01 – 1.04)</w:t>
            </w:r>
          </w:p>
        </w:tc>
        <w:tc>
          <w:tcPr>
            <w:tcW w:w="97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0.001</w:t>
            </w:r>
          </w:p>
        </w:tc>
        <w:tc>
          <w:tcPr>
            <w:tcW w:w="284" w:type="dxa"/>
            <w:tcBorders>
              <w:top w:val="single" w:sz="4" w:space="0" w:color="000000"/>
              <w:bottom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E45358" w:rsidRPr="004E4C08" w:rsidRDefault="00721DF5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Age per 5-year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1.14 (1.06 – 1.23)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358" w:rsidRPr="004E4C08" w:rsidRDefault="00721DF5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tcBorders>
              <w:top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Gender (female)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1.35 (1.17 – 1.65)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0.041</w:t>
            </w:r>
          </w:p>
        </w:tc>
        <w:tc>
          <w:tcPr>
            <w:tcW w:w="284" w:type="dxa"/>
            <w:tcBorders>
              <w:top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E45358" w:rsidRPr="004E4C08" w:rsidRDefault="00721DF5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tcBorders>
              <w:top w:val="nil"/>
            </w:tcBorders>
            <w:shd w:val="clear" w:color="auto" w:fill="auto"/>
          </w:tcPr>
          <w:p w:rsidR="00E4535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 xml:space="preserve">Diabetes 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1.89 (1.34 – 2.67)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&lt;0.001</w:t>
            </w:r>
          </w:p>
        </w:tc>
        <w:tc>
          <w:tcPr>
            <w:tcW w:w="284" w:type="dxa"/>
            <w:tcBorders>
              <w:top w:val="nil"/>
            </w:tcBorders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1.61 (1.09 – 2.39)</w:t>
            </w:r>
          </w:p>
        </w:tc>
        <w:tc>
          <w:tcPr>
            <w:tcW w:w="993" w:type="dxa"/>
            <w:tcBorders>
              <w:top w:val="nil"/>
            </w:tcBorders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0.018</w:t>
            </w:r>
          </w:p>
        </w:tc>
      </w:tr>
      <w:tr w:rsidR="00E45358" w:rsidRPr="004E4C08" w:rsidTr="001C2BDF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D</w:t>
            </w:r>
            <w:r>
              <w:rPr>
                <w:rStyle w:val="bluetxt"/>
                <w:iCs/>
              </w:rPr>
              <w:t>uration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1.03 (0.99 – 1.06)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0.124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tcBorders>
              <w:top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Hypertension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2.69 (1.94 – 3.73)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&lt;0.001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3.24 (2.1 – 5)</w:t>
            </w:r>
          </w:p>
        </w:tc>
        <w:tc>
          <w:tcPr>
            <w:tcW w:w="993" w:type="dxa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&lt;0.001</w:t>
            </w:r>
          </w:p>
        </w:tc>
      </w:tr>
      <w:tr w:rsidR="00E45358" w:rsidRPr="004E4C08" w:rsidTr="001C2BDF">
        <w:tc>
          <w:tcPr>
            <w:tcW w:w="2802" w:type="dxa"/>
            <w:gridSpan w:val="3"/>
            <w:tcBorders>
              <w:top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BMI, kg/m</w:t>
            </w:r>
            <w:r w:rsidRPr="004E4C08">
              <w:rPr>
                <w:rStyle w:val="bluetxt"/>
                <w:iCs/>
                <w:vertAlign w:val="superscript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1.02 (1.01 – 1.04)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0.021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BMI per SD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1.2 (1.03 – 1.39)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0.021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Waist girth, cm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1.02 (0.99 – 1.09)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0.425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Waist-hip ratio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1.08 (0.53 – 2.2)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0.829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Systolic BP, mmHg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1.01 (0.99 – 1.05)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0.109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Diastolic BP, mmHg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1.01 (0.99 – 1.02)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0.12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Default="00E45358" w:rsidP="001C2BDF"/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Pulse BP, mmHg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1.01 (1 – 1.02)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0.064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Default="00E45358" w:rsidP="001C2BDF"/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Mean BP, mmHg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1.01 (1.01 – 1.02)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0.035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Default="00E45358" w:rsidP="001C2BDF"/>
        </w:tc>
      </w:tr>
      <w:tr w:rsidR="00E45358" w:rsidRPr="004E4C08" w:rsidTr="001C2BDF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Mean BP per 10 mmHg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1.12 (1.01 – 1.24)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0.035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Default="00E45358" w:rsidP="001C2BDF"/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Heart rate, bpm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iCs/>
              </w:rPr>
            </w:pPr>
            <w:r w:rsidRPr="004229E8">
              <w:rPr>
                <w:rStyle w:val="bluetxt"/>
                <w:iCs/>
              </w:rPr>
              <w:t>1.01 (1 – 1.02)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iCs/>
              </w:rPr>
            </w:pPr>
            <w:r w:rsidRPr="004229E8">
              <w:rPr>
                <w:rStyle w:val="bluetxt"/>
                <w:iCs/>
              </w:rPr>
              <w:t>0.05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Default="00E45358" w:rsidP="001C2BDF"/>
        </w:tc>
      </w:tr>
      <w:tr w:rsidR="00E45358" w:rsidRPr="004E4C08" w:rsidTr="001C2BDF">
        <w:tc>
          <w:tcPr>
            <w:tcW w:w="4805" w:type="dxa"/>
            <w:gridSpan w:val="4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Smoking, (Ref: Never smoked)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62" w:type="dxa"/>
            <w:gridSpan w:val="2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Current</w:t>
            </w:r>
          </w:p>
        </w:tc>
        <w:tc>
          <w:tcPr>
            <w:tcW w:w="2003" w:type="dxa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0.62 (0.28 – 1.38)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0.243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62" w:type="dxa"/>
            <w:gridSpan w:val="2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 xml:space="preserve">Former </w:t>
            </w:r>
          </w:p>
        </w:tc>
        <w:tc>
          <w:tcPr>
            <w:tcW w:w="2003" w:type="dxa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0.99 (0.66 – 1.5)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0.698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Second-hand</w:t>
            </w:r>
            <w:r>
              <w:rPr>
                <w:rStyle w:val="bluetxt"/>
                <w:iCs/>
              </w:rPr>
              <w:t xml:space="preserve"> smoking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0.98 (0.63 – 1.58)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0.91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-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Alcohol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1.14 (1.08 – 1.21)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0.048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1.02 (0.69 – 1.49)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0.397</w:t>
            </w:r>
          </w:p>
        </w:tc>
      </w:tr>
      <w:tr w:rsidR="00E45358" w:rsidRPr="004E4C08" w:rsidTr="001C2BDF">
        <w:tc>
          <w:tcPr>
            <w:tcW w:w="5778" w:type="dxa"/>
            <w:gridSpan w:val="5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Educational level</w:t>
            </w:r>
            <w:r>
              <w:rPr>
                <w:rStyle w:val="bluetxt"/>
                <w:iCs/>
              </w:rPr>
              <w:t xml:space="preserve"> (Ref: </w:t>
            </w:r>
            <w:r w:rsidRPr="004E4C08">
              <w:rPr>
                <w:rStyle w:val="bluetxt"/>
                <w:iCs/>
              </w:rPr>
              <w:t>Higher than elementary</w:t>
            </w:r>
            <w:r>
              <w:rPr>
                <w:rStyle w:val="bluetxt"/>
                <w:iCs/>
              </w:rPr>
              <w:t>)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721DF5">
        <w:tc>
          <w:tcPr>
            <w:tcW w:w="262" w:type="dxa"/>
            <w:gridSpan w:val="2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Up to Elementary school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1.38 (1.09 – 1.83)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0.047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721DF5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1.3 (0.91 – 1.86)</w:t>
            </w:r>
          </w:p>
        </w:tc>
        <w:tc>
          <w:tcPr>
            <w:tcW w:w="993" w:type="dxa"/>
            <w:vAlign w:val="center"/>
          </w:tcPr>
          <w:p w:rsidR="00E45358" w:rsidRPr="004E4C08" w:rsidRDefault="00E45358" w:rsidP="00721DF5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0.153</w:t>
            </w:r>
          </w:p>
        </w:tc>
      </w:tr>
      <w:tr w:rsidR="00E45358" w:rsidRPr="004E4C08" w:rsidTr="001C2BDF">
        <w:tc>
          <w:tcPr>
            <w:tcW w:w="4805" w:type="dxa"/>
            <w:gridSpan w:val="4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 xml:space="preserve">Employment </w:t>
            </w:r>
            <w:r>
              <w:rPr>
                <w:rStyle w:val="bluetxt"/>
                <w:iCs/>
              </w:rPr>
              <w:t xml:space="preserve"> (Ref: </w:t>
            </w:r>
            <w:r w:rsidRPr="004E4C08">
              <w:rPr>
                <w:rStyle w:val="bluetxt"/>
                <w:iCs/>
              </w:rPr>
              <w:t>Unemployed</w:t>
            </w:r>
            <w:r>
              <w:rPr>
                <w:rStyle w:val="bluetxt"/>
                <w:iCs/>
              </w:rPr>
              <w:t>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</w:tr>
      <w:tr w:rsidR="00E45358" w:rsidRPr="004E4C08" w:rsidTr="001C2BDF">
        <w:tc>
          <w:tcPr>
            <w:tcW w:w="262" w:type="dxa"/>
            <w:gridSpan w:val="2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 xml:space="preserve">Part-time employment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0.63 (0.31 – 1.28)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0.203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0.73 (0.35 – 1.51)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0.393</w:t>
            </w:r>
          </w:p>
        </w:tc>
      </w:tr>
      <w:tr w:rsidR="00E45358" w:rsidRPr="004E4C08" w:rsidTr="001C2BDF">
        <w:tc>
          <w:tcPr>
            <w:tcW w:w="262" w:type="dxa"/>
            <w:gridSpan w:val="2"/>
            <w:tcBorders>
              <w:right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 w:rsidRPr="004E4C08">
              <w:rPr>
                <w:rStyle w:val="bluetxt"/>
                <w:iCs/>
              </w:rPr>
              <w:t>Full-time employment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0.62 (0.45 – 0.85)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0.004</w:t>
            </w:r>
          </w:p>
        </w:tc>
        <w:tc>
          <w:tcPr>
            <w:tcW w:w="284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0.73 (0.51 – 1.06)</w:t>
            </w:r>
          </w:p>
        </w:tc>
        <w:tc>
          <w:tcPr>
            <w:tcW w:w="993" w:type="dxa"/>
          </w:tcPr>
          <w:p w:rsidR="00E45358" w:rsidRPr="004E4C08" w:rsidRDefault="00E45358" w:rsidP="001C2BDF">
            <w:pPr>
              <w:jc w:val="center"/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0.068</w:t>
            </w:r>
          </w:p>
        </w:tc>
      </w:tr>
      <w:tr w:rsidR="00E45358" w:rsidRPr="004E4C08" w:rsidTr="001C2BDF">
        <w:tc>
          <w:tcPr>
            <w:tcW w:w="2802" w:type="dxa"/>
            <w:gridSpan w:val="3"/>
            <w:shd w:val="clear" w:color="auto" w:fill="auto"/>
          </w:tcPr>
          <w:p w:rsidR="00E45358" w:rsidRPr="004E4C08" w:rsidRDefault="00E45358" w:rsidP="001C2BDF">
            <w:pPr>
              <w:rPr>
                <w:rStyle w:val="bluetxt"/>
                <w:iCs/>
              </w:rPr>
            </w:pPr>
            <w:r>
              <w:rPr>
                <w:rStyle w:val="bluetxt"/>
                <w:iCs/>
              </w:rPr>
              <w:t>Insulin use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1.5 (1.08 – 2.61)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0.043</w:t>
            </w:r>
          </w:p>
        </w:tc>
        <w:tc>
          <w:tcPr>
            <w:tcW w:w="284" w:type="dxa"/>
          </w:tcPr>
          <w:p w:rsidR="00E45358" w:rsidRDefault="00E45358" w:rsidP="001C2BDF">
            <w:pPr>
              <w:jc w:val="center"/>
              <w:rPr>
                <w:rStyle w:val="bluetxt"/>
                <w:i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1.76 (1.04 – 3.15)</w:t>
            </w:r>
          </w:p>
        </w:tc>
        <w:tc>
          <w:tcPr>
            <w:tcW w:w="993" w:type="dxa"/>
          </w:tcPr>
          <w:p w:rsidR="00E45358" w:rsidRPr="004229E8" w:rsidRDefault="00E45358" w:rsidP="001C2BDF">
            <w:pPr>
              <w:jc w:val="center"/>
              <w:rPr>
                <w:rStyle w:val="bluetxt"/>
                <w:b/>
                <w:iCs/>
              </w:rPr>
            </w:pPr>
            <w:r w:rsidRPr="004229E8">
              <w:rPr>
                <w:rStyle w:val="bluetxt"/>
                <w:b/>
                <w:iCs/>
              </w:rPr>
              <w:t>0.047</w:t>
            </w:r>
          </w:p>
        </w:tc>
      </w:tr>
    </w:tbl>
    <w:p w:rsidR="00E45358" w:rsidRDefault="00E45358" w:rsidP="00E45358">
      <w:pPr>
        <w:spacing w:after="240"/>
        <w:rPr>
          <w:rStyle w:val="bluetxt"/>
          <w:iCs/>
        </w:rPr>
      </w:pPr>
      <w:r>
        <w:rPr>
          <w:rStyle w:val="bluetxt"/>
          <w:iCs/>
        </w:rPr>
        <w:t>BMI, body mass index; BP, blood pressure</w:t>
      </w:r>
      <w:bookmarkStart w:id="0" w:name="_GoBack"/>
      <w:bookmarkEnd w:id="0"/>
      <w:r>
        <w:rPr>
          <w:rStyle w:val="bluetxt"/>
          <w:iCs/>
        </w:rPr>
        <w:t>.</w:t>
      </w:r>
    </w:p>
    <w:p w:rsidR="00E45358" w:rsidRPr="00062C2E" w:rsidRDefault="00E45358" w:rsidP="00E45358">
      <w:pPr>
        <w:spacing w:after="240"/>
        <w:rPr>
          <w:rStyle w:val="bluetxt"/>
          <w:iCs/>
        </w:rPr>
      </w:pPr>
      <w:r>
        <w:rPr>
          <w:rStyle w:val="bluetxt"/>
          <w:iCs/>
        </w:rPr>
        <w:t>*Adjusted for age, gender, BMI, waist-hip ratio, waist circumference, mean blood pressure, heart rate, smoking status &amp; second-hand smoking.</w:t>
      </w:r>
    </w:p>
    <w:p w:rsidR="005A2CF8" w:rsidRDefault="005A2CF8"/>
    <w:sectPr w:rsidR="005A2CF8" w:rsidSect="00DA5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358"/>
    <w:rsid w:val="0015107F"/>
    <w:rsid w:val="00524957"/>
    <w:rsid w:val="005A2CF8"/>
    <w:rsid w:val="00721DF5"/>
    <w:rsid w:val="00757BC8"/>
    <w:rsid w:val="00DA5E39"/>
    <w:rsid w:val="00E4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txt">
    <w:name w:val="bluetxt"/>
    <w:basedOn w:val="DefaultParagraphFont"/>
    <w:rsid w:val="00E4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Yeboah</dc:creator>
  <cp:keywords/>
  <dc:description/>
  <cp:lastModifiedBy>clastimoso</cp:lastModifiedBy>
  <cp:revision>6</cp:revision>
  <dcterms:created xsi:type="dcterms:W3CDTF">2015-11-05T17:34:00Z</dcterms:created>
  <dcterms:modified xsi:type="dcterms:W3CDTF">2016-04-14T19:47:00Z</dcterms:modified>
</cp:coreProperties>
</file>