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F" w:rsidRDefault="004D530F" w:rsidP="004D530F">
      <w:pPr>
        <w:spacing w:after="0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>APPENDIX 2</w:t>
      </w:r>
      <w:r>
        <w:rPr>
          <w:b/>
          <w:bCs/>
          <w:sz w:val="24"/>
          <w:lang w:eastAsia="en-GB"/>
        </w:rPr>
        <w:t xml:space="preserve"> – ONGOING </w:t>
      </w:r>
      <w:bookmarkStart w:id="0" w:name="_GoBack"/>
      <w:bookmarkEnd w:id="0"/>
      <w:r>
        <w:rPr>
          <w:b/>
          <w:bCs/>
          <w:sz w:val="24"/>
          <w:lang w:eastAsia="en-GB"/>
        </w:rPr>
        <w:t>TRIALS (UNPUBLISHED)</w:t>
      </w:r>
    </w:p>
    <w:tbl>
      <w:tblPr>
        <w:tblW w:w="5097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659"/>
        <w:gridCol w:w="1691"/>
        <w:gridCol w:w="1910"/>
        <w:gridCol w:w="2979"/>
        <w:gridCol w:w="1982"/>
        <w:gridCol w:w="2722"/>
      </w:tblGrid>
      <w:tr w:rsidR="004D530F" w:rsidRPr="00D74C3E" w:rsidTr="00B63EFE">
        <w:trPr>
          <w:trHeight w:val="492"/>
          <w:jc w:val="center"/>
        </w:trPr>
        <w:tc>
          <w:tcPr>
            <w:tcW w:w="521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Study ID, date registered (</w:t>
            </w:r>
            <w:proofErr w:type="spellStart"/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dd</w:t>
            </w:r>
            <w:proofErr w:type="spellEnd"/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/mm/</w:t>
            </w:r>
            <w:proofErr w:type="spellStart"/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yyyy</w:t>
            </w:r>
            <w:proofErr w:type="spellEnd"/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74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Public title/ registered title</w:t>
            </w:r>
          </w:p>
        </w:tc>
        <w:tc>
          <w:tcPr>
            <w:tcW w:w="585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Methodological quality</w:t>
            </w:r>
          </w:p>
        </w:tc>
        <w:tc>
          <w:tcPr>
            <w:tcW w:w="661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1031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Interventions</w:t>
            </w:r>
          </w:p>
        </w:tc>
        <w:tc>
          <w:tcPr>
            <w:tcW w:w="686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Primary outcome</w:t>
            </w:r>
          </w:p>
        </w:tc>
        <w:tc>
          <w:tcPr>
            <w:tcW w:w="942" w:type="pct"/>
            <w:shd w:val="clear" w:color="000000" w:fill="BFBFBF"/>
            <w:hideMark/>
          </w:tcPr>
          <w:p w:rsidR="004D530F" w:rsidRPr="00D74C3E" w:rsidRDefault="004D530F" w:rsidP="00B63E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Other Outcomes</w:t>
            </w:r>
          </w:p>
        </w:tc>
      </w:tr>
      <w:tr w:rsidR="004D530F" w:rsidRPr="00D74C3E" w:rsidTr="00B63EFE">
        <w:trPr>
          <w:trHeight w:val="1380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ACTRN12613000730707 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(02/07/2013)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 yet recruiting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role of education in the self-management of elderly patients with persistent (chronic) pain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permutated block randomisation by online random number generation, RCT, no masking (open label)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age&gt;60yrs, chronic pain (&gt;3months), independent, newly referred to pain clinic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5hrs of education over 2 sessions in one week.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Pain management Strategies Questionnaire at baseline, 2wks, and 3months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pain</w:t>
            </w:r>
            <w:proofErr w:type="gram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self-efficacy questionnaire (PSEQ), Brief Pain Inventory (BPI), Global perceived impression of changes (GPIC), patient satisfaction.  At 2wks and 3months post-intervention</w:t>
            </w:r>
          </w:p>
        </w:tc>
      </w:tr>
      <w:tr w:rsidR="004D530F" w:rsidRPr="00D74C3E" w:rsidTr="00B63EFE">
        <w:trPr>
          <w:trHeight w:val="1629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NCT01794988 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(15/02/2013)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recruiting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Can therapy alter CNS processing of chronic pain: a longitudinal study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randomised, RCT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 18-75yrs. Chronic pain for 12months (musculoskeletal, non-neuropathic)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 arms (3 intervention, 1 control): relevant intervention "pain education" for 11wks - mailed education to home address on weekly basis, others "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groupCBT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" for 11wks, "therapeutic interactive voice response (TIVR)" for 4months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Pain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 listed</w:t>
            </w:r>
          </w:p>
        </w:tc>
      </w:tr>
      <w:tr w:rsidR="004D530F" w:rsidRPr="00D74C3E" w:rsidTr="00B63EFE">
        <w:trPr>
          <w:trHeight w:val="1113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ISRCTN67153366 (29/09/2006)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Completed - no publications found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Promoting a self-care approach for managing persistent pain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RCT, computer random selection tool, blinding not possible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 18-75yrs. Chronic pain (&gt;3months), referred to pain management service, literate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6wk, 2.5hr/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wk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self-care programme "Expert Patient Programme" (EPP)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Pain stage of change questionnaire (PSOQ) at baseline, 4 and 9months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 listed</w:t>
            </w:r>
          </w:p>
        </w:tc>
      </w:tr>
      <w:tr w:rsidR="004D530F" w:rsidRPr="00D74C3E" w:rsidTr="00B63EFE">
        <w:trPr>
          <w:trHeight w:val="768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NCT00224991 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(21/09/2005)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Completed - no publications found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Osteoporosis school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RCT, no masking (open label), 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age&gt;</w:t>
            </w:r>
            <w:proofErr w:type="gram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50yrs.  Fracture due to osteoporosis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"intensive systematic information" (osteoporosis school)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fall frequency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compliance, quality of life</w:t>
            </w:r>
          </w:p>
        </w:tc>
      </w:tr>
      <w:tr w:rsidR="004D530F" w:rsidRPr="00D74C3E" w:rsidTr="00B63EFE">
        <w:trPr>
          <w:trHeight w:val="1858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ISRCTN53460881 (08/11/2012)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Completed - no publications found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Self-management migraine Headache Education (SHE)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randomised, RCT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 18-75yrs. Chronic migraine (6months, on more than 4days in past month), English speaking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SHE: 3 fortnightly one-to-one sessions with nurse plus 2 telephone calls between.  Each session 50mins, each phone call 10-20mins. 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headache frequency (days/month) at 8wks and 4months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headache impact (HIT-6) at 8wks and 4months, health costs, migraine 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diability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(MIDAS) at 8wks and 4months, headache related beliefs (illness perception 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questionaire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-revised) at 8wks and 4months, psychological morbidity (HADS) at 8wks and 4months</w:t>
            </w:r>
          </w:p>
        </w:tc>
      </w:tr>
      <w:tr w:rsidR="004D530F" w:rsidRPr="00D74C3E" w:rsidTr="00B63EFE">
        <w:trPr>
          <w:trHeight w:val="1800"/>
          <w:jc w:val="center"/>
        </w:trPr>
        <w:tc>
          <w:tcPr>
            <w:tcW w:w="52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NCT00417742 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(02/01/2007)</w:t>
            </w:r>
          </w:p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Completed - no publications found </w:t>
            </w:r>
          </w:p>
        </w:tc>
        <w:tc>
          <w:tcPr>
            <w:tcW w:w="574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Project CHEER (Comprehensive Headache Evaluation, Education, Relief)</w:t>
            </w:r>
          </w:p>
        </w:tc>
        <w:tc>
          <w:tcPr>
            <w:tcW w:w="585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random allocation, no masking (open label), RCT </w:t>
            </w:r>
          </w:p>
        </w:tc>
        <w:tc>
          <w:tcPr>
            <w:tcW w:w="66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Age&gt;21yrs. Chronic headache (tension type headache, migraine, or mixed 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etiology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), MIDAS&gt;5. </w:t>
            </w:r>
          </w:p>
        </w:tc>
        <w:tc>
          <w:tcPr>
            <w:tcW w:w="1031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single intervention "Education": service delivery through a Headache Management Program </w:t>
            </w:r>
          </w:p>
        </w:tc>
        <w:tc>
          <w:tcPr>
            <w:tcW w:w="686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MIDAS questionnaire</w:t>
            </w:r>
          </w:p>
        </w:tc>
        <w:tc>
          <w:tcPr>
            <w:tcW w:w="942" w:type="pct"/>
            <w:shd w:val="clear" w:color="auto" w:fill="auto"/>
            <w:hideMark/>
          </w:tcPr>
          <w:p w:rsidR="004D530F" w:rsidRPr="00D74C3E" w:rsidRDefault="004D530F" w:rsidP="00B63E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CATI headache diagnostic survey (baseline), SF36 </w:t>
            </w:r>
            <w:proofErr w:type="spellStart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QoL</w:t>
            </w:r>
            <w:proofErr w:type="spellEnd"/>
            <w:r w:rsidRPr="00D74C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(Baseline, 6 and 12months), Healthcare utilisation measures (self-report; baseline, 3, 6, 12 months), use of alternative therapies (self-report)</w:t>
            </w:r>
          </w:p>
        </w:tc>
      </w:tr>
    </w:tbl>
    <w:p w:rsidR="00D1344C" w:rsidRDefault="00D1344C" w:rsidP="004D530F"/>
    <w:sectPr w:rsidR="00D1344C" w:rsidSect="004D5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F"/>
    <w:rsid w:val="004D530F"/>
    <w:rsid w:val="00D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Geneen</dc:creator>
  <cp:lastModifiedBy>Louise Geneen</cp:lastModifiedBy>
  <cp:revision>1</cp:revision>
  <dcterms:created xsi:type="dcterms:W3CDTF">2015-02-20T14:37:00Z</dcterms:created>
  <dcterms:modified xsi:type="dcterms:W3CDTF">2015-02-20T14:40:00Z</dcterms:modified>
</cp:coreProperties>
</file>