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pPr w:leftFromText="180" w:rightFromText="180" w:vertAnchor="text" w:horzAnchor="margin" w:tblpY="692"/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1384"/>
        <w:gridCol w:w="1276"/>
        <w:gridCol w:w="709"/>
        <w:gridCol w:w="3969"/>
        <w:gridCol w:w="1275"/>
        <w:gridCol w:w="5412"/>
      </w:tblGrid>
      <w:tr w:rsidR="006C5F3A" w:rsidRPr="006C5F3A" w:rsidTr="00DA3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Emmanuel´s criteria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(n, %) [10]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 xml:space="preserve">List of Key Emmanuel´s recommnedations included </w:t>
            </w:r>
          </w:p>
        </w:tc>
      </w:tr>
      <w:tr w:rsidR="006C5F3A" w:rsidRPr="006C5F3A" w:rsidTr="00DA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Guidelines in non-cancer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A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ldasoro et al. [19]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Necesidades en cuidados paliativos de las enfermedades no oncológicas. Un estudio cualitativo desde la perspectiva de profesionales, pacientes y personas cuidadoras (</w:t>
            </w:r>
            <w:r w:rsidRPr="006C5F3A">
              <w:rPr>
                <w:color w:val="auto"/>
              </w:rPr>
              <w:t xml:space="preserve">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 xml:space="preserve">Needs in PC of the non oncologic diseases.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A qualitative study from the professionals perspective, patients and carers)</w:t>
            </w:r>
            <w:r w:rsidRPr="006C5F3A" w:rsidDel="00321AAB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4 (36%)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Discussion of illness limitations and prognosis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Advance care planning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Recommendations on involving a PC team</w:t>
            </w:r>
          </w:p>
        </w:tc>
      </w:tr>
      <w:tr w:rsidR="006C5F3A" w:rsidRPr="006C5F3A" w:rsidTr="00DA315A">
        <w:trPr>
          <w:trHeight w:val="7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Pathways in non-cancer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Arnedillo et al. [20]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s-ES_tradnl"/>
              </w:rPr>
              <w:t>Consenso sobre Atención Integral de las Agudizaciones de la Enfermedad Pul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monar Obstructiva Crónica ATINA-EPOC (Consensus on integrated care of acute exacerbations of chronic obstructive pulmonary disease ATINA-EPOC)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8</w:t>
            </w:r>
            <w:bookmarkStart w:id="0" w:name="_GoBack"/>
            <w:bookmarkEnd w:id="0"/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 xml:space="preserve"> (73%)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Discussion of illness limitations and prognosis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Recommendations for when to make these recommendations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5. Assessment of the patient´s goals for care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 xml:space="preserve">6. Continuous goal adjustment as the illness and the person´s disease progresses. 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7.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8. Advance care planning</w:t>
            </w:r>
          </w:p>
        </w:tc>
      </w:tr>
      <w:tr w:rsidR="006C5F3A" w:rsidRPr="006C5F3A" w:rsidTr="00DA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Pathways in non-cancer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Gómez-Batiste et al. [21]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s-ES_tradnl"/>
              </w:rPr>
              <w:t>Proyecto NECPAL CCOMS-ICO. Identificación y atención integral-integrad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 xml:space="preserve">a de personas con enfermedades crónicas avanzadas en servicios de salud y sociales 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(NECPAL CCOMS-ICO</w:t>
            </w:r>
            <w:r w:rsidRPr="006C5F3A">
              <w:rPr>
                <w:color w:val="auto"/>
                <w:lang w:val="en-US"/>
              </w:rPr>
              <w:t xml:space="preserve">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Project.</w:t>
            </w:r>
            <w:r w:rsidRPr="006C5F3A">
              <w:rPr>
                <w:color w:val="auto"/>
                <w:lang w:val="en-US"/>
              </w:rPr>
              <w:t xml:space="preserve">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Identification and Integral-integrated attention of patients with advanced chronic diseases in health and social services)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8F63C4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6 (</w:t>
            </w:r>
            <w:r w:rsidR="00EE7C3F" w:rsidRPr="006C5F3A">
              <w:rPr>
                <w:rFonts w:ascii="GillBegaLight" w:hAnsi="GillBegaLight"/>
                <w:color w:val="auto"/>
                <w:sz w:val="20"/>
                <w:szCs w:val="20"/>
              </w:rPr>
              <w:t>5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5</w:t>
            </w:r>
            <w:r w:rsidR="00EE7C3F" w:rsidRPr="006C5F3A">
              <w:rPr>
                <w:rFonts w:ascii="GillBegaLight" w:hAnsi="GillBegaLight"/>
                <w:color w:val="auto"/>
                <w:sz w:val="20"/>
                <w:szCs w:val="20"/>
              </w:rPr>
              <w:t>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 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 Assessment of the patient´s goals for care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 Continuous goal adjustment as the illness and the person´s disease progresses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 xml:space="preserve">4. </w:t>
            </w:r>
            <w:r w:rsidR="007D556F" w:rsidRPr="006C5F3A">
              <w:rPr>
                <w:rFonts w:ascii="GillBegaLight" w:hAnsi="GillBegaLight"/>
                <w:color w:val="auto"/>
                <w:lang w:val="en-US"/>
              </w:rPr>
              <w:t xml:space="preserve"> Advance care planning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lastRenderedPageBreak/>
              <w:t xml:space="preserve">5.  </w:t>
            </w:r>
            <w:r w:rsidR="007D556F" w:rsidRPr="006C5F3A">
              <w:rPr>
                <w:rFonts w:ascii="GillBegaLight" w:hAnsi="GillBegaLight"/>
                <w:color w:val="auto"/>
                <w:lang w:val="en-US"/>
              </w:rPr>
              <w:t xml:space="preserve"> Recommendations on involving a PC team</w:t>
            </w:r>
          </w:p>
          <w:p w:rsidR="00EE7C3F" w:rsidRPr="006C5F3A" w:rsidRDefault="00EE7C3F" w:rsidP="007D556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 xml:space="preserve">6.  </w:t>
            </w:r>
            <w:r w:rsidR="007D556F" w:rsidRPr="006C5F3A">
              <w:rPr>
                <w:rFonts w:ascii="GillBegaLight" w:hAnsi="GillBegaLight"/>
                <w:color w:val="auto"/>
                <w:lang w:val="en-US"/>
              </w:rPr>
              <w:t xml:space="preserve"> Recommendations on grief and bereavement</w:t>
            </w:r>
          </w:p>
        </w:tc>
      </w:tr>
      <w:tr w:rsidR="006C5F3A" w:rsidRPr="006C5F3A" w:rsidTr="00DA315A">
        <w:trPr>
          <w:trHeight w:val="6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Pathway general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Agustín et al. [14]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Manual para el manejo del paciente en Cuidados Paliativos en Urgencias Extrahospitalarias (Manual for patient management in PC in Extrahospital emergencies)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4 (36%)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Discussion of illness limitations and prognosis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Recommendations on PC at the last moments of life</w:t>
            </w:r>
          </w:p>
        </w:tc>
      </w:tr>
      <w:tr w:rsidR="006C5F3A" w:rsidRPr="006C5F3A" w:rsidTr="00DA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Guidelines general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SECPAL [44]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Guía de Cuidados Paliativos (Palliative Care Guideline)</w:t>
            </w:r>
          </w:p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3 (27%)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on PC at the last moments of life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Recommendations on grief and bereavement</w:t>
            </w:r>
          </w:p>
        </w:tc>
      </w:tr>
      <w:tr w:rsidR="006C5F3A" w:rsidRPr="006C5F3A" w:rsidTr="00DA315A">
        <w:trPr>
          <w:trHeight w:val="6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Guidelines general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Colomer et al. [45]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Unidad de Cuidados Paliativos: Estándares y recomendaciones (Palliative Care Unit: Standards and recommendations)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8 (73%)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Discussion of illness limitations and prognosis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Assessment of the patient´s goals for care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5.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6. Advance care planning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7. Recommendations on involving a PC team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8. Recommendations on grief and bereavement</w:t>
            </w:r>
          </w:p>
        </w:tc>
      </w:tr>
      <w:tr w:rsidR="006C5F3A" w:rsidRPr="006C5F3A" w:rsidTr="00DA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Guidelines general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Arrieta et al. [46]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Guía de Práctica Clínica sobre Cuidados Paliativos (Clinical practical guideline</w:t>
            </w:r>
            <w:r w:rsidRPr="006C5F3A">
              <w:rPr>
                <w:color w:val="auto"/>
              </w:rPr>
              <w:t xml:space="preserve">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on Palliative care)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10 (91%)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Discussion of illness limitations and prognosis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Recommendations for when to make these recommendations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5. Assessment of the patient´s goals for care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6.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7. Advance care planning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8. Recommendations on involving a PC team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9. Recommendations on PC at the last moments of life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lastRenderedPageBreak/>
              <w:t>10. Recommendations on grief and bereavement</w:t>
            </w:r>
          </w:p>
        </w:tc>
      </w:tr>
      <w:tr w:rsidR="006C5F3A" w:rsidRPr="006C5F3A" w:rsidTr="00DA315A">
        <w:trPr>
          <w:trHeight w:val="4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Guidelines general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González et al. [29]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Guía de Cuidados Paliativos de la Comunidad de Madrid (Palliative Care guidelines of the Autonomous Community of Madrid)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5 (45%)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Discussion of illness limitations and prognosis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5. Recommendations on PC at the last moments of life</w:t>
            </w:r>
          </w:p>
        </w:tc>
      </w:tr>
      <w:tr w:rsidR="006C5F3A" w:rsidRPr="006C5F3A" w:rsidTr="00DA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Pathways general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Cía et al. [15]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Proceso asistencial integrado de Cuidados Paliativos (Palliative Care Integrated assistential Process)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7 (63%)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1. 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Advance care planning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5. Recommendations on involving a PC team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6. Recommendations on PC at the last moments of life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7. Recommendations on grief and bereavement</w:t>
            </w:r>
          </w:p>
        </w:tc>
      </w:tr>
      <w:tr w:rsidR="006C5F3A" w:rsidRPr="006C5F3A" w:rsidTr="00DA315A">
        <w:trPr>
          <w:trHeight w:val="4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Guidelines in cancer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Carvajal et al. [16]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s-ES_tradnl"/>
              </w:rPr>
              <w:t xml:space="preserve">Guía de recomendaciones clínicas: Cáncer colorrectal (Clinical recommendation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guideline: Colon cancer)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4 (36%)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 xml:space="preserve">1. </w:t>
            </w:r>
            <w:r w:rsidRPr="006C5F3A">
              <w:rPr>
                <w:rFonts w:ascii="GillBegaLight" w:hAnsi="GillBegaLight"/>
                <w:color w:val="auto"/>
                <w:lang w:val="en-US"/>
              </w:rPr>
              <w:t>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Continuous goal adjustment as the illness and the person´s disease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Recommendations on grief and bereavement</w:t>
            </w:r>
          </w:p>
        </w:tc>
      </w:tr>
      <w:tr w:rsidR="006C5F3A" w:rsidRPr="006C5F3A" w:rsidTr="00DA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Pathways in cancer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Naveira et al. [46]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 xml:space="preserve">Cuidados paliativos en el enfermo oncologico. Documentos para la gestión integrada de procesos asistenciales relacionados con el cancer.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 xml:space="preserve">Proyecto Oncoguias (Palliative Care for the oncologic patient. Documents for integrated management of assitential processes related to Cancer. </w:t>
            </w: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"Oncoguías" Project)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4 (36%)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 xml:space="preserve">1. </w:t>
            </w:r>
            <w:r w:rsidRPr="006C5F3A">
              <w:rPr>
                <w:rFonts w:ascii="GillBegaLight" w:hAnsi="GillBegaLight"/>
                <w:color w:val="auto"/>
                <w:lang w:val="en-US"/>
              </w:rPr>
              <w:t>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Recommendations on involving a PC team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Recommendations on grief and bereavement</w:t>
            </w:r>
          </w:p>
        </w:tc>
      </w:tr>
      <w:tr w:rsidR="006C5F3A" w:rsidRPr="006C5F3A" w:rsidTr="00DA315A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Pathways general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Hernández et al. [14]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Programa de cuidados domiciliarios en atención primaria (Home Care program in Primary attention)</w:t>
            </w:r>
          </w:p>
          <w:p w:rsidR="00EE7C3F" w:rsidRPr="006C5F3A" w:rsidRDefault="00EE7C3F" w:rsidP="00EE7C3F">
            <w:pPr>
              <w:spacing w:after="200"/>
              <w:rPr>
                <w:rFonts w:ascii="GillBegaLight" w:hAnsi="GillBegaLight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C3F" w:rsidRPr="006C5F3A" w:rsidRDefault="00EE7C3F" w:rsidP="00EE7C3F">
            <w:pPr>
              <w:jc w:val="center"/>
              <w:rPr>
                <w:rFonts w:ascii="GillBegaLight" w:hAnsi="GillBegaLight"/>
                <w:color w:val="auto"/>
                <w:sz w:val="20"/>
                <w:szCs w:val="20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</w:rPr>
              <w:t>6 (56%)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  <w:t xml:space="preserve">1. </w:t>
            </w:r>
            <w:r w:rsidRPr="006C5F3A">
              <w:rPr>
                <w:rFonts w:ascii="GillBegaLight" w:hAnsi="GillBegaLight"/>
                <w:color w:val="auto"/>
                <w:lang w:val="en-US"/>
              </w:rPr>
              <w:t>Recommendations for conducting a whole patient assessment including the patient´s physical, social, psychological and spiritual issues, their family and community setting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2. Recommendations on when PC should be integrated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3. PC interventions to reduce suffering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4. Recommendations on involving a PC team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5. Recommendations on PC at the last moments of life</w:t>
            </w:r>
          </w:p>
          <w:p w:rsidR="00EE7C3F" w:rsidRPr="006C5F3A" w:rsidRDefault="00EE7C3F" w:rsidP="00EE7C3F">
            <w:pPr>
              <w:rPr>
                <w:rFonts w:ascii="GillBegaLight" w:hAnsi="GillBegaLight"/>
                <w:color w:val="auto"/>
                <w:sz w:val="20"/>
                <w:szCs w:val="20"/>
                <w:lang w:val="en-US"/>
              </w:rPr>
            </w:pPr>
            <w:r w:rsidRPr="006C5F3A">
              <w:rPr>
                <w:rFonts w:ascii="GillBegaLight" w:hAnsi="GillBegaLight"/>
                <w:color w:val="auto"/>
                <w:lang w:val="en-US"/>
              </w:rPr>
              <w:t>6. Recommendations on grief and bereavement</w:t>
            </w:r>
          </w:p>
        </w:tc>
      </w:tr>
    </w:tbl>
    <w:p w:rsidR="007436E6" w:rsidRPr="006C5F3A" w:rsidRDefault="007436E6">
      <w:pPr>
        <w:rPr>
          <w:lang w:val="en-US"/>
        </w:rPr>
      </w:pPr>
    </w:p>
    <w:sectPr w:rsidR="007436E6" w:rsidRPr="006C5F3A" w:rsidSect="00EE7C3F">
      <w:headerReference w:type="default" r:id="rId8"/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6C" w:rsidRDefault="0026676C" w:rsidP="00EE7C3F">
      <w:pPr>
        <w:spacing w:after="0" w:line="240" w:lineRule="auto"/>
      </w:pPr>
      <w:r>
        <w:separator/>
      </w:r>
    </w:p>
  </w:endnote>
  <w:endnote w:type="continuationSeparator" w:id="0">
    <w:p w:rsidR="0026676C" w:rsidRDefault="0026676C" w:rsidP="00EE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6C" w:rsidRDefault="0026676C" w:rsidP="00EE7C3F">
      <w:pPr>
        <w:spacing w:after="0" w:line="240" w:lineRule="auto"/>
      </w:pPr>
      <w:r>
        <w:separator/>
      </w:r>
    </w:p>
  </w:footnote>
  <w:footnote w:type="continuationSeparator" w:id="0">
    <w:p w:rsidR="0026676C" w:rsidRDefault="0026676C" w:rsidP="00EE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F" w:rsidRPr="00EE7C3F" w:rsidRDefault="006C5F3A" w:rsidP="00EE7C3F">
    <w:pPr>
      <w:rPr>
        <w:rFonts w:ascii="GillBegaLight" w:hAnsi="GillBegaLight"/>
        <w:lang w:val="en-US"/>
      </w:rPr>
    </w:pPr>
    <w:r>
      <w:rPr>
        <w:rFonts w:ascii="GillBegaLight" w:hAnsi="GillBegaLight"/>
        <w:b/>
        <w:lang w:val="en-US"/>
      </w:rPr>
      <w:t xml:space="preserve">Additional table 1: </w:t>
    </w:r>
    <w:r w:rsidR="00EE7C3F">
      <w:rPr>
        <w:rFonts w:ascii="GillBegaLight" w:hAnsi="GillBegaLight"/>
        <w:lang w:val="en-US"/>
      </w:rPr>
      <w:t xml:space="preserve"> Display of the Emmanuel´s criteria per study</w:t>
    </w:r>
  </w:p>
  <w:p w:rsidR="00EE7C3F" w:rsidRPr="00EE7C3F" w:rsidRDefault="00EE7C3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B73"/>
    <w:multiLevelType w:val="hybridMultilevel"/>
    <w:tmpl w:val="864C9B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20A"/>
    <w:multiLevelType w:val="hybridMultilevel"/>
    <w:tmpl w:val="BCDE28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B2E"/>
    <w:multiLevelType w:val="hybridMultilevel"/>
    <w:tmpl w:val="2E5865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B34"/>
    <w:multiLevelType w:val="hybridMultilevel"/>
    <w:tmpl w:val="23D28D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CF0"/>
    <w:multiLevelType w:val="hybridMultilevel"/>
    <w:tmpl w:val="2FDA3ECE"/>
    <w:lvl w:ilvl="0" w:tplc="E4EA9B4C">
      <w:start w:val="1"/>
      <w:numFmt w:val="decimal"/>
      <w:lvlText w:val="%1."/>
      <w:lvlJc w:val="left"/>
      <w:pPr>
        <w:ind w:left="720" w:hanging="360"/>
      </w:pPr>
      <w:rPr>
        <w:rFonts w:ascii="GillBegaLight" w:hAnsi="GillBegaLight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3A2F"/>
    <w:multiLevelType w:val="hybridMultilevel"/>
    <w:tmpl w:val="4FDACC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C20"/>
    <w:multiLevelType w:val="hybridMultilevel"/>
    <w:tmpl w:val="AA9CC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732"/>
    <w:multiLevelType w:val="hybridMultilevel"/>
    <w:tmpl w:val="33500F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373D"/>
    <w:multiLevelType w:val="hybridMultilevel"/>
    <w:tmpl w:val="FC1668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95203"/>
    <w:multiLevelType w:val="hybridMultilevel"/>
    <w:tmpl w:val="6E94C5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945B8"/>
    <w:multiLevelType w:val="hybridMultilevel"/>
    <w:tmpl w:val="20C480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42"/>
    <w:rsid w:val="000152B4"/>
    <w:rsid w:val="000162E3"/>
    <w:rsid w:val="0003177A"/>
    <w:rsid w:val="00036C18"/>
    <w:rsid w:val="0007065D"/>
    <w:rsid w:val="00083175"/>
    <w:rsid w:val="00091BB4"/>
    <w:rsid w:val="000A3448"/>
    <w:rsid w:val="000C207E"/>
    <w:rsid w:val="000F2513"/>
    <w:rsid w:val="0011763B"/>
    <w:rsid w:val="00125E86"/>
    <w:rsid w:val="0012699D"/>
    <w:rsid w:val="00160F6F"/>
    <w:rsid w:val="001B1385"/>
    <w:rsid w:val="002405B4"/>
    <w:rsid w:val="00240985"/>
    <w:rsid w:val="0026676C"/>
    <w:rsid w:val="0027314B"/>
    <w:rsid w:val="002B3985"/>
    <w:rsid w:val="002B4621"/>
    <w:rsid w:val="002B5313"/>
    <w:rsid w:val="002B7BF6"/>
    <w:rsid w:val="002D1AB0"/>
    <w:rsid w:val="002D2BC9"/>
    <w:rsid w:val="002D3A23"/>
    <w:rsid w:val="002D3DF0"/>
    <w:rsid w:val="002E136A"/>
    <w:rsid w:val="002F64F0"/>
    <w:rsid w:val="002F7512"/>
    <w:rsid w:val="00321AEA"/>
    <w:rsid w:val="00345D7E"/>
    <w:rsid w:val="00374D46"/>
    <w:rsid w:val="00380378"/>
    <w:rsid w:val="003946E9"/>
    <w:rsid w:val="003E5A8A"/>
    <w:rsid w:val="003F6DE3"/>
    <w:rsid w:val="0042532E"/>
    <w:rsid w:val="004500A9"/>
    <w:rsid w:val="004536AE"/>
    <w:rsid w:val="0047632F"/>
    <w:rsid w:val="004A25AB"/>
    <w:rsid w:val="004A658F"/>
    <w:rsid w:val="004B2CD6"/>
    <w:rsid w:val="004C6FAF"/>
    <w:rsid w:val="004C7CFD"/>
    <w:rsid w:val="004E427B"/>
    <w:rsid w:val="005021B6"/>
    <w:rsid w:val="00507443"/>
    <w:rsid w:val="005325BC"/>
    <w:rsid w:val="00574F4C"/>
    <w:rsid w:val="005B777D"/>
    <w:rsid w:val="006235D5"/>
    <w:rsid w:val="006551B2"/>
    <w:rsid w:val="00680212"/>
    <w:rsid w:val="006854A5"/>
    <w:rsid w:val="006C5F3A"/>
    <w:rsid w:val="00725707"/>
    <w:rsid w:val="007436E6"/>
    <w:rsid w:val="00765DB1"/>
    <w:rsid w:val="007857D0"/>
    <w:rsid w:val="007A6F36"/>
    <w:rsid w:val="007C7047"/>
    <w:rsid w:val="007D556F"/>
    <w:rsid w:val="007F51E8"/>
    <w:rsid w:val="00821A29"/>
    <w:rsid w:val="00840BDB"/>
    <w:rsid w:val="00851500"/>
    <w:rsid w:val="00866FC7"/>
    <w:rsid w:val="00892447"/>
    <w:rsid w:val="00896902"/>
    <w:rsid w:val="008B06B9"/>
    <w:rsid w:val="008C2285"/>
    <w:rsid w:val="008C4142"/>
    <w:rsid w:val="008F63C4"/>
    <w:rsid w:val="0090664A"/>
    <w:rsid w:val="0092323E"/>
    <w:rsid w:val="00941010"/>
    <w:rsid w:val="00963799"/>
    <w:rsid w:val="009664CD"/>
    <w:rsid w:val="009A6328"/>
    <w:rsid w:val="009C64FC"/>
    <w:rsid w:val="009D0B93"/>
    <w:rsid w:val="009D4B65"/>
    <w:rsid w:val="00A34880"/>
    <w:rsid w:val="00A35265"/>
    <w:rsid w:val="00A96BF9"/>
    <w:rsid w:val="00AB260B"/>
    <w:rsid w:val="00AB6AAC"/>
    <w:rsid w:val="00AC0F60"/>
    <w:rsid w:val="00AC4027"/>
    <w:rsid w:val="00AC5A7C"/>
    <w:rsid w:val="00AE4136"/>
    <w:rsid w:val="00B0172E"/>
    <w:rsid w:val="00B2152B"/>
    <w:rsid w:val="00B31A82"/>
    <w:rsid w:val="00B733A9"/>
    <w:rsid w:val="00BB4E11"/>
    <w:rsid w:val="00BB5CE6"/>
    <w:rsid w:val="00BC61C3"/>
    <w:rsid w:val="00BD416C"/>
    <w:rsid w:val="00C10520"/>
    <w:rsid w:val="00C14134"/>
    <w:rsid w:val="00C558FC"/>
    <w:rsid w:val="00C752C6"/>
    <w:rsid w:val="00C9466D"/>
    <w:rsid w:val="00CA0C66"/>
    <w:rsid w:val="00CC7987"/>
    <w:rsid w:val="00D00197"/>
    <w:rsid w:val="00D415CA"/>
    <w:rsid w:val="00D44032"/>
    <w:rsid w:val="00D67C0B"/>
    <w:rsid w:val="00D7185E"/>
    <w:rsid w:val="00D752F3"/>
    <w:rsid w:val="00D76BA8"/>
    <w:rsid w:val="00D82FE5"/>
    <w:rsid w:val="00DA315A"/>
    <w:rsid w:val="00DC136B"/>
    <w:rsid w:val="00DF5209"/>
    <w:rsid w:val="00E16C24"/>
    <w:rsid w:val="00E27097"/>
    <w:rsid w:val="00E4761F"/>
    <w:rsid w:val="00E5443C"/>
    <w:rsid w:val="00E64C92"/>
    <w:rsid w:val="00E753CF"/>
    <w:rsid w:val="00E81513"/>
    <w:rsid w:val="00E83106"/>
    <w:rsid w:val="00EA5EA0"/>
    <w:rsid w:val="00EB0FCC"/>
    <w:rsid w:val="00EE18D1"/>
    <w:rsid w:val="00EE7C3F"/>
    <w:rsid w:val="00F00554"/>
    <w:rsid w:val="00F04A1E"/>
    <w:rsid w:val="00F17CFA"/>
    <w:rsid w:val="00F31F8F"/>
    <w:rsid w:val="00F43AD2"/>
    <w:rsid w:val="00F5352B"/>
    <w:rsid w:val="00F7132E"/>
    <w:rsid w:val="00F719DD"/>
    <w:rsid w:val="00F75043"/>
    <w:rsid w:val="00FD097F"/>
    <w:rsid w:val="00FD114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4142"/>
    <w:pPr>
      <w:ind w:left="720"/>
      <w:contextualSpacing/>
    </w:pPr>
  </w:style>
  <w:style w:type="table" w:styleId="Sombreadoclaro">
    <w:name w:val="Light Shading"/>
    <w:basedOn w:val="Tablanormal"/>
    <w:uiPriority w:val="60"/>
    <w:rsid w:val="007436E6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E7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C3F"/>
  </w:style>
  <w:style w:type="paragraph" w:styleId="Piedepgina">
    <w:name w:val="footer"/>
    <w:basedOn w:val="Normal"/>
    <w:link w:val="PiedepginaCar"/>
    <w:uiPriority w:val="99"/>
    <w:unhideWhenUsed/>
    <w:rsid w:val="00EE7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4142"/>
    <w:pPr>
      <w:ind w:left="720"/>
      <w:contextualSpacing/>
    </w:pPr>
  </w:style>
  <w:style w:type="table" w:styleId="Sombreadoclaro">
    <w:name w:val="Light Shading"/>
    <w:basedOn w:val="Tablanormal"/>
    <w:uiPriority w:val="60"/>
    <w:rsid w:val="007436E6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E7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C3F"/>
  </w:style>
  <w:style w:type="paragraph" w:styleId="Piedepgina">
    <w:name w:val="footer"/>
    <w:basedOn w:val="Normal"/>
    <w:link w:val="PiedepginaCar"/>
    <w:uiPriority w:val="99"/>
    <w:unhideWhenUsed/>
    <w:rsid w:val="00EE7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16</cp:revision>
  <dcterms:created xsi:type="dcterms:W3CDTF">2016-04-07T12:01:00Z</dcterms:created>
  <dcterms:modified xsi:type="dcterms:W3CDTF">2016-04-29T11:41:00Z</dcterms:modified>
</cp:coreProperties>
</file>