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3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Major servere ASCVD events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Recent ACS (within the past 12 months)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History of MI (more than 12 months)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History of ischemic stroke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Symptomatic peripheral arterial disease (history of claudication with ABI &lt;0.85, or previous revascularization or amputation)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igh risk Conditions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Diabetes mellitus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Hypertension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CKD (eGFR 15-59 mL/min/1.73 m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Current smoking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History of prior coronary artery bypass surgery or percutaneous coronary intervention outside of the major ASCVD event(s)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Heterozygous familial hypercholesterolemia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Persistently elevated LDL-C (LDL-C ≥100 mg/dL [≥2.6 mmol/L]) despite maximally tolerated statin therapy and ezetimibe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History of congestive heart failure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History of premature clinical ASCVD (male&lt;55 years of age, female &lt;65 years of age)</w:t>
            </w:r>
          </w:p>
          <w:p>
            <w:pPr>
              <w:rPr>
                <w:rFonts w:hint="eastAsia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Multi-vascular lesions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hint="eastAsia" w:ascii="Times New Roman" w:hAnsi="Times New Roman" w:cs="Times New Roman"/>
          <w:b/>
          <w:bCs/>
          <w:sz w:val="22"/>
          <w:szCs w:val="24"/>
        </w:rPr>
        <w:t>E</w:t>
      </w:r>
      <w:r>
        <w:rPr>
          <w:rFonts w:ascii="Times New Roman" w:hAnsi="Times New Roman" w:cs="Times New Roman"/>
          <w:b/>
          <w:bCs/>
          <w:sz w:val="22"/>
          <w:szCs w:val="24"/>
        </w:rPr>
        <w:t>xtreme high-risk ASCVD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5"/>
    <w:rsid w:val="0025092F"/>
    <w:rsid w:val="007A35AF"/>
    <w:rsid w:val="007B519D"/>
    <w:rsid w:val="00A156BE"/>
    <w:rsid w:val="00D7309C"/>
    <w:rsid w:val="00E26495"/>
    <w:rsid w:val="FC8BE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2022-04-30T15:00:00Z</dcterms:created>
  <dc:creator>xin yanguo</dc:creator>
  <cp:lastModifiedBy>yaphets</cp:lastModifiedBy>
  <dcterms:modified xsi:type="dcterms:W3CDTF">2022-05-01T11:52:17Z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