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2E" w:rsidRDefault="00D3662E" w:rsidP="00D36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E1A"/>
          <w:sz w:val="23"/>
          <w:szCs w:val="23"/>
        </w:rPr>
      </w:pPr>
      <w:r w:rsidRPr="00D3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662E">
        <w:rPr>
          <w:rFonts w:ascii="Times New Roman" w:hAnsi="Times New Roman" w:cs="Times New Roman"/>
          <w:b/>
          <w:bCs/>
          <w:color w:val="0D0E1A"/>
          <w:sz w:val="23"/>
          <w:szCs w:val="23"/>
        </w:rPr>
        <w:t xml:space="preserve">SUPPLEMENTARY INFORMATION </w:t>
      </w:r>
    </w:p>
    <w:p w:rsidR="00D3662E" w:rsidRPr="00D3662E" w:rsidRDefault="00D3662E" w:rsidP="00D36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E1A"/>
          <w:sz w:val="23"/>
          <w:szCs w:val="23"/>
        </w:rPr>
      </w:pPr>
    </w:p>
    <w:p w:rsidR="00D3662E" w:rsidRPr="00D3662E" w:rsidRDefault="00D3662E" w:rsidP="00D36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E1A"/>
          <w:sz w:val="23"/>
          <w:szCs w:val="23"/>
        </w:rPr>
      </w:pPr>
      <w:r w:rsidRPr="00D3662E">
        <w:rPr>
          <w:rFonts w:ascii="Times New Roman" w:hAnsi="Times New Roman" w:cs="Times New Roman"/>
          <w:b/>
          <w:bCs/>
          <w:color w:val="0D0E1A"/>
          <w:sz w:val="23"/>
          <w:szCs w:val="23"/>
        </w:rPr>
        <w:t xml:space="preserve">1A) MHC Class-II alleles selected for analysis in IEDB MHCII AND NETMHCII 2.3 server </w:t>
      </w:r>
    </w:p>
    <w:p w:rsidR="00D3662E" w:rsidRDefault="00D3662E" w:rsidP="00D36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3662E">
        <w:rPr>
          <w:rFonts w:ascii="Times New Roman" w:hAnsi="Times New Roman" w:cs="Times New Roman"/>
          <w:color w:val="000000"/>
          <w:sz w:val="23"/>
          <w:szCs w:val="23"/>
        </w:rPr>
        <w:t xml:space="preserve">DRB1*0101, DRB1*0301, DRB1*0401, DRB1*0405, DRB1*0701, DRB1*0901, DRB1*1101, DRB1*1201, DRB1*1302, DRB1*1501, DRB3*0101, DRB3*0202, DRB4*0101, DRB5*0101, DRB1*0802, HLA-DQA1*0501-DQB1*0201, HLA-DQA1*0501-DQB1*0301, HLA-DQA1*0301-DQB1*0302, HLA-DQA1*0401-DQB1*0402, HLA-DQA1*0101-DQB1*0501, HLA-DQA1*0102-DQB1*0602, HLA-DPA1*0201-DPB1*0101, HLA-DPA1*0103-DPB1*0201, HLA-DPA1*0103-DPB1*0401, HLA-DPA1*0301-DPB1*0402, HLA-DPA1*0201-DPB1*0501, HLA-DPA1*0201-DPB1*1401 </w:t>
      </w:r>
    </w:p>
    <w:p w:rsidR="00D3662E" w:rsidRPr="00D3662E" w:rsidRDefault="00D3662E" w:rsidP="00D36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3662E" w:rsidRPr="00BA6EF8" w:rsidRDefault="00D3662E" w:rsidP="00D36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A6EF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1B) MHC Class-I alleles selected for analysis in NETMHC 4.0 server </w:t>
      </w:r>
    </w:p>
    <w:p w:rsidR="0063453C" w:rsidRPr="00BA6EF8" w:rsidRDefault="00D3662E" w:rsidP="00CF4FF6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A6EF8">
        <w:rPr>
          <w:rFonts w:ascii="Times New Roman" w:hAnsi="Times New Roman" w:cs="Times New Roman"/>
          <w:color w:val="000000"/>
          <w:sz w:val="23"/>
          <w:szCs w:val="23"/>
        </w:rPr>
        <w:t>HLA*A0101, HLA*A0201, HLA*A0202, HLA*A0203, HLA*A0205, HLA*A0206, HLA*A0207, HLA*A0211, HLA*A0212, HLA*A0216, HLA*A0217, HLA*A0219, HLA*A0250, HLA*A0301, HLA*B0702, HLA*B5801, HLA*B5802, HLA*B3501, HLA*B3503, HLA*B2705, HLA*B2720, HLA*B3901, HLA*B1501</w:t>
      </w:r>
    </w:p>
    <w:p w:rsidR="00D3662E" w:rsidRPr="00D3662E" w:rsidRDefault="005A23C4" w:rsidP="00D366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3662E">
        <w:rPr>
          <w:rFonts w:ascii="Times New Roman" w:hAnsi="Times New Roman" w:cs="Times New Roman"/>
          <w:b/>
          <w:noProof/>
          <w:color w:val="000000"/>
          <w:sz w:val="23"/>
          <w:szCs w:val="23"/>
          <w:lang w:eastAsia="en-IN"/>
        </w:rPr>
        <w:drawing>
          <wp:anchor distT="0" distB="0" distL="114300" distR="114300" simplePos="0" relativeHeight="251658240" behindDoc="0" locked="0" layoutInCell="1" allowOverlap="1" wp14:anchorId="45983C79" wp14:editId="7C54CE89">
            <wp:simplePos x="0" y="0"/>
            <wp:positionH relativeFrom="margin">
              <wp:posOffset>-60961</wp:posOffset>
            </wp:positionH>
            <wp:positionV relativeFrom="page">
              <wp:posOffset>3261360</wp:posOffset>
            </wp:positionV>
            <wp:extent cx="6888401" cy="51358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age jp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"/>
                    <a:stretch/>
                  </pic:blipFill>
                  <pic:spPr bwMode="auto">
                    <a:xfrm>
                      <a:off x="0" y="0"/>
                      <a:ext cx="6890908" cy="5137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62E" w:rsidRPr="00D3662E">
        <w:rPr>
          <w:rFonts w:ascii="Times New Roman" w:hAnsi="Times New Roman" w:cs="Times New Roman"/>
          <w:b/>
          <w:color w:val="000000"/>
          <w:sz w:val="23"/>
          <w:szCs w:val="23"/>
        </w:rPr>
        <w:t>SUPPLEMENTARY FIGURES</w:t>
      </w:r>
    </w:p>
    <w:p w:rsidR="00D3662E" w:rsidRDefault="00D3662E" w:rsidP="00D3662E">
      <w:pPr>
        <w:spacing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D3662E" w:rsidRDefault="00D3662E" w:rsidP="00D366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Pr="00D3662E" w:rsidRDefault="00D3662E" w:rsidP="00D366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662E" w:rsidRDefault="00D3662E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FF6" w:rsidRDefault="00CF4FF6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3C4" w:rsidRDefault="005A23C4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3C4" w:rsidRDefault="005A23C4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3C4" w:rsidRDefault="005A23C4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23C4" w:rsidRDefault="005A23C4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662E" w:rsidRDefault="0003711D" w:rsidP="00D366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Supplementary </w:t>
      </w:r>
      <w:r w:rsidR="00D3662E" w:rsidRPr="00D3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Figure 1: </w:t>
      </w:r>
      <w:r w:rsidR="00D3662E" w:rsidRPr="00E22440">
        <w:rPr>
          <w:rFonts w:ascii="Times New Roman" w:hAnsi="Times New Roman" w:cs="Times New Roman"/>
          <w:color w:val="000000"/>
          <w:sz w:val="24"/>
          <w:szCs w:val="24"/>
        </w:rPr>
        <w:t>Population coverage analysis</w:t>
      </w:r>
      <w:r w:rsidR="00D3662E" w:rsidRPr="00D3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D3662E" w:rsidRPr="00D3662E">
        <w:rPr>
          <w:rFonts w:ascii="Times New Roman" w:hAnsi="Times New Roman" w:cs="Times New Roman"/>
          <w:color w:val="000000"/>
          <w:sz w:val="24"/>
          <w:szCs w:val="24"/>
        </w:rPr>
        <w:t xml:space="preserve">(a) MHC-I epitope coverage (b) MHC-II epitope </w:t>
      </w:r>
      <w:bookmarkStart w:id="0" w:name="_GoBack"/>
      <w:bookmarkEnd w:id="0"/>
      <w:r w:rsidR="00D3662E" w:rsidRPr="00D3662E">
        <w:rPr>
          <w:rFonts w:ascii="Times New Roman" w:hAnsi="Times New Roman" w:cs="Times New Roman"/>
          <w:color w:val="000000"/>
          <w:sz w:val="24"/>
          <w:szCs w:val="24"/>
        </w:rPr>
        <w:t xml:space="preserve">coverage (C) </w:t>
      </w:r>
      <w:r w:rsidR="00571733" w:rsidRPr="00D3662E">
        <w:rPr>
          <w:rFonts w:ascii="Times New Roman" w:hAnsi="Times New Roman" w:cs="Times New Roman"/>
          <w:color w:val="000000"/>
          <w:sz w:val="24"/>
          <w:szCs w:val="24"/>
        </w:rPr>
        <w:t xml:space="preserve">combined </w:t>
      </w:r>
      <w:r w:rsidR="00571733">
        <w:rPr>
          <w:rFonts w:ascii="Times New Roman" w:hAnsi="Times New Roman" w:cs="Times New Roman"/>
          <w:color w:val="000000"/>
          <w:sz w:val="24"/>
          <w:szCs w:val="24"/>
        </w:rPr>
        <w:t>MHC</w:t>
      </w:r>
      <w:r w:rsidR="00D3662E" w:rsidRPr="00D3662E">
        <w:rPr>
          <w:rFonts w:ascii="Times New Roman" w:hAnsi="Times New Roman" w:cs="Times New Roman"/>
          <w:color w:val="000000"/>
          <w:sz w:val="24"/>
          <w:szCs w:val="24"/>
        </w:rPr>
        <w:t xml:space="preserve">-I and II binding epitopes </w:t>
      </w:r>
      <w:r w:rsidR="00571733" w:rsidRPr="00D3662E">
        <w:rPr>
          <w:rFonts w:ascii="Times New Roman" w:hAnsi="Times New Roman" w:cs="Times New Roman"/>
          <w:color w:val="000000"/>
          <w:sz w:val="24"/>
          <w:szCs w:val="24"/>
        </w:rPr>
        <w:t>coverage</w:t>
      </w:r>
      <w:r w:rsidR="005717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3662E" w:rsidRPr="00D36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711D" w:rsidRDefault="0003711D" w:rsidP="00D3662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w:lastRenderedPageBreak/>
        <w:drawing>
          <wp:inline distT="0" distB="0" distL="0" distR="0">
            <wp:extent cx="6294120" cy="235648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ry FIgure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817" cy="236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11D" w:rsidRPr="0003711D" w:rsidRDefault="0003711D" w:rsidP="000371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711D" w:rsidRPr="0003711D" w:rsidRDefault="0003711D" w:rsidP="00E22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03711D">
        <w:rPr>
          <w:rFonts w:ascii="Times New Roman" w:hAnsi="Times New Roman" w:cs="Times New Roman"/>
          <w:b/>
          <w:bCs/>
          <w:sz w:val="24"/>
          <w:szCs w:val="24"/>
        </w:rPr>
        <w:t xml:space="preserve"> Fig</w:t>
      </w:r>
      <w:r>
        <w:rPr>
          <w:rFonts w:ascii="Times New Roman" w:hAnsi="Times New Roman" w:cs="Times New Roman"/>
          <w:b/>
          <w:bCs/>
          <w:sz w:val="24"/>
          <w:szCs w:val="24"/>
        </w:rPr>
        <w:t>ure 2</w:t>
      </w:r>
      <w:r w:rsidRPr="0003711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3711D">
        <w:rPr>
          <w:rFonts w:ascii="Times New Roman" w:hAnsi="Times New Roman" w:cs="Times New Roman"/>
          <w:sz w:val="24"/>
          <w:szCs w:val="24"/>
        </w:rPr>
        <w:t xml:space="preserve">The stability and binding of TLR-4 with the vaccine accessed through MD simulations. </w:t>
      </w:r>
      <w:r w:rsidR="00E22440" w:rsidRPr="00E22440">
        <w:rPr>
          <w:rFonts w:ascii="Times New Roman" w:hAnsi="Times New Roman" w:cs="Times New Roman"/>
          <w:bCs/>
          <w:sz w:val="24"/>
          <w:szCs w:val="24"/>
        </w:rPr>
        <w:t>a</w:t>
      </w:r>
      <w:r w:rsidRPr="00E22440">
        <w:rPr>
          <w:rFonts w:ascii="Times New Roman" w:hAnsi="Times New Roman" w:cs="Times New Roman"/>
          <w:bCs/>
          <w:sz w:val="24"/>
          <w:szCs w:val="24"/>
        </w:rPr>
        <w:t>)</w:t>
      </w:r>
      <w:r w:rsidRPr="0003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11D">
        <w:rPr>
          <w:rFonts w:ascii="Times New Roman" w:hAnsi="Times New Roman" w:cs="Times New Roman"/>
          <w:sz w:val="24"/>
          <w:szCs w:val="24"/>
        </w:rPr>
        <w:t xml:space="preserve">The root mean square fluctuations (RMSF) of TLR-4 bound to the vaccine (Red) and TLR-4 alone (black) indicating improved residue stability upon binding during the course of simulations. </w:t>
      </w:r>
      <w:r w:rsidR="00E22440" w:rsidRPr="00E22440">
        <w:rPr>
          <w:rFonts w:ascii="Times New Roman" w:hAnsi="Times New Roman" w:cs="Times New Roman"/>
          <w:bCs/>
          <w:sz w:val="24"/>
          <w:szCs w:val="24"/>
        </w:rPr>
        <w:t>b</w:t>
      </w:r>
      <w:r w:rsidRPr="00E22440">
        <w:rPr>
          <w:rFonts w:ascii="Times New Roman" w:hAnsi="Times New Roman" w:cs="Times New Roman"/>
          <w:bCs/>
          <w:sz w:val="24"/>
          <w:szCs w:val="24"/>
        </w:rPr>
        <w:t>)</w:t>
      </w:r>
      <w:r w:rsidRPr="00037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11D">
        <w:rPr>
          <w:rFonts w:ascii="Times New Roman" w:hAnsi="Times New Roman" w:cs="Times New Roman"/>
          <w:sz w:val="24"/>
          <w:szCs w:val="24"/>
        </w:rPr>
        <w:t>The distance between the TLR-4 and vaccine remains consistent during the simulation period.</w:t>
      </w:r>
    </w:p>
    <w:p w:rsidR="0003711D" w:rsidRPr="0003711D" w:rsidRDefault="0003711D" w:rsidP="000371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711D" w:rsidRPr="0003711D" w:rsidRDefault="0003711D" w:rsidP="000371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711D" w:rsidRPr="0003711D" w:rsidRDefault="0003711D" w:rsidP="000371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711D" w:rsidRPr="0003711D" w:rsidRDefault="0003711D" w:rsidP="000371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3711D" w:rsidRDefault="0003711D" w:rsidP="000371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C224E" w:rsidRPr="0003711D" w:rsidRDefault="0003711D" w:rsidP="0003711D">
      <w:pPr>
        <w:tabs>
          <w:tab w:val="left" w:pos="68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9C224E" w:rsidRPr="0003711D" w:rsidSect="005A2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6"/>
    <w:rsid w:val="0003711D"/>
    <w:rsid w:val="0003781E"/>
    <w:rsid w:val="0011258C"/>
    <w:rsid w:val="00150DD9"/>
    <w:rsid w:val="001F3108"/>
    <w:rsid w:val="00305DE5"/>
    <w:rsid w:val="00457497"/>
    <w:rsid w:val="00571733"/>
    <w:rsid w:val="005A23C4"/>
    <w:rsid w:val="0063453C"/>
    <w:rsid w:val="006C1325"/>
    <w:rsid w:val="0080665D"/>
    <w:rsid w:val="009C224E"/>
    <w:rsid w:val="00A41866"/>
    <w:rsid w:val="00BA6EF8"/>
    <w:rsid w:val="00CF4FF6"/>
    <w:rsid w:val="00D3662E"/>
    <w:rsid w:val="00E22440"/>
    <w:rsid w:val="00E354A0"/>
    <w:rsid w:val="00F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06BAB-4985-479C-A6B4-6499964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SUBHADIP SAHA</dc:creator>
  <cp:keywords/>
  <dc:description/>
  <cp:lastModifiedBy>Microsoft account</cp:lastModifiedBy>
  <cp:revision>2</cp:revision>
  <cp:lastPrinted>2022-02-08T09:30:00Z</cp:lastPrinted>
  <dcterms:created xsi:type="dcterms:W3CDTF">2022-04-27T10:10:00Z</dcterms:created>
  <dcterms:modified xsi:type="dcterms:W3CDTF">2022-04-27T10:10:00Z</dcterms:modified>
</cp:coreProperties>
</file>