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4E9F" w14:textId="399F11EE" w:rsidR="00F679C0" w:rsidRPr="00B51293" w:rsidRDefault="004D1363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Additional File </w:t>
      </w:r>
      <w:r w:rsidR="00E45E40"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2: Datasets </w:t>
      </w:r>
    </w:p>
    <w:p w14:paraId="466D1C2D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2DED245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Trust and case number differences</w:t>
      </w:r>
    </w:p>
    <w:p w14:paraId="0C4A322A" w14:textId="77777777" w:rsidR="003561E2" w:rsidRDefault="003561E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359ECC" w14:textId="68F14E00" w:rsidR="00F679C0" w:rsidRPr="00B51293" w:rsidRDefault="00E45E4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COCIN, we included 123 Trusts and 3 super-Trusts in the final data analysis (see </w:t>
      </w:r>
      <w:r w:rsidR="00175E63">
        <w:rPr>
          <w:rFonts w:ascii="Times New Roman" w:hAnsi="Times New Roman" w:cs="Times New Roman"/>
          <w:color w:val="000000" w:themeColor="text1"/>
          <w:sz w:val="20"/>
          <w:szCs w:val="20"/>
        </w:rPr>
        <w:t>Additional File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53EF"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definition of super-Trusts, basically pooled Trusts to account for frequent transfers). </w:t>
      </w:r>
    </w:p>
    <w:p w14:paraId="3919CA02" w14:textId="77777777" w:rsidR="00F679C0" w:rsidRPr="00B51293" w:rsidRDefault="00E45E4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SUS covers 589 Trusts in England. 319 of these reported a total of 91,319 COVID-19 cases up to 31st July 2020. 13,415 of these cases were not included in COCIN: suggesting that COCIN has a coverage of ~85% of the total.  </w:t>
      </w:r>
    </w:p>
    <w:p w14:paraId="2D6776A9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53FF341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CO-CIN data inclusion </w:t>
      </w:r>
    </w:p>
    <w:p w14:paraId="3163F7DB" w14:textId="77777777" w:rsidR="00F679C0" w:rsidRPr="00B51293" w:rsidRDefault="00F679C0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63284E1E" w14:textId="77777777" w:rsidR="00F679C0" w:rsidRPr="00B51293" w:rsidRDefault="00E45E4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Using the </w:t>
      </w:r>
      <w:proofErr w:type="gramStart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3rd</w:t>
      </w:r>
      <w:proofErr w:type="gramEnd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December CO-CIN data extraction, there were 104,672 unique subject IDs. Of these 78% had a symptom onset and admission date. 62%, or 65,028/104,672 unique subject IDs were included in the final dataset. The included cases were those with (</w:t>
      </w:r>
      <w:proofErr w:type="spellStart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proofErr w:type="spellEnd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a symptom onset date, (ii) an admission date, (iii) a symptom onset date after the </w:t>
      </w:r>
      <w:proofErr w:type="gramStart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12st</w:t>
      </w:r>
      <w:proofErr w:type="gramEnd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January 2020 and (iv) a symptom onset date before the 31st July 2020. Most patients had a symptom onset before admission (Figure S1). </w:t>
      </w:r>
    </w:p>
    <w:p w14:paraId="1C49D2A1" w14:textId="77777777" w:rsidR="00F679C0" w:rsidRPr="00B51293" w:rsidRDefault="00F67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223C62" w14:textId="77777777" w:rsidR="00F679C0" w:rsidRPr="00B51293" w:rsidRDefault="00E45E4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114300" distB="114300" distL="114300" distR="114300" wp14:anchorId="31F48410" wp14:editId="0C7B153C">
            <wp:extent cx="5943600" cy="29718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7369E5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Figure S1: Data from CO-CIN on time between admission to hospital and symptom onset. </w:t>
      </w:r>
    </w:p>
    <w:p w14:paraId="01B25E6C" w14:textId="77777777" w:rsidR="00F679C0" w:rsidRPr="00B51293" w:rsidRDefault="00F67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DCFBC0" w14:textId="77777777" w:rsidR="00F679C0" w:rsidRPr="00B51293" w:rsidRDefault="00CC193F" w:rsidP="00CC193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5129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We defined a date of “detection” as the most recent of (1) date of symptom onset or (2) date of admission if this occurred after symptom onset for a patient with COVID-19, censored at date of discharge. For any “community-onset” case this was their admission date. For “hospital-onset, hospital-acquired” cases this was their date of symptom onset (Table 1).</w:t>
      </w:r>
    </w:p>
    <w:p w14:paraId="62B2B62A" w14:textId="77777777" w:rsidR="00F679C0" w:rsidRPr="00B51293" w:rsidRDefault="00F679C0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D0349B0" w14:textId="77777777" w:rsidR="00861B54" w:rsidRPr="00B51293" w:rsidRDefault="00861B5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022EDC61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LoS</w:t>
      </w:r>
      <w:proofErr w:type="spellEnd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distributions</w:t>
      </w:r>
    </w:p>
    <w:p w14:paraId="5AC91708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F8564AC" w14:textId="77777777" w:rsidR="001A4463" w:rsidRPr="00B51293" w:rsidRDefault="00E45E40" w:rsidP="001A4463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The length of stay (</w:t>
      </w:r>
      <w:proofErr w:type="spellStart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LoS</w:t>
      </w:r>
      <w:proofErr w:type="spellEnd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for non-COVID-19 positive patients is shown by week (in Figure S2) and over time (in Figure S3). </w:t>
      </w:r>
      <w:r w:rsidR="001A4463" w:rsidRPr="00B5129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Non-COVID-19 patients were defined as in-patients who never had a positive test, or who tested positive either after their hospital stay or more than 14 days before admission. Only one Trust (RX3) was removed as there were only 11 </w:t>
      </w:r>
      <w:proofErr w:type="spellStart"/>
      <w:r w:rsidR="001A4463" w:rsidRPr="00B5129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LoS</w:t>
      </w:r>
      <w:proofErr w:type="spellEnd"/>
      <w:r w:rsidR="001A4463" w:rsidRPr="00B5129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data points (vs. a mean of 927 data points across other included acute Trusts) for non-COVID patients. </w:t>
      </w:r>
    </w:p>
    <w:p w14:paraId="6B74185D" w14:textId="77777777" w:rsidR="00F679C0" w:rsidRPr="00B51293" w:rsidRDefault="00F679C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D7879E" w14:textId="77777777" w:rsidR="00F679C0" w:rsidRPr="00B51293" w:rsidRDefault="00F679C0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A9E86" w14:textId="77777777" w:rsidR="00F679C0" w:rsidRPr="00B51293" w:rsidRDefault="00F679C0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206A9F" w14:textId="77777777" w:rsidR="00F679C0" w:rsidRPr="00B51293" w:rsidRDefault="00E45E40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114300" distB="114300" distL="114300" distR="114300" wp14:anchorId="68EA53D8" wp14:editId="009F7664">
            <wp:extent cx="5943600" cy="29972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A73DD6" w14:textId="77777777" w:rsidR="00F679C0" w:rsidRPr="00B51293" w:rsidRDefault="00E45E40">
      <w:pPr>
        <w:jc w:val="lef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Figure S2: Length of stay variation by week (facet) and </w:t>
      </w:r>
      <w:r w:rsidR="00861B54" w:rsidRPr="00B5129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three </w:t>
      </w:r>
      <w:r w:rsidRPr="00B5129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example Trusts (</w:t>
      </w:r>
      <w:proofErr w:type="spellStart"/>
      <w:r w:rsidRPr="00B5129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colour</w:t>
      </w:r>
      <w:proofErr w:type="spellEnd"/>
      <w:r w:rsidRPr="00B5129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2DFC201F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3C6915E3" w14:textId="77777777" w:rsidR="00F679C0" w:rsidRPr="00B51293" w:rsidRDefault="00F679C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6796A07" w14:textId="77777777" w:rsidR="00F679C0" w:rsidRPr="00B51293" w:rsidRDefault="00E45E4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lastRenderedPageBreak/>
        <w:drawing>
          <wp:inline distT="114300" distB="114300" distL="114300" distR="114300" wp14:anchorId="008D838B" wp14:editId="4FFC1B3A">
            <wp:extent cx="5100638" cy="3925100"/>
            <wp:effectExtent l="0" t="0" r="0" b="0"/>
            <wp:docPr id="1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r="7503"/>
                    <a:stretch>
                      <a:fillRect/>
                    </a:stretch>
                  </pic:blipFill>
                  <pic:spPr>
                    <a:xfrm>
                      <a:off x="0" y="0"/>
                      <a:ext cx="5100638" cy="392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5129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inline distT="114300" distB="114300" distL="114300" distR="114300" wp14:anchorId="15AD5A19" wp14:editId="36662A07">
            <wp:extent cx="5662613" cy="2891334"/>
            <wp:effectExtent l="0" t="0" r="0" b="0"/>
            <wp:docPr id="18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0"/>
                    <a:srcRect l="2003" t="4432" r="37500" b="49123"/>
                    <a:stretch>
                      <a:fillRect/>
                    </a:stretch>
                  </pic:blipFill>
                  <pic:spPr>
                    <a:xfrm>
                      <a:off x="0" y="0"/>
                      <a:ext cx="5662613" cy="2891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E549BD" w14:textId="77777777" w:rsidR="00F679C0" w:rsidRPr="00B51293" w:rsidRDefault="00E45E40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Figure S3: Average length of stay over time for England in top panel to compare to proportion identified for England (equivalent to Figure 3A from main text, bottom panel)). </w:t>
      </w:r>
    </w:p>
    <w:p w14:paraId="044062C3" w14:textId="3D469295" w:rsidR="00861B54" w:rsidRPr="00B51293" w:rsidRDefault="00E45E40" w:rsidP="008920F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3519984D" w14:textId="77777777" w:rsidR="00F679C0" w:rsidRPr="00B51293" w:rsidRDefault="00F679C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F679C0" w:rsidRPr="00B51293" w:rsidSect="00861B54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0354" w14:textId="77777777" w:rsidR="00E862DF" w:rsidRDefault="00E862DF">
      <w:pPr>
        <w:spacing w:line="240" w:lineRule="auto"/>
      </w:pPr>
      <w:r>
        <w:separator/>
      </w:r>
    </w:p>
  </w:endnote>
  <w:endnote w:type="continuationSeparator" w:id="0">
    <w:p w14:paraId="63FBDD25" w14:textId="77777777" w:rsidR="00E862DF" w:rsidRDefault="00E86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BF1A" w14:textId="77777777" w:rsidR="00F679C0" w:rsidRDefault="00F679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F326" w14:textId="77777777" w:rsidR="00E862DF" w:rsidRDefault="00E862DF">
      <w:pPr>
        <w:spacing w:line="240" w:lineRule="auto"/>
      </w:pPr>
      <w:r>
        <w:separator/>
      </w:r>
    </w:p>
  </w:footnote>
  <w:footnote w:type="continuationSeparator" w:id="0">
    <w:p w14:paraId="254CAB32" w14:textId="77777777" w:rsidR="00E862DF" w:rsidRDefault="00E86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E3D"/>
    <w:multiLevelType w:val="multilevel"/>
    <w:tmpl w:val="F1C6F59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135E4A"/>
    <w:multiLevelType w:val="multilevel"/>
    <w:tmpl w:val="FED6E77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EF559A"/>
    <w:multiLevelType w:val="multilevel"/>
    <w:tmpl w:val="866A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C1150"/>
    <w:multiLevelType w:val="multilevel"/>
    <w:tmpl w:val="D4D46E1E"/>
    <w:lvl w:ilvl="0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280" w:hanging="360"/>
      </w:pPr>
      <w:rPr>
        <w:u w:val="none"/>
      </w:rPr>
    </w:lvl>
  </w:abstractNum>
  <w:abstractNum w:abstractNumId="4" w15:restartNumberingAfterBreak="0">
    <w:nsid w:val="45D53993"/>
    <w:multiLevelType w:val="multilevel"/>
    <w:tmpl w:val="F19EC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CF285B"/>
    <w:multiLevelType w:val="multilevel"/>
    <w:tmpl w:val="BB042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514819"/>
    <w:multiLevelType w:val="hybridMultilevel"/>
    <w:tmpl w:val="43DE2842"/>
    <w:lvl w:ilvl="0" w:tplc="66D80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547C3"/>
    <w:multiLevelType w:val="multilevel"/>
    <w:tmpl w:val="8178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4727F"/>
    <w:multiLevelType w:val="multilevel"/>
    <w:tmpl w:val="8EC6E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D06E4D"/>
    <w:multiLevelType w:val="multilevel"/>
    <w:tmpl w:val="B1BE7A1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593531"/>
    <w:multiLevelType w:val="hybridMultilevel"/>
    <w:tmpl w:val="23C6E47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043799">
    <w:abstractNumId w:val="3"/>
  </w:num>
  <w:num w:numId="2" w16cid:durableId="1664888809">
    <w:abstractNumId w:val="8"/>
  </w:num>
  <w:num w:numId="3" w16cid:durableId="1336573775">
    <w:abstractNumId w:val="5"/>
  </w:num>
  <w:num w:numId="4" w16cid:durableId="1482887732">
    <w:abstractNumId w:val="0"/>
  </w:num>
  <w:num w:numId="5" w16cid:durableId="1922060738">
    <w:abstractNumId w:val="4"/>
  </w:num>
  <w:num w:numId="6" w16cid:durableId="69891676">
    <w:abstractNumId w:val="9"/>
  </w:num>
  <w:num w:numId="7" w16cid:durableId="593393823">
    <w:abstractNumId w:val="1"/>
  </w:num>
  <w:num w:numId="8" w16cid:durableId="1999309915">
    <w:abstractNumId w:val="6"/>
  </w:num>
  <w:num w:numId="9" w16cid:durableId="621502802">
    <w:abstractNumId w:val="7"/>
    <w:lvlOverride w:ilvl="0">
      <w:lvl w:ilvl="0">
        <w:numFmt w:val="lowerLetter"/>
        <w:lvlText w:val="%1."/>
        <w:lvlJc w:val="left"/>
      </w:lvl>
    </w:lvlOverride>
  </w:num>
  <w:num w:numId="10" w16cid:durableId="897012882">
    <w:abstractNumId w:val="10"/>
  </w:num>
  <w:num w:numId="11" w16cid:durableId="92198544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C0"/>
    <w:rsid w:val="00005467"/>
    <w:rsid w:val="00047823"/>
    <w:rsid w:val="00067851"/>
    <w:rsid w:val="000A3253"/>
    <w:rsid w:val="000F1E26"/>
    <w:rsid w:val="00126DFF"/>
    <w:rsid w:val="0013002E"/>
    <w:rsid w:val="00150B70"/>
    <w:rsid w:val="001535D2"/>
    <w:rsid w:val="00173783"/>
    <w:rsid w:val="00175E63"/>
    <w:rsid w:val="001A4463"/>
    <w:rsid w:val="002153EF"/>
    <w:rsid w:val="002367EA"/>
    <w:rsid w:val="002A6092"/>
    <w:rsid w:val="002E6F90"/>
    <w:rsid w:val="00305CDC"/>
    <w:rsid w:val="003134BE"/>
    <w:rsid w:val="00321C81"/>
    <w:rsid w:val="00333B2F"/>
    <w:rsid w:val="00344BB2"/>
    <w:rsid w:val="003561E2"/>
    <w:rsid w:val="003A64BF"/>
    <w:rsid w:val="003B3EEA"/>
    <w:rsid w:val="003B5B3B"/>
    <w:rsid w:val="003D40FA"/>
    <w:rsid w:val="003D5ED0"/>
    <w:rsid w:val="003E10CE"/>
    <w:rsid w:val="0042182A"/>
    <w:rsid w:val="00423DF3"/>
    <w:rsid w:val="004932E8"/>
    <w:rsid w:val="004C766E"/>
    <w:rsid w:val="004D1363"/>
    <w:rsid w:val="00540299"/>
    <w:rsid w:val="005740CB"/>
    <w:rsid w:val="005C03C1"/>
    <w:rsid w:val="005C2C68"/>
    <w:rsid w:val="006309F4"/>
    <w:rsid w:val="006B0A71"/>
    <w:rsid w:val="006C52E5"/>
    <w:rsid w:val="006D7E4F"/>
    <w:rsid w:val="00741C5A"/>
    <w:rsid w:val="00756D1B"/>
    <w:rsid w:val="007D4E10"/>
    <w:rsid w:val="007E3A3C"/>
    <w:rsid w:val="007F4DD1"/>
    <w:rsid w:val="00843667"/>
    <w:rsid w:val="00861B54"/>
    <w:rsid w:val="008920FA"/>
    <w:rsid w:val="008C22A3"/>
    <w:rsid w:val="00932369"/>
    <w:rsid w:val="00961C90"/>
    <w:rsid w:val="00964B11"/>
    <w:rsid w:val="00964F0C"/>
    <w:rsid w:val="00A111B7"/>
    <w:rsid w:val="00A632DC"/>
    <w:rsid w:val="00A81FEC"/>
    <w:rsid w:val="00A85076"/>
    <w:rsid w:val="00AC7D5F"/>
    <w:rsid w:val="00AD6539"/>
    <w:rsid w:val="00B04836"/>
    <w:rsid w:val="00B11828"/>
    <w:rsid w:val="00B13742"/>
    <w:rsid w:val="00B40E23"/>
    <w:rsid w:val="00B51293"/>
    <w:rsid w:val="00B520DF"/>
    <w:rsid w:val="00B9476D"/>
    <w:rsid w:val="00BA12EE"/>
    <w:rsid w:val="00BB4FE5"/>
    <w:rsid w:val="00BC3A93"/>
    <w:rsid w:val="00BF088E"/>
    <w:rsid w:val="00C362D7"/>
    <w:rsid w:val="00C44346"/>
    <w:rsid w:val="00C81A08"/>
    <w:rsid w:val="00C95B83"/>
    <w:rsid w:val="00CB4A7A"/>
    <w:rsid w:val="00CC193F"/>
    <w:rsid w:val="00CD6C7D"/>
    <w:rsid w:val="00D918FA"/>
    <w:rsid w:val="00D94350"/>
    <w:rsid w:val="00D94C7C"/>
    <w:rsid w:val="00DA207F"/>
    <w:rsid w:val="00DB1C4C"/>
    <w:rsid w:val="00DE4808"/>
    <w:rsid w:val="00DE6F3B"/>
    <w:rsid w:val="00E33DC7"/>
    <w:rsid w:val="00E35329"/>
    <w:rsid w:val="00E45E40"/>
    <w:rsid w:val="00E74F1F"/>
    <w:rsid w:val="00E862DF"/>
    <w:rsid w:val="00EA102E"/>
    <w:rsid w:val="00EB22F8"/>
    <w:rsid w:val="00EE3D0C"/>
    <w:rsid w:val="00EE536B"/>
    <w:rsid w:val="00F237F5"/>
    <w:rsid w:val="00F679C0"/>
    <w:rsid w:val="00F67B91"/>
    <w:rsid w:val="00FC2B1E"/>
    <w:rsid w:val="00FE0746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CDFCD"/>
  <w15:docId w15:val="{9226F7EA-7B4A-184D-BDF2-D82B36EB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E0746"/>
    <w:pPr>
      <w:tabs>
        <w:tab w:val="left" w:pos="380"/>
        <w:tab w:val="left" w:pos="500"/>
      </w:tabs>
      <w:spacing w:after="240" w:line="240" w:lineRule="auto"/>
      <w:ind w:left="504" w:hanging="504"/>
    </w:pPr>
  </w:style>
  <w:style w:type="character" w:customStyle="1" w:styleId="Heading4Char">
    <w:name w:val="Heading 4 Char"/>
    <w:basedOn w:val="DefaultParagraphFont"/>
    <w:link w:val="Heading4"/>
    <w:uiPriority w:val="9"/>
    <w:rsid w:val="00F67B91"/>
    <w:rPr>
      <w:color w:val="666666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7B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9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7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2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44B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22A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Gwen Knight</cp:lastModifiedBy>
  <cp:revision>6</cp:revision>
  <cp:lastPrinted>2022-04-22T12:06:00Z</cp:lastPrinted>
  <dcterms:created xsi:type="dcterms:W3CDTF">2022-06-10T06:39:00Z</dcterms:created>
  <dcterms:modified xsi:type="dcterms:W3CDTF">2022-06-10T07:05:00Z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{"style":{"styleID":"http://www.zotero.org/styles/vancouver","locale":"en-GB","hasBibliography":true,"bibliographyStyleHasBeenSet":true},"prefs":{"fieldType":"Field","automaticJournalAbbreviations":true,"delayCitationUpdates":true,"noteType":0,"dontAskDel</vt:lpwstr>
  </property>
  <property fmtid="{D5CDD505-2E9C-101B-9397-08002B2CF9AE}" pid="3" name="ZOTERO_PREF_2">
    <vt:lpwstr>ayCitationUpdates":true},"sessionID":"2KNuiXn1","zoteroVersion":"6.0.8","dataVersion":4}</vt:lpwstr>
  </property>
</Properties>
</file>