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BA122" w14:textId="3BD29E32" w:rsidR="00F679C0" w:rsidRPr="00B51293" w:rsidRDefault="006E3C86">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Additional File</w:t>
      </w:r>
      <w:r w:rsidR="00E45E40" w:rsidRPr="00B51293">
        <w:rPr>
          <w:rFonts w:ascii="Times New Roman" w:hAnsi="Times New Roman" w:cs="Times New Roman"/>
          <w:b/>
          <w:color w:val="000000" w:themeColor="text1"/>
          <w:sz w:val="20"/>
          <w:szCs w:val="20"/>
        </w:rPr>
        <w:t xml:space="preserve"> 12: Grouped Trust level analysis</w:t>
      </w:r>
    </w:p>
    <w:p w14:paraId="49518153" w14:textId="77777777" w:rsidR="00F679C0" w:rsidRPr="00B51293" w:rsidRDefault="00E45E40">
      <w:pPr>
        <w:rPr>
          <w:rFonts w:ascii="Times New Roman" w:hAnsi="Times New Roman" w:cs="Times New Roman"/>
          <w:b/>
          <w:color w:val="000000" w:themeColor="text1"/>
          <w:sz w:val="20"/>
          <w:szCs w:val="20"/>
        </w:rPr>
      </w:pPr>
      <w:r w:rsidRPr="00B51293">
        <w:rPr>
          <w:rFonts w:ascii="Times New Roman" w:hAnsi="Times New Roman" w:cs="Times New Roman"/>
          <w:b/>
          <w:color w:val="000000" w:themeColor="text1"/>
          <w:sz w:val="20"/>
          <w:szCs w:val="20"/>
        </w:rPr>
        <w:t xml:space="preserve"> </w:t>
      </w:r>
    </w:p>
    <w:p w14:paraId="56DB1D40" w14:textId="77777777" w:rsidR="00F679C0" w:rsidRPr="00B51293" w:rsidRDefault="00E45E40">
      <w:pPr>
        <w:rPr>
          <w:rFonts w:ascii="Times New Roman" w:hAnsi="Times New Roman" w:cs="Times New Roman"/>
          <w:color w:val="000000" w:themeColor="text1"/>
          <w:sz w:val="20"/>
          <w:szCs w:val="20"/>
        </w:rPr>
      </w:pPr>
      <w:r w:rsidRPr="00B51293">
        <w:rPr>
          <w:rFonts w:ascii="Times New Roman" w:hAnsi="Times New Roman" w:cs="Times New Roman"/>
          <w:b/>
          <w:color w:val="000000" w:themeColor="text1"/>
          <w:sz w:val="20"/>
          <w:szCs w:val="20"/>
        </w:rPr>
        <w:t xml:space="preserve">Method: </w:t>
      </w:r>
      <w:r w:rsidRPr="00B51293">
        <w:rPr>
          <w:rFonts w:ascii="Times New Roman" w:hAnsi="Times New Roman" w:cs="Times New Roman"/>
          <w:color w:val="000000" w:themeColor="text1"/>
          <w:sz w:val="20"/>
          <w:szCs w:val="20"/>
        </w:rPr>
        <w:t xml:space="preserve">We applied the same analysis (shown in Figure 2) at the individual acute Trust level (n = 126) and then aggregated the results. We performed this analysis for all three cutoffs, three </w:t>
      </w:r>
      <w:r w:rsidRPr="00B51293">
        <w:rPr>
          <w:rFonts w:ascii="Times New Roman" w:hAnsi="Times New Roman" w:cs="Times New Roman"/>
          <w:i/>
          <w:color w:val="000000" w:themeColor="text1"/>
          <w:sz w:val="20"/>
          <w:szCs w:val="20"/>
        </w:rPr>
        <w:t xml:space="preserve">R </w:t>
      </w:r>
      <w:r w:rsidRPr="00B51293">
        <w:rPr>
          <w:rFonts w:ascii="Times New Roman" w:hAnsi="Times New Roman" w:cs="Times New Roman"/>
          <w:color w:val="000000" w:themeColor="text1"/>
          <w:sz w:val="20"/>
          <w:szCs w:val="20"/>
        </w:rPr>
        <w:t xml:space="preserve">values and for the first symptom onset to </w:t>
      </w:r>
      <w:proofErr w:type="spellStart"/>
      <w:r w:rsidRPr="00B51293">
        <w:rPr>
          <w:rFonts w:ascii="Times New Roman" w:hAnsi="Times New Roman" w:cs="Times New Roman"/>
          <w:color w:val="000000" w:themeColor="text1"/>
          <w:sz w:val="20"/>
          <w:szCs w:val="20"/>
        </w:rPr>
        <w:t>hospitalisation</w:t>
      </w:r>
      <w:proofErr w:type="spellEnd"/>
      <w:r w:rsidRPr="00B51293">
        <w:rPr>
          <w:rFonts w:ascii="Times New Roman" w:hAnsi="Times New Roman" w:cs="Times New Roman"/>
          <w:color w:val="000000" w:themeColor="text1"/>
          <w:sz w:val="20"/>
          <w:szCs w:val="20"/>
        </w:rPr>
        <w:t xml:space="preserve"> scenario with 50 simulations for each of the 126 Trusts to generate uncertainty ranges. </w:t>
      </w:r>
    </w:p>
    <w:p w14:paraId="2EFE00C2" w14:textId="77777777" w:rsidR="00F679C0" w:rsidRPr="00B51293" w:rsidRDefault="00F679C0">
      <w:pPr>
        <w:rPr>
          <w:rFonts w:ascii="Times New Roman" w:hAnsi="Times New Roman" w:cs="Times New Roman"/>
          <w:color w:val="000000" w:themeColor="text1"/>
          <w:sz w:val="20"/>
          <w:szCs w:val="20"/>
        </w:rPr>
      </w:pPr>
    </w:p>
    <w:p w14:paraId="616FEA84" w14:textId="77777777" w:rsidR="00F679C0" w:rsidRPr="00B51293" w:rsidRDefault="00E45E40">
      <w:pPr>
        <w:rPr>
          <w:rFonts w:ascii="Times New Roman" w:hAnsi="Times New Roman" w:cs="Times New Roman"/>
          <w:b/>
          <w:color w:val="000000" w:themeColor="text1"/>
          <w:sz w:val="20"/>
          <w:szCs w:val="20"/>
        </w:rPr>
      </w:pPr>
      <w:r w:rsidRPr="00B51293">
        <w:rPr>
          <w:rFonts w:ascii="Times New Roman" w:hAnsi="Times New Roman" w:cs="Times New Roman"/>
          <w:b/>
          <w:color w:val="000000" w:themeColor="text1"/>
          <w:sz w:val="20"/>
          <w:szCs w:val="20"/>
        </w:rPr>
        <w:t xml:space="preserve">Results: </w:t>
      </w:r>
    </w:p>
    <w:p w14:paraId="1D84B434" w14:textId="77777777" w:rsidR="00F679C0" w:rsidRPr="00B51293" w:rsidRDefault="00E45E40">
      <w:pPr>
        <w:rPr>
          <w:rFonts w:ascii="Times New Roman" w:hAnsi="Times New Roman" w:cs="Times New Roman"/>
          <w:b/>
          <w:color w:val="000000" w:themeColor="text1"/>
          <w:sz w:val="20"/>
          <w:szCs w:val="20"/>
        </w:rPr>
      </w:pPr>
      <w:r w:rsidRPr="00B51293">
        <w:rPr>
          <w:rFonts w:ascii="Times New Roman" w:hAnsi="Times New Roman" w:cs="Times New Roman"/>
          <w:color w:val="000000" w:themeColor="text1"/>
          <w:sz w:val="20"/>
          <w:szCs w:val="20"/>
        </w:rPr>
        <w:t xml:space="preserve">4 Trusts had no nosocomial cases recorded in the data over this </w:t>
      </w:r>
      <w:proofErr w:type="gramStart"/>
      <w:r w:rsidRPr="00B51293">
        <w:rPr>
          <w:rFonts w:ascii="Times New Roman" w:hAnsi="Times New Roman" w:cs="Times New Roman"/>
          <w:color w:val="000000" w:themeColor="text1"/>
          <w:sz w:val="20"/>
          <w:szCs w:val="20"/>
        </w:rPr>
        <w:t>time period</w:t>
      </w:r>
      <w:proofErr w:type="gramEnd"/>
      <w:r w:rsidRPr="00B51293">
        <w:rPr>
          <w:rFonts w:ascii="Times New Roman" w:hAnsi="Times New Roman" w:cs="Times New Roman"/>
          <w:color w:val="000000" w:themeColor="text1"/>
          <w:sz w:val="20"/>
          <w:szCs w:val="20"/>
        </w:rPr>
        <w:t xml:space="preserve">. Two Trusts had no nosocomial cases recorded when using a </w:t>
      </w:r>
      <w:proofErr w:type="gramStart"/>
      <w:r w:rsidRPr="00B51293">
        <w:rPr>
          <w:rFonts w:ascii="Times New Roman" w:hAnsi="Times New Roman" w:cs="Times New Roman"/>
          <w:color w:val="000000" w:themeColor="text1"/>
          <w:sz w:val="20"/>
          <w:szCs w:val="20"/>
        </w:rPr>
        <w:t>14 day</w:t>
      </w:r>
      <w:proofErr w:type="gramEnd"/>
      <w:r w:rsidRPr="00B51293">
        <w:rPr>
          <w:rFonts w:ascii="Times New Roman" w:hAnsi="Times New Roman" w:cs="Times New Roman"/>
          <w:color w:val="000000" w:themeColor="text1"/>
          <w:sz w:val="20"/>
          <w:szCs w:val="20"/>
        </w:rPr>
        <w:t xml:space="preserve"> cutoff for definition of a nosocomial case. </w:t>
      </w:r>
    </w:p>
    <w:p w14:paraId="0701F819" w14:textId="77777777" w:rsidR="00F679C0" w:rsidRPr="00B51293" w:rsidRDefault="00F679C0">
      <w:pPr>
        <w:rPr>
          <w:rFonts w:ascii="Times New Roman" w:hAnsi="Times New Roman" w:cs="Times New Roman"/>
          <w:color w:val="000000" w:themeColor="text1"/>
          <w:sz w:val="20"/>
          <w:szCs w:val="20"/>
          <w:highlight w:val="yellow"/>
        </w:rPr>
      </w:pPr>
    </w:p>
    <w:p w14:paraId="71979C50" w14:textId="77777777" w:rsidR="00F679C0" w:rsidRPr="00B51293" w:rsidRDefault="00E45E40">
      <w:pPr>
        <w:rPr>
          <w:rFonts w:ascii="Times New Roman" w:hAnsi="Times New Roman" w:cs="Times New Roman"/>
          <w:color w:val="000000" w:themeColor="text1"/>
          <w:sz w:val="20"/>
          <w:szCs w:val="20"/>
        </w:rPr>
      </w:pPr>
      <w:r w:rsidRPr="00B51293">
        <w:rPr>
          <w:rFonts w:ascii="Times New Roman" w:hAnsi="Times New Roman" w:cs="Times New Roman"/>
          <w:color w:val="000000" w:themeColor="text1"/>
          <w:sz w:val="20"/>
          <w:szCs w:val="20"/>
        </w:rPr>
        <w:t xml:space="preserve">The proportion missed each week varied over trusts with a mean of 29% and a range between 0 and 88% over 50 simulations and all weeks and Trusts. 0.2% of the proportion detected estimates were zero. </w:t>
      </w:r>
    </w:p>
    <w:p w14:paraId="6054A2F8" w14:textId="77777777" w:rsidR="00F679C0" w:rsidRPr="00B51293" w:rsidRDefault="00F679C0">
      <w:pPr>
        <w:rPr>
          <w:rFonts w:ascii="Times New Roman" w:hAnsi="Times New Roman" w:cs="Times New Roman"/>
          <w:color w:val="000000" w:themeColor="text1"/>
          <w:sz w:val="20"/>
          <w:szCs w:val="20"/>
        </w:rPr>
      </w:pPr>
    </w:p>
    <w:p w14:paraId="29FCF251" w14:textId="77777777" w:rsidR="00F679C0" w:rsidRPr="00B51293" w:rsidRDefault="00E45E40">
      <w:pPr>
        <w:rPr>
          <w:rFonts w:ascii="Times New Roman" w:hAnsi="Times New Roman" w:cs="Times New Roman"/>
          <w:color w:val="000000" w:themeColor="text1"/>
          <w:sz w:val="20"/>
          <w:szCs w:val="20"/>
        </w:rPr>
      </w:pPr>
      <w:r w:rsidRPr="00B51293">
        <w:rPr>
          <w:rFonts w:ascii="Times New Roman" w:hAnsi="Times New Roman" w:cs="Times New Roman"/>
          <w:color w:val="000000" w:themeColor="text1"/>
          <w:sz w:val="20"/>
          <w:szCs w:val="20"/>
        </w:rPr>
        <w:t xml:space="preserve">Comparing the aggregated England setting (data pooled before doing analysis) to the grouped individual Trust (analysis performed at the Trust level and then aggregated) analysis shows similar results but the levels from the individual Trust analysis is higher (Table S5). Some variation would be expected due to rounding </w:t>
      </w:r>
      <w:proofErr w:type="gramStart"/>
      <w:r w:rsidRPr="00B51293">
        <w:rPr>
          <w:rFonts w:ascii="Times New Roman" w:hAnsi="Times New Roman" w:cs="Times New Roman"/>
          <w:color w:val="000000" w:themeColor="text1"/>
          <w:sz w:val="20"/>
          <w:szCs w:val="20"/>
        </w:rPr>
        <w:t>e.g.</w:t>
      </w:r>
      <w:proofErr w:type="gramEnd"/>
      <w:r w:rsidRPr="00B51293">
        <w:rPr>
          <w:rFonts w:ascii="Times New Roman" w:hAnsi="Times New Roman" w:cs="Times New Roman"/>
          <w:color w:val="000000" w:themeColor="text1"/>
          <w:sz w:val="20"/>
          <w:szCs w:val="20"/>
        </w:rPr>
        <w:t xml:space="preserve"> of the number of missed infections from the identified number of hospital-acquired cases. At the baseline cutoff of symptom onset 8 or more days from admission, the variation is relatively small, but it increases at a 15 or more days from admission cutoff, especially for “community-onset, hospital-linked” cases. The similarity in key indicators is shown in Figure S15-17 below. Using the grouped individual Trust analysis predicts that 25.5% (24.6%, 26.4%) of identified COVID-19 cases in hospitals were hospital-acquired, higher than the level predicted from the aggregated England setting: 20.1% (19.2%, 20.7%). </w:t>
      </w:r>
    </w:p>
    <w:p w14:paraId="67E8C851" w14:textId="77777777" w:rsidR="00F679C0" w:rsidRPr="00B51293" w:rsidRDefault="00F679C0">
      <w:pPr>
        <w:rPr>
          <w:rFonts w:ascii="Times New Roman" w:hAnsi="Times New Roman" w:cs="Times New Roman"/>
          <w:color w:val="000000" w:themeColor="text1"/>
          <w:sz w:val="20"/>
          <w:szCs w:val="20"/>
        </w:rPr>
      </w:pPr>
    </w:p>
    <w:p w14:paraId="6859C2C9" w14:textId="77777777" w:rsidR="00B51293" w:rsidRDefault="00E45E40">
      <w:pPr>
        <w:rPr>
          <w:rFonts w:ascii="Times New Roman" w:hAnsi="Times New Roman" w:cs="Times New Roman"/>
          <w:color w:val="000000" w:themeColor="text1"/>
          <w:sz w:val="20"/>
          <w:szCs w:val="20"/>
        </w:rPr>
      </w:pPr>
      <w:r w:rsidRPr="00B51293">
        <w:rPr>
          <w:rFonts w:ascii="Times New Roman" w:hAnsi="Times New Roman" w:cs="Times New Roman"/>
          <w:b/>
          <w:color w:val="000000" w:themeColor="text1"/>
          <w:sz w:val="20"/>
          <w:szCs w:val="20"/>
        </w:rPr>
        <w:t xml:space="preserve">Comparison and interpretation: </w:t>
      </w:r>
      <w:r w:rsidRPr="00B51293">
        <w:rPr>
          <w:rFonts w:ascii="Times New Roman" w:hAnsi="Times New Roman" w:cs="Times New Roman"/>
          <w:color w:val="000000" w:themeColor="text1"/>
          <w:sz w:val="20"/>
          <w:szCs w:val="20"/>
        </w:rPr>
        <w:t xml:space="preserve">The proportion identified is predicted to be very small when there are few hospital-onset, hospital-acquired (HOHA) cases, as is often the case when doing the analysis at the individual trust level. Using the Bayesian framework to infer the total number of hospital-acquired infections (“trials”) results in higher numbers (~50%) for the estimated number of unidentified hospital-acquired infections and hence onward case estimates (COHL / COHA). For example, 1 HOHA case, with a proportion detected of 0.005, is predicted to be linked to 524 hospital-acquired infections. However, 7 HOHA cases, with the same proportion detected, results in a predicted 1450 infections: an increase of 3x infections instead of 7x as might be expected from the increase in HOHA. We believe that the analysis at the Trust level suffers from issues of small numbers and issues with using the empiric length of stay distributions. This leads to unrealistically small proportions detected and hence inflation to a greater number of missed infections. </w:t>
      </w:r>
    </w:p>
    <w:p w14:paraId="4D557C2F" w14:textId="5CE2C965" w:rsidR="00F679C0" w:rsidRPr="00B9476D" w:rsidRDefault="00B9476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br w:type="page"/>
      </w:r>
      <w:r w:rsidR="00E45E40" w:rsidRPr="00B51293">
        <w:rPr>
          <w:rFonts w:ascii="Times New Roman" w:hAnsi="Times New Roman" w:cs="Times New Roman"/>
          <w:b/>
          <w:i/>
          <w:color w:val="000000" w:themeColor="text1"/>
          <w:sz w:val="20"/>
          <w:szCs w:val="20"/>
        </w:rPr>
        <w:lastRenderedPageBreak/>
        <w:t xml:space="preserve">Table S5: Comparison of England level vs. grouped trusts analysis for varying cutoff and R values for three key indicators under the first scenario for symptom onset to hospital admission. The values presented are the mean and 95% quantile over 200 simulations for the aggregated England setting and over 50 simulations for each Trust. Bold values are those with the baseline cutoff. </w:t>
      </w:r>
    </w:p>
    <w:tbl>
      <w:tblPr>
        <w:tblStyle w:val="a5"/>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65"/>
        <w:gridCol w:w="1995"/>
        <w:gridCol w:w="1335"/>
        <w:gridCol w:w="2855"/>
        <w:gridCol w:w="2855"/>
        <w:gridCol w:w="2855"/>
      </w:tblGrid>
      <w:tr w:rsidR="00932369" w:rsidRPr="00B9476D" w14:paraId="3D391A31" w14:textId="77777777" w:rsidTr="003D40FA">
        <w:trPr>
          <w:trHeight w:val="915"/>
        </w:trPr>
        <w:tc>
          <w:tcPr>
            <w:tcW w:w="1065" w:type="dxa"/>
            <w:vMerge w:val="restart"/>
            <w:tcMar>
              <w:top w:w="100" w:type="dxa"/>
              <w:left w:w="100" w:type="dxa"/>
              <w:bottom w:w="100" w:type="dxa"/>
              <w:right w:w="100" w:type="dxa"/>
            </w:tcMar>
          </w:tcPr>
          <w:p w14:paraId="638A05D1" w14:textId="77777777" w:rsidR="00F679C0" w:rsidRPr="00B9476D" w:rsidRDefault="00E45E40" w:rsidP="00B9476D">
            <w:pPr>
              <w:spacing w:line="240" w:lineRule="auto"/>
              <w:jc w:val="center"/>
              <w:rPr>
                <w:rFonts w:ascii="Times New Roman" w:hAnsi="Times New Roman" w:cs="Times New Roman"/>
                <w:b/>
                <w:color w:val="000000" w:themeColor="text1"/>
                <w:sz w:val="16"/>
                <w:szCs w:val="16"/>
              </w:rPr>
            </w:pPr>
            <w:r w:rsidRPr="00B9476D">
              <w:rPr>
                <w:rFonts w:ascii="Times New Roman" w:hAnsi="Times New Roman" w:cs="Times New Roman"/>
                <w:b/>
                <w:color w:val="000000" w:themeColor="text1"/>
                <w:sz w:val="16"/>
                <w:szCs w:val="16"/>
              </w:rPr>
              <w:t xml:space="preserve"> Setting</w:t>
            </w:r>
          </w:p>
        </w:tc>
        <w:tc>
          <w:tcPr>
            <w:tcW w:w="1995" w:type="dxa"/>
            <w:vMerge w:val="restart"/>
            <w:tcMar>
              <w:top w:w="100" w:type="dxa"/>
              <w:left w:w="100" w:type="dxa"/>
              <w:bottom w:w="100" w:type="dxa"/>
              <w:right w:w="100" w:type="dxa"/>
            </w:tcMar>
          </w:tcPr>
          <w:p w14:paraId="410E0E99" w14:textId="77777777" w:rsidR="00F679C0" w:rsidRPr="00B9476D" w:rsidRDefault="00E45E40" w:rsidP="00B9476D">
            <w:pPr>
              <w:spacing w:line="240" w:lineRule="auto"/>
              <w:jc w:val="center"/>
              <w:rPr>
                <w:rFonts w:ascii="Times New Roman" w:hAnsi="Times New Roman" w:cs="Times New Roman"/>
                <w:b/>
                <w:color w:val="000000" w:themeColor="text1"/>
                <w:sz w:val="16"/>
                <w:szCs w:val="16"/>
              </w:rPr>
            </w:pPr>
            <w:r w:rsidRPr="00B9476D">
              <w:rPr>
                <w:rFonts w:ascii="Times New Roman" w:hAnsi="Times New Roman" w:cs="Times New Roman"/>
                <w:b/>
                <w:color w:val="000000" w:themeColor="text1"/>
                <w:sz w:val="16"/>
                <w:szCs w:val="16"/>
              </w:rPr>
              <w:t xml:space="preserve">Cutoff for defining hospital-acquired </w:t>
            </w:r>
            <w:r w:rsidR="0042182A" w:rsidRPr="00B9476D">
              <w:rPr>
                <w:rFonts w:ascii="Times New Roman" w:hAnsi="Times New Roman" w:cs="Times New Roman"/>
                <w:b/>
                <w:color w:val="000000" w:themeColor="text1"/>
                <w:sz w:val="16"/>
                <w:szCs w:val="16"/>
              </w:rPr>
              <w:t>(symptom onset on this day or later after admission)</w:t>
            </w:r>
          </w:p>
        </w:tc>
        <w:tc>
          <w:tcPr>
            <w:tcW w:w="1335" w:type="dxa"/>
            <w:vMerge w:val="restart"/>
            <w:tcMar>
              <w:top w:w="100" w:type="dxa"/>
              <w:left w:w="100" w:type="dxa"/>
              <w:bottom w:w="100" w:type="dxa"/>
              <w:right w:w="100" w:type="dxa"/>
            </w:tcMar>
          </w:tcPr>
          <w:p w14:paraId="5352DE18" w14:textId="77777777" w:rsidR="00F679C0" w:rsidRPr="00B9476D" w:rsidRDefault="00E45E40" w:rsidP="00B9476D">
            <w:pPr>
              <w:spacing w:line="240" w:lineRule="auto"/>
              <w:jc w:val="center"/>
              <w:rPr>
                <w:rFonts w:ascii="Times New Roman" w:hAnsi="Times New Roman" w:cs="Times New Roman"/>
                <w:b/>
                <w:i/>
                <w:color w:val="000000" w:themeColor="text1"/>
                <w:sz w:val="16"/>
                <w:szCs w:val="16"/>
              </w:rPr>
            </w:pPr>
            <w:r w:rsidRPr="00B9476D">
              <w:rPr>
                <w:rFonts w:ascii="Times New Roman" w:hAnsi="Times New Roman" w:cs="Times New Roman"/>
                <w:b/>
                <w:i/>
                <w:color w:val="000000" w:themeColor="text1"/>
                <w:sz w:val="16"/>
                <w:szCs w:val="16"/>
              </w:rPr>
              <w:t>R</w:t>
            </w:r>
            <w:r w:rsidRPr="00B9476D">
              <w:rPr>
                <w:rFonts w:ascii="Times New Roman" w:hAnsi="Times New Roman" w:cs="Times New Roman"/>
                <w:b/>
                <w:color w:val="000000" w:themeColor="text1"/>
                <w:sz w:val="16"/>
                <w:szCs w:val="16"/>
              </w:rPr>
              <w:t xml:space="preserve"> value</w:t>
            </w:r>
          </w:p>
        </w:tc>
        <w:tc>
          <w:tcPr>
            <w:tcW w:w="2855" w:type="dxa"/>
            <w:vMerge w:val="restart"/>
            <w:shd w:val="clear" w:color="auto" w:fill="auto"/>
            <w:tcMar>
              <w:top w:w="100" w:type="dxa"/>
              <w:left w:w="100" w:type="dxa"/>
              <w:bottom w:w="100" w:type="dxa"/>
              <w:right w:w="100" w:type="dxa"/>
            </w:tcMar>
          </w:tcPr>
          <w:p w14:paraId="2D1F28BE" w14:textId="77777777" w:rsidR="00F679C0" w:rsidRPr="00B9476D" w:rsidRDefault="00E45E40" w:rsidP="00B9476D">
            <w:pPr>
              <w:spacing w:line="240" w:lineRule="auto"/>
              <w:jc w:val="center"/>
              <w:rPr>
                <w:rFonts w:ascii="Times New Roman" w:hAnsi="Times New Roman" w:cs="Times New Roman"/>
                <w:b/>
                <w:color w:val="000000" w:themeColor="text1"/>
                <w:sz w:val="16"/>
                <w:szCs w:val="16"/>
              </w:rPr>
            </w:pPr>
            <w:r w:rsidRPr="00B9476D">
              <w:rPr>
                <w:rFonts w:ascii="Times New Roman" w:hAnsi="Times New Roman" w:cs="Times New Roman"/>
                <w:b/>
                <w:color w:val="000000" w:themeColor="text1"/>
                <w:sz w:val="16"/>
                <w:szCs w:val="16"/>
              </w:rPr>
              <w:t>Number of hospital-onset hospital-acquired identified cases (HOHA)</w:t>
            </w:r>
          </w:p>
        </w:tc>
        <w:tc>
          <w:tcPr>
            <w:tcW w:w="2855" w:type="dxa"/>
            <w:vMerge w:val="restart"/>
            <w:shd w:val="clear" w:color="auto" w:fill="auto"/>
            <w:tcMar>
              <w:top w:w="20" w:type="dxa"/>
              <w:left w:w="20" w:type="dxa"/>
              <w:bottom w:w="20" w:type="dxa"/>
              <w:right w:w="20" w:type="dxa"/>
            </w:tcMar>
          </w:tcPr>
          <w:p w14:paraId="1F6ADBB0" w14:textId="77777777" w:rsidR="00F679C0" w:rsidRPr="00B9476D" w:rsidRDefault="00E45E40" w:rsidP="00B9476D">
            <w:pPr>
              <w:spacing w:line="240" w:lineRule="auto"/>
              <w:jc w:val="center"/>
              <w:rPr>
                <w:rFonts w:ascii="Times New Roman" w:hAnsi="Times New Roman" w:cs="Times New Roman"/>
                <w:b/>
                <w:color w:val="000000" w:themeColor="text1"/>
                <w:sz w:val="16"/>
                <w:szCs w:val="16"/>
              </w:rPr>
            </w:pPr>
            <w:r w:rsidRPr="00B9476D">
              <w:rPr>
                <w:rFonts w:ascii="Times New Roman" w:hAnsi="Times New Roman" w:cs="Times New Roman"/>
                <w:b/>
                <w:color w:val="000000" w:themeColor="text1"/>
                <w:sz w:val="16"/>
                <w:szCs w:val="16"/>
              </w:rPr>
              <w:t xml:space="preserve">Number of unidentified hospital-acquired infections </w:t>
            </w:r>
          </w:p>
        </w:tc>
        <w:tc>
          <w:tcPr>
            <w:tcW w:w="2855" w:type="dxa"/>
            <w:vMerge w:val="restart"/>
            <w:shd w:val="clear" w:color="auto" w:fill="auto"/>
            <w:tcMar>
              <w:top w:w="100" w:type="dxa"/>
              <w:left w:w="100" w:type="dxa"/>
              <w:bottom w:w="100" w:type="dxa"/>
              <w:right w:w="100" w:type="dxa"/>
            </w:tcMar>
          </w:tcPr>
          <w:p w14:paraId="617AC088" w14:textId="77777777" w:rsidR="00F679C0" w:rsidRPr="00B9476D" w:rsidRDefault="00E45E40" w:rsidP="00B9476D">
            <w:pPr>
              <w:spacing w:line="240" w:lineRule="auto"/>
              <w:jc w:val="center"/>
              <w:rPr>
                <w:rFonts w:ascii="Times New Roman" w:hAnsi="Times New Roman" w:cs="Times New Roman"/>
                <w:b/>
                <w:color w:val="000000" w:themeColor="text1"/>
                <w:sz w:val="16"/>
                <w:szCs w:val="16"/>
              </w:rPr>
            </w:pPr>
            <w:r w:rsidRPr="00B9476D">
              <w:rPr>
                <w:rFonts w:ascii="Times New Roman" w:hAnsi="Times New Roman" w:cs="Times New Roman"/>
                <w:b/>
                <w:color w:val="000000" w:themeColor="text1"/>
                <w:sz w:val="16"/>
                <w:szCs w:val="16"/>
              </w:rPr>
              <w:t>Number of community-onset hospital-linked cases (COHL)</w:t>
            </w:r>
          </w:p>
        </w:tc>
      </w:tr>
      <w:tr w:rsidR="00932369" w:rsidRPr="00B9476D" w14:paraId="43EF33F7" w14:textId="77777777" w:rsidTr="0011454B">
        <w:trPr>
          <w:trHeight w:val="184"/>
        </w:trPr>
        <w:tc>
          <w:tcPr>
            <w:tcW w:w="1065" w:type="dxa"/>
            <w:vMerge/>
            <w:tcMar>
              <w:top w:w="100" w:type="dxa"/>
              <w:left w:w="100" w:type="dxa"/>
              <w:bottom w:w="100" w:type="dxa"/>
              <w:right w:w="100" w:type="dxa"/>
            </w:tcMar>
          </w:tcPr>
          <w:p w14:paraId="52AE9C25" w14:textId="77777777" w:rsidR="00F679C0" w:rsidRPr="00B9476D" w:rsidRDefault="00F679C0" w:rsidP="00B9476D">
            <w:pPr>
              <w:spacing w:line="240" w:lineRule="auto"/>
              <w:jc w:val="center"/>
              <w:rPr>
                <w:rFonts w:ascii="Times New Roman" w:hAnsi="Times New Roman" w:cs="Times New Roman"/>
                <w:b/>
                <w:color w:val="000000" w:themeColor="text1"/>
                <w:sz w:val="16"/>
                <w:szCs w:val="16"/>
              </w:rPr>
            </w:pPr>
          </w:p>
        </w:tc>
        <w:tc>
          <w:tcPr>
            <w:tcW w:w="1995" w:type="dxa"/>
            <w:vMerge/>
            <w:tcMar>
              <w:top w:w="100" w:type="dxa"/>
              <w:left w:w="100" w:type="dxa"/>
              <w:bottom w:w="100" w:type="dxa"/>
              <w:right w:w="100" w:type="dxa"/>
            </w:tcMar>
          </w:tcPr>
          <w:p w14:paraId="0FA92930" w14:textId="77777777" w:rsidR="00F679C0" w:rsidRPr="00B9476D" w:rsidRDefault="00F679C0" w:rsidP="00B9476D">
            <w:pPr>
              <w:spacing w:line="240" w:lineRule="auto"/>
              <w:jc w:val="center"/>
              <w:rPr>
                <w:rFonts w:ascii="Times New Roman" w:hAnsi="Times New Roman" w:cs="Times New Roman"/>
                <w:b/>
                <w:color w:val="000000" w:themeColor="text1"/>
                <w:sz w:val="16"/>
                <w:szCs w:val="16"/>
              </w:rPr>
            </w:pPr>
          </w:p>
        </w:tc>
        <w:tc>
          <w:tcPr>
            <w:tcW w:w="1335" w:type="dxa"/>
            <w:vMerge/>
            <w:tcMar>
              <w:top w:w="100" w:type="dxa"/>
              <w:left w:w="100" w:type="dxa"/>
              <w:bottom w:w="100" w:type="dxa"/>
              <w:right w:w="100" w:type="dxa"/>
            </w:tcMar>
          </w:tcPr>
          <w:p w14:paraId="679DBF92" w14:textId="77777777" w:rsidR="00F679C0" w:rsidRPr="00B9476D" w:rsidRDefault="00F679C0" w:rsidP="00B9476D">
            <w:pPr>
              <w:spacing w:line="240" w:lineRule="auto"/>
              <w:jc w:val="center"/>
              <w:rPr>
                <w:rFonts w:ascii="Times New Roman" w:hAnsi="Times New Roman" w:cs="Times New Roman"/>
                <w:b/>
                <w:color w:val="000000" w:themeColor="text1"/>
                <w:sz w:val="16"/>
                <w:szCs w:val="16"/>
              </w:rPr>
            </w:pPr>
          </w:p>
        </w:tc>
        <w:tc>
          <w:tcPr>
            <w:tcW w:w="2855" w:type="dxa"/>
            <w:vMerge/>
            <w:tcMar>
              <w:top w:w="100" w:type="dxa"/>
              <w:left w:w="100" w:type="dxa"/>
              <w:bottom w:w="100" w:type="dxa"/>
              <w:right w:w="100" w:type="dxa"/>
            </w:tcMar>
          </w:tcPr>
          <w:p w14:paraId="29CB3987" w14:textId="77777777" w:rsidR="00F679C0" w:rsidRPr="00B9476D" w:rsidRDefault="00F679C0" w:rsidP="00B9476D">
            <w:pPr>
              <w:spacing w:line="240" w:lineRule="auto"/>
              <w:jc w:val="center"/>
              <w:rPr>
                <w:rFonts w:ascii="Times New Roman" w:hAnsi="Times New Roman" w:cs="Times New Roman"/>
                <w:b/>
                <w:color w:val="000000" w:themeColor="text1"/>
                <w:sz w:val="16"/>
                <w:szCs w:val="16"/>
              </w:rPr>
            </w:pPr>
          </w:p>
        </w:tc>
        <w:tc>
          <w:tcPr>
            <w:tcW w:w="2855" w:type="dxa"/>
            <w:vMerge/>
            <w:tcMar>
              <w:top w:w="100" w:type="dxa"/>
              <w:left w:w="100" w:type="dxa"/>
              <w:bottom w:w="100" w:type="dxa"/>
              <w:right w:w="100" w:type="dxa"/>
            </w:tcMar>
          </w:tcPr>
          <w:p w14:paraId="746AC2B0" w14:textId="77777777" w:rsidR="00F679C0" w:rsidRPr="00B9476D" w:rsidRDefault="00F679C0" w:rsidP="00B9476D">
            <w:pPr>
              <w:spacing w:line="240" w:lineRule="auto"/>
              <w:jc w:val="center"/>
              <w:rPr>
                <w:rFonts w:ascii="Times New Roman" w:hAnsi="Times New Roman" w:cs="Times New Roman"/>
                <w:b/>
                <w:color w:val="000000" w:themeColor="text1"/>
                <w:sz w:val="16"/>
                <w:szCs w:val="16"/>
              </w:rPr>
            </w:pPr>
          </w:p>
        </w:tc>
        <w:tc>
          <w:tcPr>
            <w:tcW w:w="2855" w:type="dxa"/>
            <w:vMerge/>
            <w:tcMar>
              <w:top w:w="100" w:type="dxa"/>
              <w:left w:w="100" w:type="dxa"/>
              <w:bottom w:w="100" w:type="dxa"/>
              <w:right w:w="100" w:type="dxa"/>
            </w:tcMar>
          </w:tcPr>
          <w:p w14:paraId="3EBBC130" w14:textId="77777777" w:rsidR="00F679C0" w:rsidRPr="00B9476D" w:rsidRDefault="00F679C0" w:rsidP="00B9476D">
            <w:pPr>
              <w:spacing w:line="240" w:lineRule="auto"/>
              <w:jc w:val="center"/>
              <w:rPr>
                <w:rFonts w:ascii="Times New Roman" w:hAnsi="Times New Roman" w:cs="Times New Roman"/>
                <w:b/>
                <w:color w:val="000000" w:themeColor="text1"/>
                <w:sz w:val="16"/>
                <w:szCs w:val="16"/>
              </w:rPr>
            </w:pPr>
          </w:p>
        </w:tc>
      </w:tr>
      <w:tr w:rsidR="00932369" w:rsidRPr="00B9476D" w14:paraId="7A09C43B" w14:textId="77777777" w:rsidTr="003D40FA">
        <w:trPr>
          <w:trHeight w:val="53"/>
        </w:trPr>
        <w:tc>
          <w:tcPr>
            <w:tcW w:w="1065" w:type="dxa"/>
            <w:tcMar>
              <w:top w:w="100" w:type="dxa"/>
              <w:left w:w="100" w:type="dxa"/>
              <w:bottom w:w="100" w:type="dxa"/>
              <w:right w:w="100" w:type="dxa"/>
            </w:tcMar>
          </w:tcPr>
          <w:p w14:paraId="4AA9694A" w14:textId="77777777" w:rsidR="00F679C0" w:rsidRPr="00B9476D" w:rsidRDefault="00E45E40" w:rsidP="00B9476D">
            <w:pPr>
              <w:spacing w:line="240" w:lineRule="auto"/>
              <w:jc w:val="center"/>
              <w:rPr>
                <w:rFonts w:ascii="Times New Roman" w:hAnsi="Times New Roman" w:cs="Times New Roman"/>
                <w:color w:val="000000" w:themeColor="text1"/>
                <w:sz w:val="16"/>
                <w:szCs w:val="16"/>
              </w:rPr>
            </w:pPr>
            <w:r w:rsidRPr="00B9476D">
              <w:rPr>
                <w:rFonts w:ascii="Times New Roman" w:hAnsi="Times New Roman" w:cs="Times New Roman"/>
                <w:color w:val="000000" w:themeColor="text1"/>
                <w:sz w:val="16"/>
                <w:szCs w:val="16"/>
              </w:rPr>
              <w:t>ENG</w:t>
            </w:r>
          </w:p>
        </w:tc>
        <w:tc>
          <w:tcPr>
            <w:tcW w:w="1995" w:type="dxa"/>
            <w:vMerge w:val="restart"/>
            <w:tcMar>
              <w:top w:w="100" w:type="dxa"/>
              <w:left w:w="100" w:type="dxa"/>
              <w:bottom w:w="100" w:type="dxa"/>
              <w:right w:w="100" w:type="dxa"/>
            </w:tcMar>
          </w:tcPr>
          <w:p w14:paraId="60391E90" w14:textId="77777777" w:rsidR="00F679C0" w:rsidRPr="00B9476D" w:rsidRDefault="00E45E40" w:rsidP="00B9476D">
            <w:pPr>
              <w:spacing w:line="240" w:lineRule="auto"/>
              <w:jc w:val="center"/>
              <w:rPr>
                <w:rFonts w:ascii="Times New Roman" w:hAnsi="Times New Roman" w:cs="Times New Roman"/>
                <w:color w:val="000000" w:themeColor="text1"/>
                <w:sz w:val="16"/>
                <w:szCs w:val="16"/>
              </w:rPr>
            </w:pPr>
            <w:r w:rsidRPr="00B9476D">
              <w:rPr>
                <w:rFonts w:ascii="Times New Roman" w:hAnsi="Times New Roman" w:cs="Times New Roman"/>
                <w:color w:val="000000" w:themeColor="text1"/>
                <w:sz w:val="16"/>
                <w:szCs w:val="16"/>
              </w:rPr>
              <w:t>5</w:t>
            </w:r>
          </w:p>
        </w:tc>
        <w:tc>
          <w:tcPr>
            <w:tcW w:w="1335" w:type="dxa"/>
            <w:tcMar>
              <w:top w:w="100" w:type="dxa"/>
              <w:left w:w="100" w:type="dxa"/>
              <w:bottom w:w="100" w:type="dxa"/>
              <w:right w:w="100" w:type="dxa"/>
            </w:tcMar>
          </w:tcPr>
          <w:p w14:paraId="0A565C9F" w14:textId="77777777" w:rsidR="00F679C0" w:rsidRPr="00B9476D" w:rsidRDefault="00E45E40" w:rsidP="00B9476D">
            <w:pPr>
              <w:spacing w:line="240" w:lineRule="auto"/>
              <w:jc w:val="center"/>
              <w:rPr>
                <w:rFonts w:ascii="Times New Roman" w:hAnsi="Times New Roman" w:cs="Times New Roman"/>
                <w:color w:val="000000" w:themeColor="text1"/>
                <w:sz w:val="16"/>
                <w:szCs w:val="16"/>
              </w:rPr>
            </w:pPr>
            <w:r w:rsidRPr="00B9476D">
              <w:rPr>
                <w:rFonts w:ascii="Times New Roman" w:hAnsi="Times New Roman" w:cs="Times New Roman"/>
                <w:color w:val="000000" w:themeColor="text1"/>
                <w:sz w:val="16"/>
                <w:szCs w:val="16"/>
              </w:rPr>
              <w:t>0.8</w:t>
            </w:r>
          </w:p>
        </w:tc>
        <w:tc>
          <w:tcPr>
            <w:tcW w:w="2855" w:type="dxa"/>
            <w:tcMar>
              <w:top w:w="100" w:type="dxa"/>
              <w:left w:w="100" w:type="dxa"/>
              <w:bottom w:w="100" w:type="dxa"/>
              <w:right w:w="100" w:type="dxa"/>
            </w:tcMar>
          </w:tcPr>
          <w:p w14:paraId="2E2BFF3A" w14:textId="77777777" w:rsidR="00F679C0" w:rsidRPr="00B9476D" w:rsidRDefault="00E45E40" w:rsidP="00B9476D">
            <w:pPr>
              <w:spacing w:line="240" w:lineRule="auto"/>
              <w:jc w:val="center"/>
              <w:rPr>
                <w:rFonts w:ascii="Times New Roman" w:hAnsi="Times New Roman" w:cs="Times New Roman"/>
                <w:color w:val="000000" w:themeColor="text1"/>
                <w:sz w:val="16"/>
                <w:szCs w:val="16"/>
              </w:rPr>
            </w:pPr>
            <w:r w:rsidRPr="00B9476D">
              <w:rPr>
                <w:rFonts w:ascii="Times New Roman" w:hAnsi="Times New Roman" w:cs="Times New Roman"/>
                <w:color w:val="000000" w:themeColor="text1"/>
                <w:sz w:val="16"/>
                <w:szCs w:val="16"/>
              </w:rPr>
              <w:t xml:space="preserve">   7,800 (7,800, 7,800)</w:t>
            </w:r>
          </w:p>
        </w:tc>
        <w:tc>
          <w:tcPr>
            <w:tcW w:w="2855" w:type="dxa"/>
            <w:tcMar>
              <w:top w:w="100" w:type="dxa"/>
              <w:left w:w="100" w:type="dxa"/>
              <w:bottom w:w="100" w:type="dxa"/>
              <w:right w:w="100" w:type="dxa"/>
            </w:tcMar>
          </w:tcPr>
          <w:p w14:paraId="68EB2823" w14:textId="77777777" w:rsidR="00F679C0" w:rsidRPr="00B9476D" w:rsidRDefault="00E45E40" w:rsidP="00B9476D">
            <w:pPr>
              <w:spacing w:line="240" w:lineRule="auto"/>
              <w:jc w:val="center"/>
              <w:rPr>
                <w:rFonts w:ascii="Times New Roman" w:hAnsi="Times New Roman" w:cs="Times New Roman"/>
                <w:color w:val="000000" w:themeColor="text1"/>
                <w:sz w:val="16"/>
                <w:szCs w:val="16"/>
              </w:rPr>
            </w:pPr>
            <w:r w:rsidRPr="00B9476D">
              <w:rPr>
                <w:rFonts w:ascii="Times New Roman" w:hAnsi="Times New Roman" w:cs="Times New Roman"/>
                <w:color w:val="000000" w:themeColor="text1"/>
                <w:sz w:val="16"/>
                <w:szCs w:val="16"/>
              </w:rPr>
              <w:t>17,400 (16,100, 19,100)</w:t>
            </w:r>
          </w:p>
        </w:tc>
        <w:tc>
          <w:tcPr>
            <w:tcW w:w="2855" w:type="dxa"/>
            <w:tcMar>
              <w:top w:w="100" w:type="dxa"/>
              <w:left w:w="100" w:type="dxa"/>
              <w:bottom w:w="100" w:type="dxa"/>
              <w:right w:w="100" w:type="dxa"/>
            </w:tcMar>
          </w:tcPr>
          <w:p w14:paraId="206FBF47" w14:textId="77777777" w:rsidR="00F679C0" w:rsidRPr="00B9476D" w:rsidRDefault="00E45E40" w:rsidP="00B9476D">
            <w:pPr>
              <w:spacing w:line="240" w:lineRule="auto"/>
              <w:jc w:val="center"/>
              <w:rPr>
                <w:rFonts w:ascii="Times New Roman" w:hAnsi="Times New Roman" w:cs="Times New Roman"/>
                <w:color w:val="000000" w:themeColor="text1"/>
                <w:sz w:val="16"/>
                <w:szCs w:val="16"/>
              </w:rPr>
            </w:pPr>
            <w:r w:rsidRPr="00B9476D">
              <w:rPr>
                <w:rFonts w:ascii="Times New Roman" w:hAnsi="Times New Roman" w:cs="Times New Roman"/>
                <w:color w:val="000000" w:themeColor="text1"/>
                <w:sz w:val="16"/>
                <w:szCs w:val="16"/>
              </w:rPr>
              <w:t xml:space="preserve">     1,000 (900, 1,100)</w:t>
            </w:r>
          </w:p>
        </w:tc>
      </w:tr>
      <w:tr w:rsidR="00932369" w:rsidRPr="00B9476D" w14:paraId="5AE139E4" w14:textId="77777777" w:rsidTr="003D40FA">
        <w:trPr>
          <w:trHeight w:val="230"/>
        </w:trPr>
        <w:tc>
          <w:tcPr>
            <w:tcW w:w="1065" w:type="dxa"/>
            <w:tcMar>
              <w:top w:w="100" w:type="dxa"/>
              <w:left w:w="100" w:type="dxa"/>
              <w:bottom w:w="100" w:type="dxa"/>
              <w:right w:w="100" w:type="dxa"/>
            </w:tcMar>
          </w:tcPr>
          <w:p w14:paraId="63BA0989" w14:textId="77777777" w:rsidR="00F679C0" w:rsidRPr="00B9476D" w:rsidRDefault="00E45E40" w:rsidP="00B9476D">
            <w:pPr>
              <w:spacing w:line="240" w:lineRule="auto"/>
              <w:jc w:val="center"/>
              <w:rPr>
                <w:rFonts w:ascii="Times New Roman" w:hAnsi="Times New Roman" w:cs="Times New Roman"/>
                <w:color w:val="000000" w:themeColor="text1"/>
                <w:sz w:val="16"/>
                <w:szCs w:val="16"/>
              </w:rPr>
            </w:pPr>
            <w:r w:rsidRPr="00B9476D">
              <w:rPr>
                <w:rFonts w:ascii="Times New Roman" w:hAnsi="Times New Roman" w:cs="Times New Roman"/>
                <w:color w:val="000000" w:themeColor="text1"/>
                <w:sz w:val="16"/>
                <w:szCs w:val="16"/>
              </w:rPr>
              <w:t>grouped</w:t>
            </w:r>
          </w:p>
        </w:tc>
        <w:tc>
          <w:tcPr>
            <w:tcW w:w="1995" w:type="dxa"/>
            <w:vMerge/>
            <w:tcMar>
              <w:top w:w="100" w:type="dxa"/>
              <w:left w:w="100" w:type="dxa"/>
              <w:bottom w:w="100" w:type="dxa"/>
              <w:right w:w="100" w:type="dxa"/>
            </w:tcMar>
          </w:tcPr>
          <w:p w14:paraId="730CC194" w14:textId="77777777" w:rsidR="00F679C0" w:rsidRPr="00B9476D" w:rsidRDefault="00F679C0" w:rsidP="00B9476D">
            <w:pPr>
              <w:spacing w:line="240" w:lineRule="auto"/>
              <w:jc w:val="center"/>
              <w:rPr>
                <w:rFonts w:ascii="Times New Roman" w:hAnsi="Times New Roman" w:cs="Times New Roman"/>
                <w:color w:val="000000" w:themeColor="text1"/>
                <w:sz w:val="16"/>
                <w:szCs w:val="16"/>
              </w:rPr>
            </w:pPr>
          </w:p>
        </w:tc>
        <w:tc>
          <w:tcPr>
            <w:tcW w:w="1335" w:type="dxa"/>
            <w:tcMar>
              <w:top w:w="100" w:type="dxa"/>
              <w:left w:w="100" w:type="dxa"/>
              <w:bottom w:w="100" w:type="dxa"/>
              <w:right w:w="100" w:type="dxa"/>
            </w:tcMar>
          </w:tcPr>
          <w:p w14:paraId="4B6B51C9" w14:textId="77777777" w:rsidR="00F679C0" w:rsidRPr="00B9476D" w:rsidRDefault="00E45E40" w:rsidP="00B9476D">
            <w:pPr>
              <w:spacing w:line="240" w:lineRule="auto"/>
              <w:jc w:val="center"/>
              <w:rPr>
                <w:rFonts w:ascii="Times New Roman" w:hAnsi="Times New Roman" w:cs="Times New Roman"/>
                <w:color w:val="000000" w:themeColor="text1"/>
                <w:sz w:val="16"/>
                <w:szCs w:val="16"/>
              </w:rPr>
            </w:pPr>
            <w:r w:rsidRPr="00B9476D">
              <w:rPr>
                <w:rFonts w:ascii="Times New Roman" w:hAnsi="Times New Roman" w:cs="Times New Roman"/>
                <w:color w:val="000000" w:themeColor="text1"/>
                <w:sz w:val="16"/>
                <w:szCs w:val="16"/>
              </w:rPr>
              <w:t>0.8</w:t>
            </w:r>
          </w:p>
        </w:tc>
        <w:tc>
          <w:tcPr>
            <w:tcW w:w="2855" w:type="dxa"/>
            <w:tcMar>
              <w:top w:w="100" w:type="dxa"/>
              <w:left w:w="100" w:type="dxa"/>
              <w:bottom w:w="100" w:type="dxa"/>
              <w:right w:w="100" w:type="dxa"/>
            </w:tcMar>
          </w:tcPr>
          <w:p w14:paraId="6F2D7225" w14:textId="77777777" w:rsidR="00F679C0" w:rsidRPr="00B9476D" w:rsidRDefault="00E45E40" w:rsidP="00B9476D">
            <w:pPr>
              <w:spacing w:line="240" w:lineRule="auto"/>
              <w:jc w:val="center"/>
              <w:rPr>
                <w:rFonts w:ascii="Times New Roman" w:hAnsi="Times New Roman" w:cs="Times New Roman"/>
                <w:color w:val="000000" w:themeColor="text1"/>
                <w:sz w:val="16"/>
                <w:szCs w:val="16"/>
              </w:rPr>
            </w:pPr>
            <w:r w:rsidRPr="00B9476D">
              <w:rPr>
                <w:rFonts w:ascii="Times New Roman" w:hAnsi="Times New Roman" w:cs="Times New Roman"/>
                <w:color w:val="000000" w:themeColor="text1"/>
                <w:sz w:val="16"/>
                <w:szCs w:val="16"/>
              </w:rPr>
              <w:t xml:space="preserve">   7,400 (7,400, 7,400)</w:t>
            </w:r>
          </w:p>
        </w:tc>
        <w:tc>
          <w:tcPr>
            <w:tcW w:w="2855" w:type="dxa"/>
            <w:tcMar>
              <w:top w:w="100" w:type="dxa"/>
              <w:left w:w="100" w:type="dxa"/>
              <w:bottom w:w="100" w:type="dxa"/>
              <w:right w:w="100" w:type="dxa"/>
            </w:tcMar>
          </w:tcPr>
          <w:p w14:paraId="3D80E562" w14:textId="77777777" w:rsidR="00F679C0" w:rsidRPr="00B9476D" w:rsidRDefault="00E45E40" w:rsidP="00B9476D">
            <w:pPr>
              <w:spacing w:line="240" w:lineRule="auto"/>
              <w:jc w:val="center"/>
              <w:rPr>
                <w:rFonts w:ascii="Times New Roman" w:hAnsi="Times New Roman" w:cs="Times New Roman"/>
                <w:color w:val="000000" w:themeColor="text1"/>
                <w:sz w:val="16"/>
                <w:szCs w:val="16"/>
              </w:rPr>
            </w:pPr>
            <w:r w:rsidRPr="00B9476D">
              <w:rPr>
                <w:rFonts w:ascii="Times New Roman" w:hAnsi="Times New Roman" w:cs="Times New Roman"/>
                <w:color w:val="000000" w:themeColor="text1"/>
                <w:sz w:val="16"/>
                <w:szCs w:val="16"/>
              </w:rPr>
              <w:t>24,700 (22,500, 27,100)</w:t>
            </w:r>
          </w:p>
        </w:tc>
        <w:tc>
          <w:tcPr>
            <w:tcW w:w="2855" w:type="dxa"/>
            <w:tcMar>
              <w:top w:w="100" w:type="dxa"/>
              <w:left w:w="100" w:type="dxa"/>
              <w:bottom w:w="100" w:type="dxa"/>
              <w:right w:w="100" w:type="dxa"/>
            </w:tcMar>
          </w:tcPr>
          <w:p w14:paraId="14ECC8D4" w14:textId="77777777" w:rsidR="00F679C0" w:rsidRPr="00B9476D" w:rsidRDefault="00E45E40" w:rsidP="00B9476D">
            <w:pPr>
              <w:spacing w:line="240" w:lineRule="auto"/>
              <w:jc w:val="center"/>
              <w:rPr>
                <w:rFonts w:ascii="Times New Roman" w:hAnsi="Times New Roman" w:cs="Times New Roman"/>
                <w:color w:val="000000" w:themeColor="text1"/>
                <w:sz w:val="16"/>
                <w:szCs w:val="16"/>
              </w:rPr>
            </w:pPr>
            <w:r w:rsidRPr="00B9476D">
              <w:rPr>
                <w:rFonts w:ascii="Times New Roman" w:hAnsi="Times New Roman" w:cs="Times New Roman"/>
                <w:color w:val="000000" w:themeColor="text1"/>
                <w:sz w:val="16"/>
                <w:szCs w:val="16"/>
              </w:rPr>
              <w:t xml:space="preserve">   1,500 (1,400, 1,700)</w:t>
            </w:r>
          </w:p>
        </w:tc>
      </w:tr>
      <w:tr w:rsidR="00932369" w:rsidRPr="00B9476D" w14:paraId="1A30B6AD" w14:textId="77777777" w:rsidTr="003D40FA">
        <w:trPr>
          <w:trHeight w:val="20"/>
        </w:trPr>
        <w:tc>
          <w:tcPr>
            <w:tcW w:w="1065" w:type="dxa"/>
            <w:tcMar>
              <w:top w:w="100" w:type="dxa"/>
              <w:left w:w="100" w:type="dxa"/>
              <w:bottom w:w="100" w:type="dxa"/>
              <w:right w:w="100" w:type="dxa"/>
            </w:tcMar>
          </w:tcPr>
          <w:p w14:paraId="0D76C79B" w14:textId="77777777" w:rsidR="00F679C0" w:rsidRPr="00B9476D" w:rsidRDefault="00E45E40" w:rsidP="00B9476D">
            <w:pPr>
              <w:spacing w:line="240" w:lineRule="auto"/>
              <w:jc w:val="center"/>
              <w:rPr>
                <w:rFonts w:ascii="Times New Roman" w:hAnsi="Times New Roman" w:cs="Times New Roman"/>
                <w:color w:val="000000" w:themeColor="text1"/>
                <w:sz w:val="16"/>
                <w:szCs w:val="16"/>
              </w:rPr>
            </w:pPr>
            <w:r w:rsidRPr="00B9476D">
              <w:rPr>
                <w:rFonts w:ascii="Times New Roman" w:hAnsi="Times New Roman" w:cs="Times New Roman"/>
                <w:color w:val="000000" w:themeColor="text1"/>
                <w:sz w:val="16"/>
                <w:szCs w:val="16"/>
              </w:rPr>
              <w:t>ENG</w:t>
            </w:r>
          </w:p>
        </w:tc>
        <w:tc>
          <w:tcPr>
            <w:tcW w:w="1995" w:type="dxa"/>
            <w:vMerge/>
            <w:tcMar>
              <w:top w:w="100" w:type="dxa"/>
              <w:left w:w="100" w:type="dxa"/>
              <w:bottom w:w="100" w:type="dxa"/>
              <w:right w:w="100" w:type="dxa"/>
            </w:tcMar>
          </w:tcPr>
          <w:p w14:paraId="20D44EBE" w14:textId="77777777" w:rsidR="00F679C0" w:rsidRPr="00B9476D" w:rsidRDefault="00F679C0" w:rsidP="00B9476D">
            <w:pPr>
              <w:spacing w:line="240" w:lineRule="auto"/>
              <w:jc w:val="center"/>
              <w:rPr>
                <w:rFonts w:ascii="Times New Roman" w:hAnsi="Times New Roman" w:cs="Times New Roman"/>
                <w:color w:val="000000" w:themeColor="text1"/>
                <w:sz w:val="16"/>
                <w:szCs w:val="16"/>
              </w:rPr>
            </w:pPr>
          </w:p>
        </w:tc>
        <w:tc>
          <w:tcPr>
            <w:tcW w:w="1335" w:type="dxa"/>
            <w:tcMar>
              <w:top w:w="100" w:type="dxa"/>
              <w:left w:w="100" w:type="dxa"/>
              <w:bottom w:w="100" w:type="dxa"/>
              <w:right w:w="100" w:type="dxa"/>
            </w:tcMar>
          </w:tcPr>
          <w:p w14:paraId="0BDD82CD" w14:textId="77777777" w:rsidR="00F679C0" w:rsidRPr="00B9476D" w:rsidRDefault="00E45E40" w:rsidP="00B9476D">
            <w:pPr>
              <w:spacing w:line="240" w:lineRule="auto"/>
              <w:jc w:val="center"/>
              <w:rPr>
                <w:rFonts w:ascii="Times New Roman" w:hAnsi="Times New Roman" w:cs="Times New Roman"/>
                <w:color w:val="000000" w:themeColor="text1"/>
                <w:sz w:val="16"/>
                <w:szCs w:val="16"/>
              </w:rPr>
            </w:pPr>
            <w:r w:rsidRPr="00B9476D">
              <w:rPr>
                <w:rFonts w:ascii="Times New Roman" w:hAnsi="Times New Roman" w:cs="Times New Roman"/>
                <w:color w:val="000000" w:themeColor="text1"/>
                <w:sz w:val="16"/>
                <w:szCs w:val="16"/>
              </w:rPr>
              <w:t>1.2</w:t>
            </w:r>
          </w:p>
        </w:tc>
        <w:tc>
          <w:tcPr>
            <w:tcW w:w="2855" w:type="dxa"/>
            <w:tcMar>
              <w:top w:w="100" w:type="dxa"/>
              <w:left w:w="100" w:type="dxa"/>
              <w:bottom w:w="100" w:type="dxa"/>
              <w:right w:w="100" w:type="dxa"/>
            </w:tcMar>
          </w:tcPr>
          <w:p w14:paraId="4BEFB9A7" w14:textId="77777777" w:rsidR="00F679C0" w:rsidRPr="00B9476D" w:rsidRDefault="00E45E40" w:rsidP="00B9476D">
            <w:pPr>
              <w:spacing w:line="240" w:lineRule="auto"/>
              <w:jc w:val="center"/>
              <w:rPr>
                <w:rFonts w:ascii="Times New Roman" w:hAnsi="Times New Roman" w:cs="Times New Roman"/>
                <w:color w:val="000000" w:themeColor="text1"/>
                <w:sz w:val="16"/>
                <w:szCs w:val="16"/>
              </w:rPr>
            </w:pPr>
            <w:r w:rsidRPr="00B9476D">
              <w:rPr>
                <w:rFonts w:ascii="Times New Roman" w:hAnsi="Times New Roman" w:cs="Times New Roman"/>
                <w:color w:val="000000" w:themeColor="text1"/>
                <w:sz w:val="16"/>
                <w:szCs w:val="16"/>
              </w:rPr>
              <w:t xml:space="preserve">   7,800 (7,800, 7,800)</w:t>
            </w:r>
          </w:p>
        </w:tc>
        <w:tc>
          <w:tcPr>
            <w:tcW w:w="2855" w:type="dxa"/>
            <w:tcMar>
              <w:top w:w="100" w:type="dxa"/>
              <w:left w:w="100" w:type="dxa"/>
              <w:bottom w:w="100" w:type="dxa"/>
              <w:right w:w="100" w:type="dxa"/>
            </w:tcMar>
          </w:tcPr>
          <w:p w14:paraId="46B22AF0" w14:textId="77777777" w:rsidR="00F679C0" w:rsidRPr="00B9476D" w:rsidRDefault="00E45E40" w:rsidP="00B9476D">
            <w:pPr>
              <w:spacing w:line="240" w:lineRule="auto"/>
              <w:jc w:val="center"/>
              <w:rPr>
                <w:rFonts w:ascii="Times New Roman" w:hAnsi="Times New Roman" w:cs="Times New Roman"/>
                <w:color w:val="000000" w:themeColor="text1"/>
                <w:sz w:val="16"/>
                <w:szCs w:val="16"/>
              </w:rPr>
            </w:pPr>
            <w:r w:rsidRPr="00B9476D">
              <w:rPr>
                <w:rFonts w:ascii="Times New Roman" w:hAnsi="Times New Roman" w:cs="Times New Roman"/>
                <w:color w:val="000000" w:themeColor="text1"/>
                <w:sz w:val="16"/>
                <w:szCs w:val="16"/>
              </w:rPr>
              <w:t>17,400 (16,100, 19,100)</w:t>
            </w:r>
          </w:p>
        </w:tc>
        <w:tc>
          <w:tcPr>
            <w:tcW w:w="2855" w:type="dxa"/>
            <w:tcMar>
              <w:top w:w="100" w:type="dxa"/>
              <w:left w:w="100" w:type="dxa"/>
              <w:bottom w:w="100" w:type="dxa"/>
              <w:right w:w="100" w:type="dxa"/>
            </w:tcMar>
          </w:tcPr>
          <w:p w14:paraId="3C2608E9" w14:textId="77777777" w:rsidR="00F679C0" w:rsidRPr="00B9476D" w:rsidRDefault="00E45E40" w:rsidP="00B9476D">
            <w:pPr>
              <w:spacing w:line="240" w:lineRule="auto"/>
              <w:jc w:val="center"/>
              <w:rPr>
                <w:rFonts w:ascii="Times New Roman" w:hAnsi="Times New Roman" w:cs="Times New Roman"/>
                <w:color w:val="000000" w:themeColor="text1"/>
                <w:sz w:val="16"/>
                <w:szCs w:val="16"/>
              </w:rPr>
            </w:pPr>
            <w:r w:rsidRPr="00B9476D">
              <w:rPr>
                <w:rFonts w:ascii="Times New Roman" w:hAnsi="Times New Roman" w:cs="Times New Roman"/>
                <w:color w:val="000000" w:themeColor="text1"/>
                <w:sz w:val="16"/>
                <w:szCs w:val="16"/>
              </w:rPr>
              <w:t xml:space="preserve">   2,600 (2,400, 2,900)</w:t>
            </w:r>
          </w:p>
        </w:tc>
      </w:tr>
      <w:tr w:rsidR="00932369" w:rsidRPr="00B9476D" w14:paraId="7F7C751E" w14:textId="77777777" w:rsidTr="003D40FA">
        <w:trPr>
          <w:trHeight w:val="47"/>
        </w:trPr>
        <w:tc>
          <w:tcPr>
            <w:tcW w:w="1065" w:type="dxa"/>
            <w:tcMar>
              <w:top w:w="100" w:type="dxa"/>
              <w:left w:w="100" w:type="dxa"/>
              <w:bottom w:w="100" w:type="dxa"/>
              <w:right w:w="100" w:type="dxa"/>
            </w:tcMar>
          </w:tcPr>
          <w:p w14:paraId="59DCD121" w14:textId="77777777" w:rsidR="00F679C0" w:rsidRPr="00B9476D" w:rsidRDefault="00E45E40" w:rsidP="00B9476D">
            <w:pPr>
              <w:spacing w:line="240" w:lineRule="auto"/>
              <w:jc w:val="center"/>
              <w:rPr>
                <w:rFonts w:ascii="Times New Roman" w:hAnsi="Times New Roman" w:cs="Times New Roman"/>
                <w:color w:val="000000" w:themeColor="text1"/>
                <w:sz w:val="16"/>
                <w:szCs w:val="16"/>
              </w:rPr>
            </w:pPr>
            <w:r w:rsidRPr="00B9476D">
              <w:rPr>
                <w:rFonts w:ascii="Times New Roman" w:hAnsi="Times New Roman" w:cs="Times New Roman"/>
                <w:color w:val="000000" w:themeColor="text1"/>
                <w:sz w:val="16"/>
                <w:szCs w:val="16"/>
              </w:rPr>
              <w:t>grouped</w:t>
            </w:r>
          </w:p>
        </w:tc>
        <w:tc>
          <w:tcPr>
            <w:tcW w:w="1995" w:type="dxa"/>
            <w:vMerge/>
            <w:tcMar>
              <w:top w:w="100" w:type="dxa"/>
              <w:left w:w="100" w:type="dxa"/>
              <w:bottom w:w="100" w:type="dxa"/>
              <w:right w:w="100" w:type="dxa"/>
            </w:tcMar>
          </w:tcPr>
          <w:p w14:paraId="074FC75E" w14:textId="77777777" w:rsidR="00F679C0" w:rsidRPr="00B9476D" w:rsidRDefault="00F679C0" w:rsidP="00B9476D">
            <w:pPr>
              <w:spacing w:line="240" w:lineRule="auto"/>
              <w:jc w:val="center"/>
              <w:rPr>
                <w:rFonts w:ascii="Times New Roman" w:hAnsi="Times New Roman" w:cs="Times New Roman"/>
                <w:color w:val="000000" w:themeColor="text1"/>
                <w:sz w:val="16"/>
                <w:szCs w:val="16"/>
              </w:rPr>
            </w:pPr>
          </w:p>
        </w:tc>
        <w:tc>
          <w:tcPr>
            <w:tcW w:w="1335" w:type="dxa"/>
            <w:tcMar>
              <w:top w:w="100" w:type="dxa"/>
              <w:left w:w="100" w:type="dxa"/>
              <w:bottom w:w="100" w:type="dxa"/>
              <w:right w:w="100" w:type="dxa"/>
            </w:tcMar>
          </w:tcPr>
          <w:p w14:paraId="1AA0159A" w14:textId="77777777" w:rsidR="00F679C0" w:rsidRPr="00B9476D" w:rsidRDefault="00E45E40" w:rsidP="00B9476D">
            <w:pPr>
              <w:spacing w:line="240" w:lineRule="auto"/>
              <w:jc w:val="center"/>
              <w:rPr>
                <w:rFonts w:ascii="Times New Roman" w:hAnsi="Times New Roman" w:cs="Times New Roman"/>
                <w:color w:val="000000" w:themeColor="text1"/>
                <w:sz w:val="16"/>
                <w:szCs w:val="16"/>
              </w:rPr>
            </w:pPr>
            <w:r w:rsidRPr="00B9476D">
              <w:rPr>
                <w:rFonts w:ascii="Times New Roman" w:hAnsi="Times New Roman" w:cs="Times New Roman"/>
                <w:color w:val="000000" w:themeColor="text1"/>
                <w:sz w:val="16"/>
                <w:szCs w:val="16"/>
              </w:rPr>
              <w:t>1.2</w:t>
            </w:r>
          </w:p>
        </w:tc>
        <w:tc>
          <w:tcPr>
            <w:tcW w:w="2855" w:type="dxa"/>
            <w:tcMar>
              <w:top w:w="100" w:type="dxa"/>
              <w:left w:w="100" w:type="dxa"/>
              <w:bottom w:w="100" w:type="dxa"/>
              <w:right w:w="100" w:type="dxa"/>
            </w:tcMar>
          </w:tcPr>
          <w:p w14:paraId="0A696E1F" w14:textId="77777777" w:rsidR="00F679C0" w:rsidRPr="00B9476D" w:rsidRDefault="00E45E40" w:rsidP="00B9476D">
            <w:pPr>
              <w:spacing w:line="240" w:lineRule="auto"/>
              <w:jc w:val="center"/>
              <w:rPr>
                <w:rFonts w:ascii="Times New Roman" w:hAnsi="Times New Roman" w:cs="Times New Roman"/>
                <w:color w:val="000000" w:themeColor="text1"/>
                <w:sz w:val="16"/>
                <w:szCs w:val="16"/>
              </w:rPr>
            </w:pPr>
            <w:r w:rsidRPr="00B9476D">
              <w:rPr>
                <w:rFonts w:ascii="Times New Roman" w:hAnsi="Times New Roman" w:cs="Times New Roman"/>
                <w:color w:val="000000" w:themeColor="text1"/>
                <w:sz w:val="16"/>
                <w:szCs w:val="16"/>
              </w:rPr>
              <w:t xml:space="preserve">   7,400 (7,400, 7,400)</w:t>
            </w:r>
          </w:p>
        </w:tc>
        <w:tc>
          <w:tcPr>
            <w:tcW w:w="2855" w:type="dxa"/>
            <w:tcMar>
              <w:top w:w="100" w:type="dxa"/>
              <w:left w:w="100" w:type="dxa"/>
              <w:bottom w:w="100" w:type="dxa"/>
              <w:right w:w="100" w:type="dxa"/>
            </w:tcMar>
          </w:tcPr>
          <w:p w14:paraId="09B23F15" w14:textId="77777777" w:rsidR="00F679C0" w:rsidRPr="00B9476D" w:rsidRDefault="00E45E40" w:rsidP="00B9476D">
            <w:pPr>
              <w:spacing w:line="240" w:lineRule="auto"/>
              <w:jc w:val="center"/>
              <w:rPr>
                <w:rFonts w:ascii="Times New Roman" w:hAnsi="Times New Roman" w:cs="Times New Roman"/>
                <w:color w:val="000000" w:themeColor="text1"/>
                <w:sz w:val="16"/>
                <w:szCs w:val="16"/>
              </w:rPr>
            </w:pPr>
            <w:r w:rsidRPr="00B9476D">
              <w:rPr>
                <w:rFonts w:ascii="Times New Roman" w:hAnsi="Times New Roman" w:cs="Times New Roman"/>
                <w:color w:val="000000" w:themeColor="text1"/>
                <w:sz w:val="16"/>
                <w:szCs w:val="16"/>
              </w:rPr>
              <w:t>24,700 (22,500, 27,100)</w:t>
            </w:r>
          </w:p>
        </w:tc>
        <w:tc>
          <w:tcPr>
            <w:tcW w:w="2855" w:type="dxa"/>
            <w:tcMar>
              <w:top w:w="100" w:type="dxa"/>
              <w:left w:w="100" w:type="dxa"/>
              <w:bottom w:w="100" w:type="dxa"/>
              <w:right w:w="100" w:type="dxa"/>
            </w:tcMar>
          </w:tcPr>
          <w:p w14:paraId="162AB55D" w14:textId="77777777" w:rsidR="00F679C0" w:rsidRPr="00B9476D" w:rsidRDefault="00E45E40" w:rsidP="00B9476D">
            <w:pPr>
              <w:spacing w:line="240" w:lineRule="auto"/>
              <w:jc w:val="center"/>
              <w:rPr>
                <w:rFonts w:ascii="Times New Roman" w:hAnsi="Times New Roman" w:cs="Times New Roman"/>
                <w:color w:val="000000" w:themeColor="text1"/>
                <w:sz w:val="16"/>
                <w:szCs w:val="16"/>
              </w:rPr>
            </w:pPr>
            <w:r w:rsidRPr="00B9476D">
              <w:rPr>
                <w:rFonts w:ascii="Times New Roman" w:hAnsi="Times New Roman" w:cs="Times New Roman"/>
                <w:color w:val="000000" w:themeColor="text1"/>
                <w:sz w:val="16"/>
                <w:szCs w:val="16"/>
              </w:rPr>
              <w:t xml:space="preserve">   3,400 (3,100, 3,900)</w:t>
            </w:r>
          </w:p>
        </w:tc>
      </w:tr>
      <w:tr w:rsidR="00932369" w:rsidRPr="00B9476D" w14:paraId="4FC25282" w14:textId="77777777" w:rsidTr="003D40FA">
        <w:trPr>
          <w:trHeight w:val="20"/>
        </w:trPr>
        <w:tc>
          <w:tcPr>
            <w:tcW w:w="1065" w:type="dxa"/>
            <w:tcMar>
              <w:top w:w="100" w:type="dxa"/>
              <w:left w:w="100" w:type="dxa"/>
              <w:bottom w:w="100" w:type="dxa"/>
              <w:right w:w="100" w:type="dxa"/>
            </w:tcMar>
          </w:tcPr>
          <w:p w14:paraId="64A5F2E9" w14:textId="77777777" w:rsidR="00F679C0" w:rsidRPr="00B9476D" w:rsidRDefault="00E45E40" w:rsidP="00B9476D">
            <w:pPr>
              <w:spacing w:line="240" w:lineRule="auto"/>
              <w:jc w:val="center"/>
              <w:rPr>
                <w:rFonts w:ascii="Times New Roman" w:hAnsi="Times New Roman" w:cs="Times New Roman"/>
                <w:color w:val="000000" w:themeColor="text1"/>
                <w:sz w:val="16"/>
                <w:szCs w:val="16"/>
              </w:rPr>
            </w:pPr>
            <w:r w:rsidRPr="00B9476D">
              <w:rPr>
                <w:rFonts w:ascii="Times New Roman" w:hAnsi="Times New Roman" w:cs="Times New Roman"/>
                <w:color w:val="000000" w:themeColor="text1"/>
                <w:sz w:val="16"/>
                <w:szCs w:val="16"/>
              </w:rPr>
              <w:t>ENG</w:t>
            </w:r>
          </w:p>
        </w:tc>
        <w:tc>
          <w:tcPr>
            <w:tcW w:w="1995" w:type="dxa"/>
            <w:vMerge/>
            <w:tcMar>
              <w:top w:w="100" w:type="dxa"/>
              <w:left w:w="100" w:type="dxa"/>
              <w:bottom w:w="100" w:type="dxa"/>
              <w:right w:w="100" w:type="dxa"/>
            </w:tcMar>
          </w:tcPr>
          <w:p w14:paraId="4D64CDF4" w14:textId="77777777" w:rsidR="00F679C0" w:rsidRPr="00B9476D" w:rsidRDefault="00F679C0" w:rsidP="00B9476D">
            <w:pPr>
              <w:spacing w:line="240" w:lineRule="auto"/>
              <w:jc w:val="center"/>
              <w:rPr>
                <w:rFonts w:ascii="Times New Roman" w:hAnsi="Times New Roman" w:cs="Times New Roman"/>
                <w:color w:val="000000" w:themeColor="text1"/>
                <w:sz w:val="16"/>
                <w:szCs w:val="16"/>
              </w:rPr>
            </w:pPr>
          </w:p>
        </w:tc>
        <w:tc>
          <w:tcPr>
            <w:tcW w:w="1335" w:type="dxa"/>
            <w:tcMar>
              <w:top w:w="100" w:type="dxa"/>
              <w:left w:w="100" w:type="dxa"/>
              <w:bottom w:w="100" w:type="dxa"/>
              <w:right w:w="100" w:type="dxa"/>
            </w:tcMar>
          </w:tcPr>
          <w:p w14:paraId="2F3DE667" w14:textId="77777777" w:rsidR="00F679C0" w:rsidRPr="00B9476D" w:rsidRDefault="00E45E40" w:rsidP="00B9476D">
            <w:pPr>
              <w:spacing w:line="240" w:lineRule="auto"/>
              <w:jc w:val="center"/>
              <w:rPr>
                <w:rFonts w:ascii="Times New Roman" w:hAnsi="Times New Roman" w:cs="Times New Roman"/>
                <w:color w:val="000000" w:themeColor="text1"/>
                <w:sz w:val="16"/>
                <w:szCs w:val="16"/>
              </w:rPr>
            </w:pPr>
            <w:r w:rsidRPr="00B9476D">
              <w:rPr>
                <w:rFonts w:ascii="Times New Roman" w:hAnsi="Times New Roman" w:cs="Times New Roman"/>
                <w:color w:val="000000" w:themeColor="text1"/>
                <w:sz w:val="16"/>
                <w:szCs w:val="16"/>
              </w:rPr>
              <w:t>rt</w:t>
            </w:r>
          </w:p>
        </w:tc>
        <w:tc>
          <w:tcPr>
            <w:tcW w:w="2855" w:type="dxa"/>
            <w:tcMar>
              <w:top w:w="100" w:type="dxa"/>
              <w:left w:w="100" w:type="dxa"/>
              <w:bottom w:w="100" w:type="dxa"/>
              <w:right w:w="100" w:type="dxa"/>
            </w:tcMar>
          </w:tcPr>
          <w:p w14:paraId="74BCD24F" w14:textId="77777777" w:rsidR="00F679C0" w:rsidRPr="00B9476D" w:rsidRDefault="00E45E40" w:rsidP="00B9476D">
            <w:pPr>
              <w:spacing w:line="240" w:lineRule="auto"/>
              <w:jc w:val="center"/>
              <w:rPr>
                <w:rFonts w:ascii="Times New Roman" w:hAnsi="Times New Roman" w:cs="Times New Roman"/>
                <w:color w:val="000000" w:themeColor="text1"/>
                <w:sz w:val="16"/>
                <w:szCs w:val="16"/>
              </w:rPr>
            </w:pPr>
            <w:r w:rsidRPr="00B9476D">
              <w:rPr>
                <w:rFonts w:ascii="Times New Roman" w:hAnsi="Times New Roman" w:cs="Times New Roman"/>
                <w:color w:val="000000" w:themeColor="text1"/>
                <w:sz w:val="16"/>
                <w:szCs w:val="16"/>
              </w:rPr>
              <w:t xml:space="preserve">   7,800 (7,800, 7,800)</w:t>
            </w:r>
          </w:p>
        </w:tc>
        <w:tc>
          <w:tcPr>
            <w:tcW w:w="2855" w:type="dxa"/>
            <w:tcMar>
              <w:top w:w="100" w:type="dxa"/>
              <w:left w:w="100" w:type="dxa"/>
              <w:bottom w:w="100" w:type="dxa"/>
              <w:right w:w="100" w:type="dxa"/>
            </w:tcMar>
          </w:tcPr>
          <w:p w14:paraId="0ADD1930" w14:textId="77777777" w:rsidR="00F679C0" w:rsidRPr="00B9476D" w:rsidRDefault="00E45E40" w:rsidP="00B9476D">
            <w:pPr>
              <w:spacing w:line="240" w:lineRule="auto"/>
              <w:jc w:val="center"/>
              <w:rPr>
                <w:rFonts w:ascii="Times New Roman" w:hAnsi="Times New Roman" w:cs="Times New Roman"/>
                <w:color w:val="000000" w:themeColor="text1"/>
                <w:sz w:val="16"/>
                <w:szCs w:val="16"/>
              </w:rPr>
            </w:pPr>
            <w:r w:rsidRPr="00B9476D">
              <w:rPr>
                <w:rFonts w:ascii="Times New Roman" w:hAnsi="Times New Roman" w:cs="Times New Roman"/>
                <w:color w:val="000000" w:themeColor="text1"/>
                <w:sz w:val="16"/>
                <w:szCs w:val="16"/>
              </w:rPr>
              <w:t>17,400 (16,100, 19,100)</w:t>
            </w:r>
          </w:p>
        </w:tc>
        <w:tc>
          <w:tcPr>
            <w:tcW w:w="2855" w:type="dxa"/>
            <w:tcMar>
              <w:top w:w="100" w:type="dxa"/>
              <w:left w:w="100" w:type="dxa"/>
              <w:bottom w:w="100" w:type="dxa"/>
              <w:right w:w="100" w:type="dxa"/>
            </w:tcMar>
          </w:tcPr>
          <w:p w14:paraId="5F1BFCE9" w14:textId="77777777" w:rsidR="00F679C0" w:rsidRPr="00B9476D" w:rsidRDefault="00E45E40" w:rsidP="00B9476D">
            <w:pPr>
              <w:spacing w:line="240" w:lineRule="auto"/>
              <w:jc w:val="center"/>
              <w:rPr>
                <w:rFonts w:ascii="Times New Roman" w:hAnsi="Times New Roman" w:cs="Times New Roman"/>
                <w:color w:val="000000" w:themeColor="text1"/>
                <w:sz w:val="16"/>
                <w:szCs w:val="16"/>
              </w:rPr>
            </w:pPr>
            <w:r w:rsidRPr="00B9476D">
              <w:rPr>
                <w:rFonts w:ascii="Times New Roman" w:hAnsi="Times New Roman" w:cs="Times New Roman"/>
                <w:color w:val="000000" w:themeColor="text1"/>
                <w:sz w:val="16"/>
                <w:szCs w:val="16"/>
              </w:rPr>
              <w:t xml:space="preserve">   1,600 (1,500, 1,700)</w:t>
            </w:r>
          </w:p>
        </w:tc>
      </w:tr>
      <w:tr w:rsidR="00932369" w:rsidRPr="00B9476D" w14:paraId="605E4880" w14:textId="77777777" w:rsidTr="003D40FA">
        <w:trPr>
          <w:trHeight w:val="20"/>
        </w:trPr>
        <w:tc>
          <w:tcPr>
            <w:tcW w:w="1065" w:type="dxa"/>
            <w:tcMar>
              <w:top w:w="100" w:type="dxa"/>
              <w:left w:w="100" w:type="dxa"/>
              <w:bottom w:w="100" w:type="dxa"/>
              <w:right w:w="100" w:type="dxa"/>
            </w:tcMar>
          </w:tcPr>
          <w:p w14:paraId="6CE41339" w14:textId="77777777" w:rsidR="00F679C0" w:rsidRPr="00B9476D" w:rsidRDefault="00E45E40" w:rsidP="00B9476D">
            <w:pPr>
              <w:spacing w:line="240" w:lineRule="auto"/>
              <w:jc w:val="center"/>
              <w:rPr>
                <w:rFonts w:ascii="Times New Roman" w:hAnsi="Times New Roman" w:cs="Times New Roman"/>
                <w:color w:val="000000" w:themeColor="text1"/>
                <w:sz w:val="16"/>
                <w:szCs w:val="16"/>
              </w:rPr>
            </w:pPr>
            <w:r w:rsidRPr="00B9476D">
              <w:rPr>
                <w:rFonts w:ascii="Times New Roman" w:hAnsi="Times New Roman" w:cs="Times New Roman"/>
                <w:color w:val="000000" w:themeColor="text1"/>
                <w:sz w:val="16"/>
                <w:szCs w:val="16"/>
              </w:rPr>
              <w:t>grouped</w:t>
            </w:r>
          </w:p>
        </w:tc>
        <w:tc>
          <w:tcPr>
            <w:tcW w:w="1995" w:type="dxa"/>
            <w:vMerge/>
            <w:tcMar>
              <w:top w:w="100" w:type="dxa"/>
              <w:left w:w="100" w:type="dxa"/>
              <w:bottom w:w="100" w:type="dxa"/>
              <w:right w:w="100" w:type="dxa"/>
            </w:tcMar>
          </w:tcPr>
          <w:p w14:paraId="04C27549" w14:textId="77777777" w:rsidR="00F679C0" w:rsidRPr="00B9476D" w:rsidRDefault="00F679C0" w:rsidP="00B9476D">
            <w:pPr>
              <w:spacing w:line="240" w:lineRule="auto"/>
              <w:jc w:val="center"/>
              <w:rPr>
                <w:rFonts w:ascii="Times New Roman" w:hAnsi="Times New Roman" w:cs="Times New Roman"/>
                <w:color w:val="000000" w:themeColor="text1"/>
                <w:sz w:val="16"/>
                <w:szCs w:val="16"/>
              </w:rPr>
            </w:pPr>
          </w:p>
        </w:tc>
        <w:tc>
          <w:tcPr>
            <w:tcW w:w="1335" w:type="dxa"/>
            <w:tcMar>
              <w:top w:w="100" w:type="dxa"/>
              <w:left w:w="100" w:type="dxa"/>
              <w:bottom w:w="100" w:type="dxa"/>
              <w:right w:w="100" w:type="dxa"/>
            </w:tcMar>
          </w:tcPr>
          <w:p w14:paraId="331A237F" w14:textId="77777777" w:rsidR="00F679C0" w:rsidRPr="00B9476D" w:rsidRDefault="00E45E40" w:rsidP="00B9476D">
            <w:pPr>
              <w:spacing w:line="240" w:lineRule="auto"/>
              <w:jc w:val="center"/>
              <w:rPr>
                <w:rFonts w:ascii="Times New Roman" w:hAnsi="Times New Roman" w:cs="Times New Roman"/>
                <w:color w:val="000000" w:themeColor="text1"/>
                <w:sz w:val="16"/>
                <w:szCs w:val="16"/>
              </w:rPr>
            </w:pPr>
            <w:r w:rsidRPr="00B9476D">
              <w:rPr>
                <w:rFonts w:ascii="Times New Roman" w:hAnsi="Times New Roman" w:cs="Times New Roman"/>
                <w:color w:val="000000" w:themeColor="text1"/>
                <w:sz w:val="16"/>
                <w:szCs w:val="16"/>
              </w:rPr>
              <w:t>rt</w:t>
            </w:r>
          </w:p>
        </w:tc>
        <w:tc>
          <w:tcPr>
            <w:tcW w:w="2855" w:type="dxa"/>
            <w:tcMar>
              <w:top w:w="100" w:type="dxa"/>
              <w:left w:w="100" w:type="dxa"/>
              <w:bottom w:w="100" w:type="dxa"/>
              <w:right w:w="100" w:type="dxa"/>
            </w:tcMar>
          </w:tcPr>
          <w:p w14:paraId="0CD09EE6" w14:textId="77777777" w:rsidR="00F679C0" w:rsidRPr="00B9476D" w:rsidRDefault="00E45E40" w:rsidP="00B9476D">
            <w:pPr>
              <w:spacing w:line="240" w:lineRule="auto"/>
              <w:jc w:val="center"/>
              <w:rPr>
                <w:rFonts w:ascii="Times New Roman" w:hAnsi="Times New Roman" w:cs="Times New Roman"/>
                <w:color w:val="000000" w:themeColor="text1"/>
                <w:sz w:val="16"/>
                <w:szCs w:val="16"/>
              </w:rPr>
            </w:pPr>
            <w:r w:rsidRPr="00B9476D">
              <w:rPr>
                <w:rFonts w:ascii="Times New Roman" w:hAnsi="Times New Roman" w:cs="Times New Roman"/>
                <w:color w:val="000000" w:themeColor="text1"/>
                <w:sz w:val="16"/>
                <w:szCs w:val="16"/>
              </w:rPr>
              <w:t xml:space="preserve">   7,400 (7,400, 7,400)</w:t>
            </w:r>
          </w:p>
        </w:tc>
        <w:tc>
          <w:tcPr>
            <w:tcW w:w="2855" w:type="dxa"/>
            <w:tcMar>
              <w:top w:w="100" w:type="dxa"/>
              <w:left w:w="100" w:type="dxa"/>
              <w:bottom w:w="100" w:type="dxa"/>
              <w:right w:w="100" w:type="dxa"/>
            </w:tcMar>
          </w:tcPr>
          <w:p w14:paraId="3A6C9647" w14:textId="77777777" w:rsidR="00F679C0" w:rsidRPr="00B9476D" w:rsidRDefault="00E45E40" w:rsidP="00B9476D">
            <w:pPr>
              <w:spacing w:line="240" w:lineRule="auto"/>
              <w:jc w:val="center"/>
              <w:rPr>
                <w:rFonts w:ascii="Times New Roman" w:hAnsi="Times New Roman" w:cs="Times New Roman"/>
                <w:color w:val="000000" w:themeColor="text1"/>
                <w:sz w:val="16"/>
                <w:szCs w:val="16"/>
              </w:rPr>
            </w:pPr>
            <w:r w:rsidRPr="00B9476D">
              <w:rPr>
                <w:rFonts w:ascii="Times New Roman" w:hAnsi="Times New Roman" w:cs="Times New Roman"/>
                <w:color w:val="000000" w:themeColor="text1"/>
                <w:sz w:val="16"/>
                <w:szCs w:val="16"/>
              </w:rPr>
              <w:t>24,700 (22,500, 27,100)</w:t>
            </w:r>
          </w:p>
        </w:tc>
        <w:tc>
          <w:tcPr>
            <w:tcW w:w="2855" w:type="dxa"/>
            <w:tcMar>
              <w:top w:w="100" w:type="dxa"/>
              <w:left w:w="100" w:type="dxa"/>
              <w:bottom w:w="100" w:type="dxa"/>
              <w:right w:w="100" w:type="dxa"/>
            </w:tcMar>
          </w:tcPr>
          <w:p w14:paraId="72CDE886" w14:textId="77777777" w:rsidR="00F679C0" w:rsidRPr="00B9476D" w:rsidRDefault="00E45E40" w:rsidP="00B9476D">
            <w:pPr>
              <w:spacing w:line="240" w:lineRule="auto"/>
              <w:jc w:val="center"/>
              <w:rPr>
                <w:rFonts w:ascii="Times New Roman" w:hAnsi="Times New Roman" w:cs="Times New Roman"/>
                <w:color w:val="000000" w:themeColor="text1"/>
                <w:sz w:val="16"/>
                <w:szCs w:val="16"/>
              </w:rPr>
            </w:pPr>
            <w:r w:rsidRPr="00B9476D">
              <w:rPr>
                <w:rFonts w:ascii="Times New Roman" w:hAnsi="Times New Roman" w:cs="Times New Roman"/>
                <w:color w:val="000000" w:themeColor="text1"/>
                <w:sz w:val="16"/>
                <w:szCs w:val="16"/>
              </w:rPr>
              <w:t xml:space="preserve">   2,400 (2,200, 2,600)</w:t>
            </w:r>
          </w:p>
        </w:tc>
      </w:tr>
      <w:tr w:rsidR="00932369" w:rsidRPr="00B9476D" w14:paraId="3DC76EF6" w14:textId="77777777" w:rsidTr="003D40FA">
        <w:trPr>
          <w:trHeight w:val="20"/>
        </w:trPr>
        <w:tc>
          <w:tcPr>
            <w:tcW w:w="1065" w:type="dxa"/>
            <w:tcMar>
              <w:top w:w="100" w:type="dxa"/>
              <w:left w:w="100" w:type="dxa"/>
              <w:bottom w:w="100" w:type="dxa"/>
              <w:right w:w="100" w:type="dxa"/>
            </w:tcMar>
          </w:tcPr>
          <w:p w14:paraId="1C103F07" w14:textId="77777777" w:rsidR="00F679C0" w:rsidRPr="00B9476D" w:rsidRDefault="00E45E40" w:rsidP="00B9476D">
            <w:pPr>
              <w:spacing w:line="240" w:lineRule="auto"/>
              <w:jc w:val="center"/>
              <w:rPr>
                <w:rFonts w:ascii="Times New Roman" w:hAnsi="Times New Roman" w:cs="Times New Roman"/>
                <w:b/>
                <w:color w:val="000000" w:themeColor="text1"/>
                <w:sz w:val="16"/>
                <w:szCs w:val="16"/>
              </w:rPr>
            </w:pPr>
            <w:r w:rsidRPr="00B9476D">
              <w:rPr>
                <w:rFonts w:ascii="Times New Roman" w:hAnsi="Times New Roman" w:cs="Times New Roman"/>
                <w:b/>
                <w:color w:val="000000" w:themeColor="text1"/>
                <w:sz w:val="16"/>
                <w:szCs w:val="16"/>
              </w:rPr>
              <w:t>ENG</w:t>
            </w:r>
          </w:p>
        </w:tc>
        <w:tc>
          <w:tcPr>
            <w:tcW w:w="1995" w:type="dxa"/>
            <w:vMerge w:val="restart"/>
            <w:tcMar>
              <w:top w:w="100" w:type="dxa"/>
              <w:left w:w="100" w:type="dxa"/>
              <w:bottom w:w="100" w:type="dxa"/>
              <w:right w:w="100" w:type="dxa"/>
            </w:tcMar>
          </w:tcPr>
          <w:p w14:paraId="364EB1EE" w14:textId="77777777" w:rsidR="00F679C0" w:rsidRPr="00B9476D" w:rsidRDefault="00E45E40" w:rsidP="00B9476D">
            <w:pPr>
              <w:spacing w:line="240" w:lineRule="auto"/>
              <w:jc w:val="center"/>
              <w:rPr>
                <w:rFonts w:ascii="Times New Roman" w:hAnsi="Times New Roman" w:cs="Times New Roman"/>
                <w:color w:val="000000" w:themeColor="text1"/>
                <w:sz w:val="16"/>
                <w:szCs w:val="16"/>
              </w:rPr>
            </w:pPr>
            <w:r w:rsidRPr="00B9476D">
              <w:rPr>
                <w:rFonts w:ascii="Times New Roman" w:hAnsi="Times New Roman" w:cs="Times New Roman"/>
                <w:b/>
                <w:color w:val="000000" w:themeColor="text1"/>
                <w:sz w:val="16"/>
                <w:szCs w:val="16"/>
              </w:rPr>
              <w:t>8</w:t>
            </w:r>
          </w:p>
        </w:tc>
        <w:tc>
          <w:tcPr>
            <w:tcW w:w="1335" w:type="dxa"/>
            <w:tcMar>
              <w:top w:w="100" w:type="dxa"/>
              <w:left w:w="100" w:type="dxa"/>
              <w:bottom w:w="100" w:type="dxa"/>
              <w:right w:w="100" w:type="dxa"/>
            </w:tcMar>
          </w:tcPr>
          <w:p w14:paraId="040CCEC2" w14:textId="77777777" w:rsidR="00F679C0" w:rsidRPr="00B9476D" w:rsidRDefault="00E45E40" w:rsidP="00B9476D">
            <w:pPr>
              <w:spacing w:line="240" w:lineRule="auto"/>
              <w:jc w:val="center"/>
              <w:rPr>
                <w:rFonts w:ascii="Times New Roman" w:hAnsi="Times New Roman" w:cs="Times New Roman"/>
                <w:b/>
                <w:color w:val="000000" w:themeColor="text1"/>
                <w:sz w:val="16"/>
                <w:szCs w:val="16"/>
              </w:rPr>
            </w:pPr>
            <w:r w:rsidRPr="00B9476D">
              <w:rPr>
                <w:rFonts w:ascii="Times New Roman" w:hAnsi="Times New Roman" w:cs="Times New Roman"/>
                <w:b/>
                <w:color w:val="000000" w:themeColor="text1"/>
                <w:sz w:val="16"/>
                <w:szCs w:val="16"/>
              </w:rPr>
              <w:t>0.8</w:t>
            </w:r>
          </w:p>
        </w:tc>
        <w:tc>
          <w:tcPr>
            <w:tcW w:w="2855" w:type="dxa"/>
            <w:tcMar>
              <w:top w:w="100" w:type="dxa"/>
              <w:left w:w="100" w:type="dxa"/>
              <w:bottom w:w="100" w:type="dxa"/>
              <w:right w:w="100" w:type="dxa"/>
            </w:tcMar>
          </w:tcPr>
          <w:p w14:paraId="7A648D0A" w14:textId="77777777" w:rsidR="00F679C0" w:rsidRPr="00B9476D" w:rsidRDefault="00E45E40" w:rsidP="00B9476D">
            <w:pPr>
              <w:spacing w:line="240" w:lineRule="auto"/>
              <w:jc w:val="center"/>
              <w:rPr>
                <w:rFonts w:ascii="Times New Roman" w:hAnsi="Times New Roman" w:cs="Times New Roman"/>
                <w:b/>
                <w:color w:val="000000" w:themeColor="text1"/>
                <w:sz w:val="16"/>
                <w:szCs w:val="16"/>
              </w:rPr>
            </w:pPr>
            <w:r w:rsidRPr="00B9476D">
              <w:rPr>
                <w:rFonts w:ascii="Times New Roman" w:hAnsi="Times New Roman" w:cs="Times New Roman"/>
                <w:b/>
                <w:color w:val="000000" w:themeColor="text1"/>
                <w:sz w:val="16"/>
                <w:szCs w:val="16"/>
              </w:rPr>
              <w:t xml:space="preserve">   6,600 (6,600, 6,600)</w:t>
            </w:r>
          </w:p>
        </w:tc>
        <w:tc>
          <w:tcPr>
            <w:tcW w:w="2855" w:type="dxa"/>
            <w:tcMar>
              <w:top w:w="100" w:type="dxa"/>
              <w:left w:w="100" w:type="dxa"/>
              <w:bottom w:w="100" w:type="dxa"/>
              <w:right w:w="100" w:type="dxa"/>
            </w:tcMar>
          </w:tcPr>
          <w:p w14:paraId="7E83AB0B" w14:textId="77777777" w:rsidR="00F679C0" w:rsidRPr="00B9476D" w:rsidRDefault="00E45E40" w:rsidP="00B9476D">
            <w:pPr>
              <w:spacing w:line="240" w:lineRule="auto"/>
              <w:jc w:val="center"/>
              <w:rPr>
                <w:rFonts w:ascii="Times New Roman" w:hAnsi="Times New Roman" w:cs="Times New Roman"/>
                <w:b/>
                <w:color w:val="000000" w:themeColor="text1"/>
                <w:sz w:val="16"/>
                <w:szCs w:val="16"/>
              </w:rPr>
            </w:pPr>
            <w:r w:rsidRPr="00B9476D">
              <w:rPr>
                <w:rFonts w:ascii="Times New Roman" w:hAnsi="Times New Roman" w:cs="Times New Roman"/>
                <w:b/>
                <w:color w:val="000000" w:themeColor="text1"/>
                <w:sz w:val="16"/>
                <w:szCs w:val="16"/>
              </w:rPr>
              <w:t>20,000 (19,300, 21,000)</w:t>
            </w:r>
          </w:p>
        </w:tc>
        <w:tc>
          <w:tcPr>
            <w:tcW w:w="2855" w:type="dxa"/>
            <w:tcMar>
              <w:top w:w="100" w:type="dxa"/>
              <w:left w:w="100" w:type="dxa"/>
              <w:bottom w:w="100" w:type="dxa"/>
              <w:right w:w="100" w:type="dxa"/>
            </w:tcMar>
          </w:tcPr>
          <w:p w14:paraId="1C45D34A" w14:textId="77777777" w:rsidR="00F679C0" w:rsidRPr="00B9476D" w:rsidRDefault="00E45E40" w:rsidP="00B9476D">
            <w:pPr>
              <w:spacing w:line="240" w:lineRule="auto"/>
              <w:jc w:val="center"/>
              <w:rPr>
                <w:rFonts w:ascii="Times New Roman" w:hAnsi="Times New Roman" w:cs="Times New Roman"/>
                <w:b/>
                <w:color w:val="000000" w:themeColor="text1"/>
                <w:sz w:val="16"/>
                <w:szCs w:val="16"/>
              </w:rPr>
            </w:pPr>
            <w:r w:rsidRPr="00B9476D">
              <w:rPr>
                <w:rFonts w:ascii="Times New Roman" w:hAnsi="Times New Roman" w:cs="Times New Roman"/>
                <w:b/>
                <w:color w:val="000000" w:themeColor="text1"/>
                <w:sz w:val="16"/>
                <w:szCs w:val="16"/>
              </w:rPr>
              <w:t xml:space="preserve"> </w:t>
            </w:r>
            <w:r w:rsidRPr="00B9476D">
              <w:rPr>
                <w:rFonts w:ascii="Times New Roman" w:hAnsi="Times New Roman" w:cs="Times New Roman"/>
                <w:b/>
                <w:color w:val="000000" w:themeColor="text1"/>
                <w:sz w:val="16"/>
                <w:szCs w:val="16"/>
              </w:rPr>
              <w:tab/>
              <w:t>1,000 (900, 1,100)</w:t>
            </w:r>
          </w:p>
        </w:tc>
      </w:tr>
      <w:tr w:rsidR="00932369" w:rsidRPr="00B9476D" w14:paraId="7F580027" w14:textId="77777777" w:rsidTr="003D40FA">
        <w:trPr>
          <w:trHeight w:val="20"/>
        </w:trPr>
        <w:tc>
          <w:tcPr>
            <w:tcW w:w="1065" w:type="dxa"/>
            <w:tcMar>
              <w:top w:w="100" w:type="dxa"/>
              <w:left w:w="100" w:type="dxa"/>
              <w:bottom w:w="100" w:type="dxa"/>
              <w:right w:w="100" w:type="dxa"/>
            </w:tcMar>
          </w:tcPr>
          <w:p w14:paraId="26F8AC3C" w14:textId="77777777" w:rsidR="00F679C0" w:rsidRPr="00B9476D" w:rsidRDefault="00E45E40" w:rsidP="00B9476D">
            <w:pPr>
              <w:spacing w:line="240" w:lineRule="auto"/>
              <w:jc w:val="center"/>
              <w:rPr>
                <w:rFonts w:ascii="Times New Roman" w:hAnsi="Times New Roman" w:cs="Times New Roman"/>
                <w:b/>
                <w:color w:val="000000" w:themeColor="text1"/>
                <w:sz w:val="16"/>
                <w:szCs w:val="16"/>
              </w:rPr>
            </w:pPr>
            <w:r w:rsidRPr="00B9476D">
              <w:rPr>
                <w:rFonts w:ascii="Times New Roman" w:hAnsi="Times New Roman" w:cs="Times New Roman"/>
                <w:b/>
                <w:color w:val="000000" w:themeColor="text1"/>
                <w:sz w:val="16"/>
                <w:szCs w:val="16"/>
              </w:rPr>
              <w:t>grouped</w:t>
            </w:r>
          </w:p>
        </w:tc>
        <w:tc>
          <w:tcPr>
            <w:tcW w:w="1995" w:type="dxa"/>
            <w:vMerge/>
            <w:tcMar>
              <w:top w:w="100" w:type="dxa"/>
              <w:left w:w="100" w:type="dxa"/>
              <w:bottom w:w="100" w:type="dxa"/>
              <w:right w:w="100" w:type="dxa"/>
            </w:tcMar>
          </w:tcPr>
          <w:p w14:paraId="2CF43D9C" w14:textId="77777777" w:rsidR="00F679C0" w:rsidRPr="00B9476D" w:rsidRDefault="00F679C0" w:rsidP="00B9476D">
            <w:pPr>
              <w:spacing w:line="240" w:lineRule="auto"/>
              <w:jc w:val="center"/>
              <w:rPr>
                <w:rFonts w:ascii="Times New Roman" w:hAnsi="Times New Roman" w:cs="Times New Roman"/>
                <w:color w:val="000000" w:themeColor="text1"/>
                <w:sz w:val="16"/>
                <w:szCs w:val="16"/>
              </w:rPr>
            </w:pPr>
          </w:p>
        </w:tc>
        <w:tc>
          <w:tcPr>
            <w:tcW w:w="1335" w:type="dxa"/>
            <w:tcMar>
              <w:top w:w="100" w:type="dxa"/>
              <w:left w:w="100" w:type="dxa"/>
              <w:bottom w:w="100" w:type="dxa"/>
              <w:right w:w="100" w:type="dxa"/>
            </w:tcMar>
          </w:tcPr>
          <w:p w14:paraId="30EC4BE9" w14:textId="77777777" w:rsidR="00F679C0" w:rsidRPr="00B9476D" w:rsidRDefault="00E45E40" w:rsidP="00B9476D">
            <w:pPr>
              <w:spacing w:line="240" w:lineRule="auto"/>
              <w:jc w:val="center"/>
              <w:rPr>
                <w:rFonts w:ascii="Times New Roman" w:hAnsi="Times New Roman" w:cs="Times New Roman"/>
                <w:b/>
                <w:color w:val="000000" w:themeColor="text1"/>
                <w:sz w:val="16"/>
                <w:szCs w:val="16"/>
              </w:rPr>
            </w:pPr>
            <w:r w:rsidRPr="00B9476D">
              <w:rPr>
                <w:rFonts w:ascii="Times New Roman" w:hAnsi="Times New Roman" w:cs="Times New Roman"/>
                <w:b/>
                <w:color w:val="000000" w:themeColor="text1"/>
                <w:sz w:val="16"/>
                <w:szCs w:val="16"/>
              </w:rPr>
              <w:t>0.8</w:t>
            </w:r>
          </w:p>
        </w:tc>
        <w:tc>
          <w:tcPr>
            <w:tcW w:w="2855" w:type="dxa"/>
            <w:tcMar>
              <w:top w:w="100" w:type="dxa"/>
              <w:left w:w="100" w:type="dxa"/>
              <w:bottom w:w="100" w:type="dxa"/>
              <w:right w:w="100" w:type="dxa"/>
            </w:tcMar>
          </w:tcPr>
          <w:p w14:paraId="7428F2FF" w14:textId="77777777" w:rsidR="00F679C0" w:rsidRPr="00B9476D" w:rsidRDefault="00E45E40" w:rsidP="00B9476D">
            <w:pPr>
              <w:spacing w:line="240" w:lineRule="auto"/>
              <w:jc w:val="center"/>
              <w:rPr>
                <w:rFonts w:ascii="Times New Roman" w:hAnsi="Times New Roman" w:cs="Times New Roman"/>
                <w:b/>
                <w:color w:val="000000" w:themeColor="text1"/>
                <w:sz w:val="16"/>
                <w:szCs w:val="16"/>
              </w:rPr>
            </w:pPr>
            <w:r w:rsidRPr="00B9476D">
              <w:rPr>
                <w:rFonts w:ascii="Times New Roman" w:hAnsi="Times New Roman" w:cs="Times New Roman"/>
                <w:b/>
                <w:color w:val="000000" w:themeColor="text1"/>
                <w:sz w:val="16"/>
                <w:szCs w:val="16"/>
              </w:rPr>
              <w:t xml:space="preserve">   6,200 (6,200, 6,200)</w:t>
            </w:r>
          </w:p>
        </w:tc>
        <w:tc>
          <w:tcPr>
            <w:tcW w:w="2855" w:type="dxa"/>
            <w:tcMar>
              <w:top w:w="100" w:type="dxa"/>
              <w:left w:w="100" w:type="dxa"/>
              <w:bottom w:w="100" w:type="dxa"/>
              <w:right w:w="100" w:type="dxa"/>
            </w:tcMar>
          </w:tcPr>
          <w:p w14:paraId="61FF1A2B" w14:textId="77777777" w:rsidR="00F679C0" w:rsidRPr="00B9476D" w:rsidRDefault="00E45E40" w:rsidP="00B9476D">
            <w:pPr>
              <w:spacing w:line="240" w:lineRule="auto"/>
              <w:jc w:val="center"/>
              <w:rPr>
                <w:rFonts w:ascii="Times New Roman" w:hAnsi="Times New Roman" w:cs="Times New Roman"/>
                <w:b/>
                <w:color w:val="000000" w:themeColor="text1"/>
                <w:sz w:val="16"/>
                <w:szCs w:val="16"/>
              </w:rPr>
            </w:pPr>
            <w:r w:rsidRPr="00B9476D">
              <w:rPr>
                <w:rFonts w:ascii="Times New Roman" w:hAnsi="Times New Roman" w:cs="Times New Roman"/>
                <w:b/>
                <w:color w:val="000000" w:themeColor="text1"/>
                <w:sz w:val="16"/>
                <w:szCs w:val="16"/>
              </w:rPr>
              <w:t>29,200 (28,100, 30,800)</w:t>
            </w:r>
          </w:p>
        </w:tc>
        <w:tc>
          <w:tcPr>
            <w:tcW w:w="2855" w:type="dxa"/>
            <w:tcMar>
              <w:top w:w="100" w:type="dxa"/>
              <w:left w:w="100" w:type="dxa"/>
              <w:bottom w:w="100" w:type="dxa"/>
              <w:right w:w="100" w:type="dxa"/>
            </w:tcMar>
          </w:tcPr>
          <w:p w14:paraId="129BD571" w14:textId="77777777" w:rsidR="00F679C0" w:rsidRPr="00B9476D" w:rsidRDefault="00E45E40" w:rsidP="00B9476D">
            <w:pPr>
              <w:spacing w:line="240" w:lineRule="auto"/>
              <w:jc w:val="center"/>
              <w:rPr>
                <w:rFonts w:ascii="Times New Roman" w:hAnsi="Times New Roman" w:cs="Times New Roman"/>
                <w:b/>
                <w:color w:val="000000" w:themeColor="text1"/>
                <w:sz w:val="16"/>
                <w:szCs w:val="16"/>
              </w:rPr>
            </w:pPr>
            <w:r w:rsidRPr="00B9476D">
              <w:rPr>
                <w:rFonts w:ascii="Times New Roman" w:hAnsi="Times New Roman" w:cs="Times New Roman"/>
                <w:b/>
                <w:color w:val="000000" w:themeColor="text1"/>
                <w:sz w:val="16"/>
                <w:szCs w:val="16"/>
              </w:rPr>
              <w:t xml:space="preserve">   1,700 (1,500, 1,800)</w:t>
            </w:r>
          </w:p>
        </w:tc>
      </w:tr>
      <w:tr w:rsidR="00932369" w:rsidRPr="00B9476D" w14:paraId="7504D537" w14:textId="77777777" w:rsidTr="003D40FA">
        <w:trPr>
          <w:trHeight w:val="20"/>
        </w:trPr>
        <w:tc>
          <w:tcPr>
            <w:tcW w:w="1065" w:type="dxa"/>
            <w:tcMar>
              <w:top w:w="100" w:type="dxa"/>
              <w:left w:w="100" w:type="dxa"/>
              <w:bottom w:w="100" w:type="dxa"/>
              <w:right w:w="100" w:type="dxa"/>
            </w:tcMar>
          </w:tcPr>
          <w:p w14:paraId="6E0AC988" w14:textId="77777777" w:rsidR="00F679C0" w:rsidRPr="00B9476D" w:rsidRDefault="00E45E40" w:rsidP="00B9476D">
            <w:pPr>
              <w:spacing w:line="240" w:lineRule="auto"/>
              <w:jc w:val="center"/>
              <w:rPr>
                <w:rFonts w:ascii="Times New Roman" w:hAnsi="Times New Roman" w:cs="Times New Roman"/>
                <w:b/>
                <w:color w:val="000000" w:themeColor="text1"/>
                <w:sz w:val="16"/>
                <w:szCs w:val="16"/>
              </w:rPr>
            </w:pPr>
            <w:r w:rsidRPr="00B9476D">
              <w:rPr>
                <w:rFonts w:ascii="Times New Roman" w:hAnsi="Times New Roman" w:cs="Times New Roman"/>
                <w:b/>
                <w:color w:val="000000" w:themeColor="text1"/>
                <w:sz w:val="16"/>
                <w:szCs w:val="16"/>
              </w:rPr>
              <w:t>ENG</w:t>
            </w:r>
          </w:p>
        </w:tc>
        <w:tc>
          <w:tcPr>
            <w:tcW w:w="1995" w:type="dxa"/>
            <w:vMerge/>
            <w:tcMar>
              <w:top w:w="100" w:type="dxa"/>
              <w:left w:w="100" w:type="dxa"/>
              <w:bottom w:w="100" w:type="dxa"/>
              <w:right w:w="100" w:type="dxa"/>
            </w:tcMar>
          </w:tcPr>
          <w:p w14:paraId="2EE25FDE" w14:textId="77777777" w:rsidR="00F679C0" w:rsidRPr="00B9476D" w:rsidRDefault="00F679C0" w:rsidP="00B9476D">
            <w:pPr>
              <w:spacing w:line="240" w:lineRule="auto"/>
              <w:jc w:val="center"/>
              <w:rPr>
                <w:rFonts w:ascii="Times New Roman" w:hAnsi="Times New Roman" w:cs="Times New Roman"/>
                <w:color w:val="000000" w:themeColor="text1"/>
                <w:sz w:val="16"/>
                <w:szCs w:val="16"/>
              </w:rPr>
            </w:pPr>
          </w:p>
        </w:tc>
        <w:tc>
          <w:tcPr>
            <w:tcW w:w="1335" w:type="dxa"/>
            <w:tcMar>
              <w:top w:w="100" w:type="dxa"/>
              <w:left w:w="100" w:type="dxa"/>
              <w:bottom w:w="100" w:type="dxa"/>
              <w:right w:w="100" w:type="dxa"/>
            </w:tcMar>
          </w:tcPr>
          <w:p w14:paraId="3D848C0F" w14:textId="77777777" w:rsidR="00F679C0" w:rsidRPr="00B9476D" w:rsidRDefault="00E45E40" w:rsidP="00B9476D">
            <w:pPr>
              <w:spacing w:line="240" w:lineRule="auto"/>
              <w:jc w:val="center"/>
              <w:rPr>
                <w:rFonts w:ascii="Times New Roman" w:hAnsi="Times New Roman" w:cs="Times New Roman"/>
                <w:b/>
                <w:color w:val="000000" w:themeColor="text1"/>
                <w:sz w:val="16"/>
                <w:szCs w:val="16"/>
              </w:rPr>
            </w:pPr>
            <w:r w:rsidRPr="00B9476D">
              <w:rPr>
                <w:rFonts w:ascii="Times New Roman" w:hAnsi="Times New Roman" w:cs="Times New Roman"/>
                <w:b/>
                <w:color w:val="000000" w:themeColor="text1"/>
                <w:sz w:val="16"/>
                <w:szCs w:val="16"/>
              </w:rPr>
              <w:t>1.2</w:t>
            </w:r>
          </w:p>
        </w:tc>
        <w:tc>
          <w:tcPr>
            <w:tcW w:w="2855" w:type="dxa"/>
            <w:tcMar>
              <w:top w:w="100" w:type="dxa"/>
              <w:left w:w="100" w:type="dxa"/>
              <w:bottom w:w="100" w:type="dxa"/>
              <w:right w:w="100" w:type="dxa"/>
            </w:tcMar>
          </w:tcPr>
          <w:p w14:paraId="20FDEF12" w14:textId="77777777" w:rsidR="00F679C0" w:rsidRPr="00B9476D" w:rsidRDefault="00E45E40" w:rsidP="00B9476D">
            <w:pPr>
              <w:spacing w:line="240" w:lineRule="auto"/>
              <w:jc w:val="center"/>
              <w:rPr>
                <w:rFonts w:ascii="Times New Roman" w:hAnsi="Times New Roman" w:cs="Times New Roman"/>
                <w:b/>
                <w:color w:val="000000" w:themeColor="text1"/>
                <w:sz w:val="16"/>
                <w:szCs w:val="16"/>
              </w:rPr>
            </w:pPr>
            <w:r w:rsidRPr="00B9476D">
              <w:rPr>
                <w:rFonts w:ascii="Times New Roman" w:hAnsi="Times New Roman" w:cs="Times New Roman"/>
                <w:b/>
                <w:color w:val="000000" w:themeColor="text1"/>
                <w:sz w:val="16"/>
                <w:szCs w:val="16"/>
              </w:rPr>
              <w:t xml:space="preserve">   6,600 (6,600, 6,600)</w:t>
            </w:r>
          </w:p>
        </w:tc>
        <w:tc>
          <w:tcPr>
            <w:tcW w:w="2855" w:type="dxa"/>
            <w:tcMar>
              <w:top w:w="100" w:type="dxa"/>
              <w:left w:w="100" w:type="dxa"/>
              <w:bottom w:w="100" w:type="dxa"/>
              <w:right w:w="100" w:type="dxa"/>
            </w:tcMar>
          </w:tcPr>
          <w:p w14:paraId="48C9544A" w14:textId="77777777" w:rsidR="00F679C0" w:rsidRPr="00B9476D" w:rsidRDefault="00E45E40" w:rsidP="00B9476D">
            <w:pPr>
              <w:spacing w:line="240" w:lineRule="auto"/>
              <w:jc w:val="center"/>
              <w:rPr>
                <w:rFonts w:ascii="Times New Roman" w:hAnsi="Times New Roman" w:cs="Times New Roman"/>
                <w:b/>
                <w:color w:val="000000" w:themeColor="text1"/>
                <w:sz w:val="16"/>
                <w:szCs w:val="16"/>
              </w:rPr>
            </w:pPr>
            <w:r w:rsidRPr="00B9476D">
              <w:rPr>
                <w:rFonts w:ascii="Times New Roman" w:hAnsi="Times New Roman" w:cs="Times New Roman"/>
                <w:b/>
                <w:color w:val="000000" w:themeColor="text1"/>
                <w:sz w:val="16"/>
                <w:szCs w:val="16"/>
              </w:rPr>
              <w:t>20,000 (19,300, 21,000)</w:t>
            </w:r>
          </w:p>
        </w:tc>
        <w:tc>
          <w:tcPr>
            <w:tcW w:w="2855" w:type="dxa"/>
            <w:tcMar>
              <w:top w:w="100" w:type="dxa"/>
              <w:left w:w="100" w:type="dxa"/>
              <w:bottom w:w="100" w:type="dxa"/>
              <w:right w:w="100" w:type="dxa"/>
            </w:tcMar>
          </w:tcPr>
          <w:p w14:paraId="6EB3710C" w14:textId="77777777" w:rsidR="00F679C0" w:rsidRPr="00B9476D" w:rsidRDefault="00E45E40" w:rsidP="00B9476D">
            <w:pPr>
              <w:spacing w:line="240" w:lineRule="auto"/>
              <w:jc w:val="center"/>
              <w:rPr>
                <w:rFonts w:ascii="Times New Roman" w:hAnsi="Times New Roman" w:cs="Times New Roman"/>
                <w:b/>
                <w:color w:val="000000" w:themeColor="text1"/>
                <w:sz w:val="16"/>
                <w:szCs w:val="16"/>
              </w:rPr>
            </w:pPr>
            <w:r w:rsidRPr="00B9476D">
              <w:rPr>
                <w:rFonts w:ascii="Times New Roman" w:hAnsi="Times New Roman" w:cs="Times New Roman"/>
                <w:b/>
                <w:color w:val="000000" w:themeColor="text1"/>
                <w:sz w:val="16"/>
                <w:szCs w:val="16"/>
              </w:rPr>
              <w:t xml:space="preserve">   2,800 (2,500, 3,100)</w:t>
            </w:r>
          </w:p>
        </w:tc>
      </w:tr>
      <w:tr w:rsidR="00932369" w:rsidRPr="00B9476D" w14:paraId="0C674BBE" w14:textId="77777777" w:rsidTr="003D40FA">
        <w:trPr>
          <w:trHeight w:val="20"/>
        </w:trPr>
        <w:tc>
          <w:tcPr>
            <w:tcW w:w="1065" w:type="dxa"/>
            <w:tcMar>
              <w:top w:w="100" w:type="dxa"/>
              <w:left w:w="100" w:type="dxa"/>
              <w:bottom w:w="100" w:type="dxa"/>
              <w:right w:w="100" w:type="dxa"/>
            </w:tcMar>
          </w:tcPr>
          <w:p w14:paraId="5574828F" w14:textId="77777777" w:rsidR="00F679C0" w:rsidRPr="00B9476D" w:rsidRDefault="00E45E40" w:rsidP="00B9476D">
            <w:pPr>
              <w:spacing w:line="240" w:lineRule="auto"/>
              <w:jc w:val="center"/>
              <w:rPr>
                <w:rFonts w:ascii="Times New Roman" w:hAnsi="Times New Roman" w:cs="Times New Roman"/>
                <w:b/>
                <w:color w:val="000000" w:themeColor="text1"/>
                <w:sz w:val="16"/>
                <w:szCs w:val="16"/>
              </w:rPr>
            </w:pPr>
            <w:r w:rsidRPr="00B9476D">
              <w:rPr>
                <w:rFonts w:ascii="Times New Roman" w:hAnsi="Times New Roman" w:cs="Times New Roman"/>
                <w:b/>
                <w:color w:val="000000" w:themeColor="text1"/>
                <w:sz w:val="16"/>
                <w:szCs w:val="16"/>
              </w:rPr>
              <w:t>grouped</w:t>
            </w:r>
          </w:p>
        </w:tc>
        <w:tc>
          <w:tcPr>
            <w:tcW w:w="1995" w:type="dxa"/>
            <w:vMerge/>
            <w:tcMar>
              <w:top w:w="100" w:type="dxa"/>
              <w:left w:w="100" w:type="dxa"/>
              <w:bottom w:w="100" w:type="dxa"/>
              <w:right w:w="100" w:type="dxa"/>
            </w:tcMar>
          </w:tcPr>
          <w:p w14:paraId="71C19139" w14:textId="77777777" w:rsidR="00F679C0" w:rsidRPr="00B9476D" w:rsidRDefault="00F679C0" w:rsidP="00B9476D">
            <w:pPr>
              <w:spacing w:line="240" w:lineRule="auto"/>
              <w:jc w:val="center"/>
              <w:rPr>
                <w:rFonts w:ascii="Times New Roman" w:hAnsi="Times New Roman" w:cs="Times New Roman"/>
                <w:color w:val="000000" w:themeColor="text1"/>
                <w:sz w:val="16"/>
                <w:szCs w:val="16"/>
              </w:rPr>
            </w:pPr>
          </w:p>
        </w:tc>
        <w:tc>
          <w:tcPr>
            <w:tcW w:w="1335" w:type="dxa"/>
            <w:tcMar>
              <w:top w:w="100" w:type="dxa"/>
              <w:left w:w="100" w:type="dxa"/>
              <w:bottom w:w="100" w:type="dxa"/>
              <w:right w:w="100" w:type="dxa"/>
            </w:tcMar>
          </w:tcPr>
          <w:p w14:paraId="29ED196A" w14:textId="77777777" w:rsidR="00F679C0" w:rsidRPr="00B9476D" w:rsidRDefault="00E45E40" w:rsidP="00B9476D">
            <w:pPr>
              <w:spacing w:line="240" w:lineRule="auto"/>
              <w:jc w:val="center"/>
              <w:rPr>
                <w:rFonts w:ascii="Times New Roman" w:hAnsi="Times New Roman" w:cs="Times New Roman"/>
                <w:b/>
                <w:color w:val="000000" w:themeColor="text1"/>
                <w:sz w:val="16"/>
                <w:szCs w:val="16"/>
              </w:rPr>
            </w:pPr>
            <w:r w:rsidRPr="00B9476D">
              <w:rPr>
                <w:rFonts w:ascii="Times New Roman" w:hAnsi="Times New Roman" w:cs="Times New Roman"/>
                <w:b/>
                <w:color w:val="000000" w:themeColor="text1"/>
                <w:sz w:val="16"/>
                <w:szCs w:val="16"/>
              </w:rPr>
              <w:t>1.2</w:t>
            </w:r>
          </w:p>
        </w:tc>
        <w:tc>
          <w:tcPr>
            <w:tcW w:w="2855" w:type="dxa"/>
            <w:tcMar>
              <w:top w:w="100" w:type="dxa"/>
              <w:left w:w="100" w:type="dxa"/>
              <w:bottom w:w="100" w:type="dxa"/>
              <w:right w:w="100" w:type="dxa"/>
            </w:tcMar>
          </w:tcPr>
          <w:p w14:paraId="07F4CBF5" w14:textId="77777777" w:rsidR="00F679C0" w:rsidRPr="00B9476D" w:rsidRDefault="00E45E40" w:rsidP="00B9476D">
            <w:pPr>
              <w:spacing w:line="240" w:lineRule="auto"/>
              <w:jc w:val="center"/>
              <w:rPr>
                <w:rFonts w:ascii="Times New Roman" w:hAnsi="Times New Roman" w:cs="Times New Roman"/>
                <w:b/>
                <w:color w:val="000000" w:themeColor="text1"/>
                <w:sz w:val="16"/>
                <w:szCs w:val="16"/>
              </w:rPr>
            </w:pPr>
            <w:r w:rsidRPr="00B9476D">
              <w:rPr>
                <w:rFonts w:ascii="Times New Roman" w:hAnsi="Times New Roman" w:cs="Times New Roman"/>
                <w:b/>
                <w:color w:val="000000" w:themeColor="text1"/>
                <w:sz w:val="16"/>
                <w:szCs w:val="16"/>
              </w:rPr>
              <w:t xml:space="preserve">   6,200 (6,200, 6,200)</w:t>
            </w:r>
          </w:p>
        </w:tc>
        <w:tc>
          <w:tcPr>
            <w:tcW w:w="2855" w:type="dxa"/>
            <w:tcMar>
              <w:top w:w="100" w:type="dxa"/>
              <w:left w:w="100" w:type="dxa"/>
              <w:bottom w:w="100" w:type="dxa"/>
              <w:right w:w="100" w:type="dxa"/>
            </w:tcMar>
          </w:tcPr>
          <w:p w14:paraId="55411E50" w14:textId="77777777" w:rsidR="00F679C0" w:rsidRPr="00B9476D" w:rsidRDefault="00E45E40" w:rsidP="00B9476D">
            <w:pPr>
              <w:spacing w:line="240" w:lineRule="auto"/>
              <w:jc w:val="center"/>
              <w:rPr>
                <w:rFonts w:ascii="Times New Roman" w:hAnsi="Times New Roman" w:cs="Times New Roman"/>
                <w:b/>
                <w:color w:val="000000" w:themeColor="text1"/>
                <w:sz w:val="16"/>
                <w:szCs w:val="16"/>
              </w:rPr>
            </w:pPr>
            <w:r w:rsidRPr="00B9476D">
              <w:rPr>
                <w:rFonts w:ascii="Times New Roman" w:hAnsi="Times New Roman" w:cs="Times New Roman"/>
                <w:b/>
                <w:color w:val="000000" w:themeColor="text1"/>
                <w:sz w:val="16"/>
                <w:szCs w:val="16"/>
              </w:rPr>
              <w:t>29,200 (28,100, 30,800)</w:t>
            </w:r>
          </w:p>
        </w:tc>
        <w:tc>
          <w:tcPr>
            <w:tcW w:w="2855" w:type="dxa"/>
            <w:tcMar>
              <w:top w:w="100" w:type="dxa"/>
              <w:left w:w="100" w:type="dxa"/>
              <w:bottom w:w="100" w:type="dxa"/>
              <w:right w:w="100" w:type="dxa"/>
            </w:tcMar>
          </w:tcPr>
          <w:p w14:paraId="3E34D8A0" w14:textId="77777777" w:rsidR="00F679C0" w:rsidRPr="00B9476D" w:rsidRDefault="00E45E40" w:rsidP="00B9476D">
            <w:pPr>
              <w:spacing w:line="240" w:lineRule="auto"/>
              <w:jc w:val="center"/>
              <w:rPr>
                <w:rFonts w:ascii="Times New Roman" w:hAnsi="Times New Roman" w:cs="Times New Roman"/>
                <w:b/>
                <w:color w:val="000000" w:themeColor="text1"/>
                <w:sz w:val="16"/>
                <w:szCs w:val="16"/>
              </w:rPr>
            </w:pPr>
            <w:r w:rsidRPr="00B9476D">
              <w:rPr>
                <w:rFonts w:ascii="Times New Roman" w:hAnsi="Times New Roman" w:cs="Times New Roman"/>
                <w:b/>
                <w:color w:val="000000" w:themeColor="text1"/>
                <w:sz w:val="16"/>
                <w:szCs w:val="16"/>
              </w:rPr>
              <w:t xml:space="preserve">   3,800 (3,500, 4,200)</w:t>
            </w:r>
          </w:p>
        </w:tc>
      </w:tr>
      <w:tr w:rsidR="00932369" w:rsidRPr="00B9476D" w14:paraId="51FA1D6B" w14:textId="77777777" w:rsidTr="003D40FA">
        <w:trPr>
          <w:trHeight w:val="20"/>
        </w:trPr>
        <w:tc>
          <w:tcPr>
            <w:tcW w:w="1065" w:type="dxa"/>
            <w:tcMar>
              <w:top w:w="100" w:type="dxa"/>
              <w:left w:w="100" w:type="dxa"/>
              <w:bottom w:w="100" w:type="dxa"/>
              <w:right w:w="100" w:type="dxa"/>
            </w:tcMar>
          </w:tcPr>
          <w:p w14:paraId="71D174CA" w14:textId="77777777" w:rsidR="00F679C0" w:rsidRPr="00B9476D" w:rsidRDefault="00E45E40" w:rsidP="00B9476D">
            <w:pPr>
              <w:spacing w:line="240" w:lineRule="auto"/>
              <w:jc w:val="center"/>
              <w:rPr>
                <w:rFonts w:ascii="Times New Roman" w:hAnsi="Times New Roman" w:cs="Times New Roman"/>
                <w:b/>
                <w:color w:val="000000" w:themeColor="text1"/>
                <w:sz w:val="16"/>
                <w:szCs w:val="16"/>
              </w:rPr>
            </w:pPr>
            <w:r w:rsidRPr="00B9476D">
              <w:rPr>
                <w:rFonts w:ascii="Times New Roman" w:hAnsi="Times New Roman" w:cs="Times New Roman"/>
                <w:b/>
                <w:color w:val="000000" w:themeColor="text1"/>
                <w:sz w:val="16"/>
                <w:szCs w:val="16"/>
              </w:rPr>
              <w:t>ENG</w:t>
            </w:r>
          </w:p>
        </w:tc>
        <w:tc>
          <w:tcPr>
            <w:tcW w:w="1995" w:type="dxa"/>
            <w:vMerge/>
            <w:tcMar>
              <w:top w:w="100" w:type="dxa"/>
              <w:left w:w="100" w:type="dxa"/>
              <w:bottom w:w="100" w:type="dxa"/>
              <w:right w:w="100" w:type="dxa"/>
            </w:tcMar>
          </w:tcPr>
          <w:p w14:paraId="0B7A4F24" w14:textId="77777777" w:rsidR="00F679C0" w:rsidRPr="00B9476D" w:rsidRDefault="00F679C0" w:rsidP="00B9476D">
            <w:pPr>
              <w:spacing w:line="240" w:lineRule="auto"/>
              <w:jc w:val="center"/>
              <w:rPr>
                <w:rFonts w:ascii="Times New Roman" w:hAnsi="Times New Roman" w:cs="Times New Roman"/>
                <w:color w:val="000000" w:themeColor="text1"/>
                <w:sz w:val="16"/>
                <w:szCs w:val="16"/>
              </w:rPr>
            </w:pPr>
          </w:p>
        </w:tc>
        <w:tc>
          <w:tcPr>
            <w:tcW w:w="1335" w:type="dxa"/>
            <w:tcMar>
              <w:top w:w="100" w:type="dxa"/>
              <w:left w:w="100" w:type="dxa"/>
              <w:bottom w:w="100" w:type="dxa"/>
              <w:right w:w="100" w:type="dxa"/>
            </w:tcMar>
          </w:tcPr>
          <w:p w14:paraId="6E3ABEF7" w14:textId="77777777" w:rsidR="00F679C0" w:rsidRPr="00B9476D" w:rsidRDefault="00E45E40" w:rsidP="00B9476D">
            <w:pPr>
              <w:spacing w:line="240" w:lineRule="auto"/>
              <w:jc w:val="center"/>
              <w:rPr>
                <w:rFonts w:ascii="Times New Roman" w:hAnsi="Times New Roman" w:cs="Times New Roman"/>
                <w:b/>
                <w:color w:val="000000" w:themeColor="text1"/>
                <w:sz w:val="16"/>
                <w:szCs w:val="16"/>
              </w:rPr>
            </w:pPr>
            <w:r w:rsidRPr="00B9476D">
              <w:rPr>
                <w:rFonts w:ascii="Times New Roman" w:hAnsi="Times New Roman" w:cs="Times New Roman"/>
                <w:b/>
                <w:color w:val="000000" w:themeColor="text1"/>
                <w:sz w:val="16"/>
                <w:szCs w:val="16"/>
              </w:rPr>
              <w:t>rt</w:t>
            </w:r>
          </w:p>
        </w:tc>
        <w:tc>
          <w:tcPr>
            <w:tcW w:w="2855" w:type="dxa"/>
            <w:tcMar>
              <w:top w:w="100" w:type="dxa"/>
              <w:left w:w="100" w:type="dxa"/>
              <w:bottom w:w="100" w:type="dxa"/>
              <w:right w:w="100" w:type="dxa"/>
            </w:tcMar>
          </w:tcPr>
          <w:p w14:paraId="5EBCEDFC" w14:textId="77777777" w:rsidR="00F679C0" w:rsidRPr="00B9476D" w:rsidRDefault="00E45E40" w:rsidP="00B9476D">
            <w:pPr>
              <w:spacing w:line="240" w:lineRule="auto"/>
              <w:jc w:val="center"/>
              <w:rPr>
                <w:rFonts w:ascii="Times New Roman" w:hAnsi="Times New Roman" w:cs="Times New Roman"/>
                <w:b/>
                <w:color w:val="000000" w:themeColor="text1"/>
                <w:sz w:val="16"/>
                <w:szCs w:val="16"/>
              </w:rPr>
            </w:pPr>
            <w:r w:rsidRPr="00B9476D">
              <w:rPr>
                <w:rFonts w:ascii="Times New Roman" w:hAnsi="Times New Roman" w:cs="Times New Roman"/>
                <w:b/>
                <w:color w:val="000000" w:themeColor="text1"/>
                <w:sz w:val="16"/>
                <w:szCs w:val="16"/>
              </w:rPr>
              <w:t xml:space="preserve">   6,600 (6,600, 6,600)</w:t>
            </w:r>
          </w:p>
        </w:tc>
        <w:tc>
          <w:tcPr>
            <w:tcW w:w="2855" w:type="dxa"/>
            <w:tcMar>
              <w:top w:w="100" w:type="dxa"/>
              <w:left w:w="100" w:type="dxa"/>
              <w:bottom w:w="100" w:type="dxa"/>
              <w:right w:w="100" w:type="dxa"/>
            </w:tcMar>
          </w:tcPr>
          <w:p w14:paraId="1102B7E3" w14:textId="77777777" w:rsidR="00F679C0" w:rsidRPr="00B9476D" w:rsidRDefault="00E45E40" w:rsidP="00B9476D">
            <w:pPr>
              <w:spacing w:line="240" w:lineRule="auto"/>
              <w:jc w:val="center"/>
              <w:rPr>
                <w:rFonts w:ascii="Times New Roman" w:hAnsi="Times New Roman" w:cs="Times New Roman"/>
                <w:b/>
                <w:color w:val="000000" w:themeColor="text1"/>
                <w:sz w:val="16"/>
                <w:szCs w:val="16"/>
              </w:rPr>
            </w:pPr>
            <w:r w:rsidRPr="00B9476D">
              <w:rPr>
                <w:rFonts w:ascii="Times New Roman" w:hAnsi="Times New Roman" w:cs="Times New Roman"/>
                <w:b/>
                <w:color w:val="000000" w:themeColor="text1"/>
                <w:sz w:val="16"/>
                <w:szCs w:val="16"/>
              </w:rPr>
              <w:t>20,000 (19,300, 21,000)</w:t>
            </w:r>
          </w:p>
        </w:tc>
        <w:tc>
          <w:tcPr>
            <w:tcW w:w="2855" w:type="dxa"/>
            <w:tcMar>
              <w:top w:w="100" w:type="dxa"/>
              <w:left w:w="100" w:type="dxa"/>
              <w:bottom w:w="100" w:type="dxa"/>
              <w:right w:w="100" w:type="dxa"/>
            </w:tcMar>
          </w:tcPr>
          <w:p w14:paraId="3055430D" w14:textId="77777777" w:rsidR="00F679C0" w:rsidRPr="00B9476D" w:rsidRDefault="00E45E40" w:rsidP="00B9476D">
            <w:pPr>
              <w:spacing w:line="240" w:lineRule="auto"/>
              <w:jc w:val="center"/>
              <w:rPr>
                <w:rFonts w:ascii="Times New Roman" w:hAnsi="Times New Roman" w:cs="Times New Roman"/>
                <w:b/>
                <w:color w:val="000000" w:themeColor="text1"/>
                <w:sz w:val="16"/>
                <w:szCs w:val="16"/>
              </w:rPr>
            </w:pPr>
            <w:r w:rsidRPr="00B9476D">
              <w:rPr>
                <w:rFonts w:ascii="Times New Roman" w:hAnsi="Times New Roman" w:cs="Times New Roman"/>
                <w:b/>
                <w:color w:val="000000" w:themeColor="text1"/>
                <w:sz w:val="16"/>
                <w:szCs w:val="16"/>
              </w:rPr>
              <w:t xml:space="preserve">   1,700 (1,600, 1,800)</w:t>
            </w:r>
          </w:p>
        </w:tc>
      </w:tr>
      <w:tr w:rsidR="00932369" w:rsidRPr="00B9476D" w14:paraId="05ED52C8" w14:textId="77777777" w:rsidTr="00B9476D">
        <w:trPr>
          <w:trHeight w:val="20"/>
        </w:trPr>
        <w:tc>
          <w:tcPr>
            <w:tcW w:w="1065" w:type="dxa"/>
            <w:tcMar>
              <w:top w:w="100" w:type="dxa"/>
              <w:left w:w="100" w:type="dxa"/>
              <w:bottom w:w="100" w:type="dxa"/>
              <w:right w:w="100" w:type="dxa"/>
            </w:tcMar>
          </w:tcPr>
          <w:p w14:paraId="03476798" w14:textId="77777777" w:rsidR="00F679C0" w:rsidRPr="00B9476D" w:rsidRDefault="00E45E40" w:rsidP="00B9476D">
            <w:pPr>
              <w:spacing w:line="240" w:lineRule="auto"/>
              <w:jc w:val="center"/>
              <w:rPr>
                <w:rFonts w:ascii="Times New Roman" w:hAnsi="Times New Roman" w:cs="Times New Roman"/>
                <w:b/>
                <w:color w:val="000000" w:themeColor="text1"/>
                <w:sz w:val="16"/>
                <w:szCs w:val="16"/>
              </w:rPr>
            </w:pPr>
            <w:r w:rsidRPr="00B9476D">
              <w:rPr>
                <w:rFonts w:ascii="Times New Roman" w:hAnsi="Times New Roman" w:cs="Times New Roman"/>
                <w:b/>
                <w:color w:val="000000" w:themeColor="text1"/>
                <w:sz w:val="16"/>
                <w:szCs w:val="16"/>
              </w:rPr>
              <w:t>grouped</w:t>
            </w:r>
          </w:p>
        </w:tc>
        <w:tc>
          <w:tcPr>
            <w:tcW w:w="1995" w:type="dxa"/>
            <w:vMerge/>
            <w:tcMar>
              <w:top w:w="100" w:type="dxa"/>
              <w:left w:w="100" w:type="dxa"/>
              <w:bottom w:w="100" w:type="dxa"/>
              <w:right w:w="100" w:type="dxa"/>
            </w:tcMar>
          </w:tcPr>
          <w:p w14:paraId="655DDDE6" w14:textId="77777777" w:rsidR="00F679C0" w:rsidRPr="00B9476D" w:rsidRDefault="00F679C0" w:rsidP="00B9476D">
            <w:pPr>
              <w:spacing w:line="240" w:lineRule="auto"/>
              <w:jc w:val="center"/>
              <w:rPr>
                <w:rFonts w:ascii="Times New Roman" w:hAnsi="Times New Roman" w:cs="Times New Roman"/>
                <w:color w:val="000000" w:themeColor="text1"/>
                <w:sz w:val="16"/>
                <w:szCs w:val="16"/>
              </w:rPr>
            </w:pPr>
          </w:p>
        </w:tc>
        <w:tc>
          <w:tcPr>
            <w:tcW w:w="1335" w:type="dxa"/>
            <w:tcMar>
              <w:top w:w="100" w:type="dxa"/>
              <w:left w:w="100" w:type="dxa"/>
              <w:bottom w:w="100" w:type="dxa"/>
              <w:right w:w="100" w:type="dxa"/>
            </w:tcMar>
          </w:tcPr>
          <w:p w14:paraId="5D16BCC9" w14:textId="77777777" w:rsidR="00F679C0" w:rsidRPr="00B9476D" w:rsidRDefault="00E45E40" w:rsidP="00B9476D">
            <w:pPr>
              <w:spacing w:line="240" w:lineRule="auto"/>
              <w:jc w:val="center"/>
              <w:rPr>
                <w:rFonts w:ascii="Times New Roman" w:hAnsi="Times New Roman" w:cs="Times New Roman"/>
                <w:b/>
                <w:color w:val="000000" w:themeColor="text1"/>
                <w:sz w:val="16"/>
                <w:szCs w:val="16"/>
              </w:rPr>
            </w:pPr>
            <w:r w:rsidRPr="00B9476D">
              <w:rPr>
                <w:rFonts w:ascii="Times New Roman" w:hAnsi="Times New Roman" w:cs="Times New Roman"/>
                <w:b/>
                <w:color w:val="000000" w:themeColor="text1"/>
                <w:sz w:val="16"/>
                <w:szCs w:val="16"/>
              </w:rPr>
              <w:t>rt</w:t>
            </w:r>
          </w:p>
        </w:tc>
        <w:tc>
          <w:tcPr>
            <w:tcW w:w="2855" w:type="dxa"/>
            <w:tcMar>
              <w:top w:w="100" w:type="dxa"/>
              <w:left w:w="100" w:type="dxa"/>
              <w:bottom w:w="100" w:type="dxa"/>
              <w:right w:w="100" w:type="dxa"/>
            </w:tcMar>
          </w:tcPr>
          <w:p w14:paraId="4C556201" w14:textId="77777777" w:rsidR="00F679C0" w:rsidRPr="00B9476D" w:rsidRDefault="00E45E40" w:rsidP="00B9476D">
            <w:pPr>
              <w:spacing w:line="240" w:lineRule="auto"/>
              <w:jc w:val="center"/>
              <w:rPr>
                <w:rFonts w:ascii="Times New Roman" w:hAnsi="Times New Roman" w:cs="Times New Roman"/>
                <w:b/>
                <w:color w:val="000000" w:themeColor="text1"/>
                <w:sz w:val="16"/>
                <w:szCs w:val="16"/>
              </w:rPr>
            </w:pPr>
            <w:r w:rsidRPr="00B9476D">
              <w:rPr>
                <w:rFonts w:ascii="Times New Roman" w:hAnsi="Times New Roman" w:cs="Times New Roman"/>
                <w:b/>
                <w:color w:val="000000" w:themeColor="text1"/>
                <w:sz w:val="16"/>
                <w:szCs w:val="16"/>
              </w:rPr>
              <w:t xml:space="preserve">   6,200 (6,200, 6,200)</w:t>
            </w:r>
          </w:p>
        </w:tc>
        <w:tc>
          <w:tcPr>
            <w:tcW w:w="2855" w:type="dxa"/>
            <w:tcMar>
              <w:top w:w="100" w:type="dxa"/>
              <w:left w:w="100" w:type="dxa"/>
              <w:bottom w:w="100" w:type="dxa"/>
              <w:right w:w="100" w:type="dxa"/>
            </w:tcMar>
          </w:tcPr>
          <w:p w14:paraId="029DAB4A" w14:textId="77777777" w:rsidR="00F679C0" w:rsidRPr="00B9476D" w:rsidRDefault="00E45E40" w:rsidP="00B9476D">
            <w:pPr>
              <w:spacing w:line="240" w:lineRule="auto"/>
              <w:jc w:val="center"/>
              <w:rPr>
                <w:rFonts w:ascii="Times New Roman" w:hAnsi="Times New Roman" w:cs="Times New Roman"/>
                <w:b/>
                <w:color w:val="000000" w:themeColor="text1"/>
                <w:sz w:val="16"/>
                <w:szCs w:val="16"/>
              </w:rPr>
            </w:pPr>
            <w:r w:rsidRPr="00B9476D">
              <w:rPr>
                <w:rFonts w:ascii="Times New Roman" w:hAnsi="Times New Roman" w:cs="Times New Roman"/>
                <w:b/>
                <w:color w:val="000000" w:themeColor="text1"/>
                <w:sz w:val="16"/>
                <w:szCs w:val="16"/>
              </w:rPr>
              <w:t>29,200 (28,100, 30,800)</w:t>
            </w:r>
          </w:p>
        </w:tc>
        <w:tc>
          <w:tcPr>
            <w:tcW w:w="2855" w:type="dxa"/>
            <w:tcMar>
              <w:top w:w="100" w:type="dxa"/>
              <w:left w:w="100" w:type="dxa"/>
              <w:bottom w:w="100" w:type="dxa"/>
              <w:right w:w="100" w:type="dxa"/>
            </w:tcMar>
          </w:tcPr>
          <w:p w14:paraId="75C0F113" w14:textId="77777777" w:rsidR="00F679C0" w:rsidRPr="00B9476D" w:rsidRDefault="00E45E40" w:rsidP="00B9476D">
            <w:pPr>
              <w:spacing w:line="240" w:lineRule="auto"/>
              <w:jc w:val="center"/>
              <w:rPr>
                <w:rFonts w:ascii="Times New Roman" w:hAnsi="Times New Roman" w:cs="Times New Roman"/>
                <w:b/>
                <w:color w:val="000000" w:themeColor="text1"/>
                <w:sz w:val="16"/>
                <w:szCs w:val="16"/>
              </w:rPr>
            </w:pPr>
            <w:r w:rsidRPr="00B9476D">
              <w:rPr>
                <w:rFonts w:ascii="Times New Roman" w:hAnsi="Times New Roman" w:cs="Times New Roman"/>
                <w:b/>
                <w:color w:val="000000" w:themeColor="text1"/>
                <w:sz w:val="16"/>
                <w:szCs w:val="16"/>
              </w:rPr>
              <w:t xml:space="preserve">   2,500 (2,400, 2,700)</w:t>
            </w:r>
          </w:p>
        </w:tc>
      </w:tr>
      <w:tr w:rsidR="00932369" w:rsidRPr="00B9476D" w14:paraId="7AC3BA9D" w14:textId="77777777" w:rsidTr="003D40FA">
        <w:trPr>
          <w:trHeight w:val="20"/>
        </w:trPr>
        <w:tc>
          <w:tcPr>
            <w:tcW w:w="1065" w:type="dxa"/>
            <w:tcMar>
              <w:top w:w="100" w:type="dxa"/>
              <w:left w:w="100" w:type="dxa"/>
              <w:bottom w:w="100" w:type="dxa"/>
              <w:right w:w="100" w:type="dxa"/>
            </w:tcMar>
          </w:tcPr>
          <w:p w14:paraId="7C8D63D9" w14:textId="77777777" w:rsidR="00F679C0" w:rsidRPr="00B9476D" w:rsidRDefault="00E45E40" w:rsidP="00B9476D">
            <w:pPr>
              <w:spacing w:line="240" w:lineRule="auto"/>
              <w:jc w:val="center"/>
              <w:rPr>
                <w:rFonts w:ascii="Times New Roman" w:hAnsi="Times New Roman" w:cs="Times New Roman"/>
                <w:color w:val="000000" w:themeColor="text1"/>
                <w:sz w:val="16"/>
                <w:szCs w:val="16"/>
              </w:rPr>
            </w:pPr>
            <w:r w:rsidRPr="00B9476D">
              <w:rPr>
                <w:rFonts w:ascii="Times New Roman" w:hAnsi="Times New Roman" w:cs="Times New Roman"/>
                <w:color w:val="000000" w:themeColor="text1"/>
                <w:sz w:val="16"/>
                <w:szCs w:val="16"/>
              </w:rPr>
              <w:t>ENG</w:t>
            </w:r>
          </w:p>
        </w:tc>
        <w:tc>
          <w:tcPr>
            <w:tcW w:w="1995" w:type="dxa"/>
            <w:vMerge w:val="restart"/>
            <w:tcMar>
              <w:top w:w="100" w:type="dxa"/>
              <w:left w:w="100" w:type="dxa"/>
              <w:bottom w:w="100" w:type="dxa"/>
              <w:right w:w="100" w:type="dxa"/>
            </w:tcMar>
          </w:tcPr>
          <w:p w14:paraId="573C6794" w14:textId="77777777" w:rsidR="00F679C0" w:rsidRPr="00B9476D" w:rsidRDefault="00E45E40" w:rsidP="00B9476D">
            <w:pPr>
              <w:spacing w:line="240" w:lineRule="auto"/>
              <w:jc w:val="center"/>
              <w:rPr>
                <w:rFonts w:ascii="Times New Roman" w:hAnsi="Times New Roman" w:cs="Times New Roman"/>
                <w:color w:val="000000" w:themeColor="text1"/>
                <w:sz w:val="16"/>
                <w:szCs w:val="16"/>
              </w:rPr>
            </w:pPr>
            <w:r w:rsidRPr="00B9476D">
              <w:rPr>
                <w:rFonts w:ascii="Times New Roman" w:hAnsi="Times New Roman" w:cs="Times New Roman"/>
                <w:color w:val="000000" w:themeColor="text1"/>
                <w:sz w:val="16"/>
                <w:szCs w:val="16"/>
              </w:rPr>
              <w:t>15</w:t>
            </w:r>
          </w:p>
        </w:tc>
        <w:tc>
          <w:tcPr>
            <w:tcW w:w="1335" w:type="dxa"/>
            <w:tcMar>
              <w:top w:w="100" w:type="dxa"/>
              <w:left w:w="100" w:type="dxa"/>
              <w:bottom w:w="100" w:type="dxa"/>
              <w:right w:w="100" w:type="dxa"/>
            </w:tcMar>
          </w:tcPr>
          <w:p w14:paraId="435E7A66" w14:textId="77777777" w:rsidR="00F679C0" w:rsidRPr="00B9476D" w:rsidRDefault="00E45E40" w:rsidP="00B9476D">
            <w:pPr>
              <w:spacing w:line="240" w:lineRule="auto"/>
              <w:jc w:val="center"/>
              <w:rPr>
                <w:rFonts w:ascii="Times New Roman" w:hAnsi="Times New Roman" w:cs="Times New Roman"/>
                <w:color w:val="000000" w:themeColor="text1"/>
                <w:sz w:val="16"/>
                <w:szCs w:val="16"/>
              </w:rPr>
            </w:pPr>
            <w:r w:rsidRPr="00B9476D">
              <w:rPr>
                <w:rFonts w:ascii="Times New Roman" w:hAnsi="Times New Roman" w:cs="Times New Roman"/>
                <w:color w:val="000000" w:themeColor="text1"/>
                <w:sz w:val="16"/>
                <w:szCs w:val="16"/>
              </w:rPr>
              <w:t>0.8</w:t>
            </w:r>
          </w:p>
        </w:tc>
        <w:tc>
          <w:tcPr>
            <w:tcW w:w="2855" w:type="dxa"/>
            <w:tcMar>
              <w:top w:w="100" w:type="dxa"/>
              <w:left w:w="100" w:type="dxa"/>
              <w:bottom w:w="100" w:type="dxa"/>
              <w:right w:w="100" w:type="dxa"/>
            </w:tcMar>
          </w:tcPr>
          <w:p w14:paraId="1A8A6888" w14:textId="77777777" w:rsidR="00F679C0" w:rsidRPr="00B9476D" w:rsidRDefault="00E45E40" w:rsidP="00B9476D">
            <w:pPr>
              <w:spacing w:line="240" w:lineRule="auto"/>
              <w:jc w:val="center"/>
              <w:rPr>
                <w:rFonts w:ascii="Times New Roman" w:hAnsi="Times New Roman" w:cs="Times New Roman"/>
                <w:color w:val="000000" w:themeColor="text1"/>
                <w:sz w:val="16"/>
                <w:szCs w:val="16"/>
              </w:rPr>
            </w:pPr>
            <w:r w:rsidRPr="00B9476D">
              <w:rPr>
                <w:rFonts w:ascii="Times New Roman" w:hAnsi="Times New Roman" w:cs="Times New Roman"/>
                <w:color w:val="000000" w:themeColor="text1"/>
                <w:sz w:val="16"/>
                <w:szCs w:val="16"/>
              </w:rPr>
              <w:t xml:space="preserve">   4,400 (4,400, 4,400)</w:t>
            </w:r>
          </w:p>
        </w:tc>
        <w:tc>
          <w:tcPr>
            <w:tcW w:w="2855" w:type="dxa"/>
            <w:tcMar>
              <w:top w:w="100" w:type="dxa"/>
              <w:left w:w="100" w:type="dxa"/>
              <w:bottom w:w="100" w:type="dxa"/>
              <w:right w:w="100" w:type="dxa"/>
            </w:tcMar>
          </w:tcPr>
          <w:p w14:paraId="4AD8FC34" w14:textId="77777777" w:rsidR="00F679C0" w:rsidRPr="00B9476D" w:rsidRDefault="00E45E40" w:rsidP="00B9476D">
            <w:pPr>
              <w:spacing w:line="240" w:lineRule="auto"/>
              <w:jc w:val="center"/>
              <w:rPr>
                <w:rFonts w:ascii="Times New Roman" w:hAnsi="Times New Roman" w:cs="Times New Roman"/>
                <w:color w:val="000000" w:themeColor="text1"/>
                <w:sz w:val="16"/>
                <w:szCs w:val="16"/>
              </w:rPr>
            </w:pPr>
            <w:r w:rsidRPr="00B9476D">
              <w:rPr>
                <w:rFonts w:ascii="Times New Roman" w:hAnsi="Times New Roman" w:cs="Times New Roman"/>
                <w:color w:val="000000" w:themeColor="text1"/>
                <w:sz w:val="16"/>
                <w:szCs w:val="16"/>
              </w:rPr>
              <w:t>29,100 (28,500, 29,700)</w:t>
            </w:r>
          </w:p>
        </w:tc>
        <w:tc>
          <w:tcPr>
            <w:tcW w:w="2855" w:type="dxa"/>
            <w:tcMar>
              <w:top w:w="100" w:type="dxa"/>
              <w:left w:w="100" w:type="dxa"/>
              <w:bottom w:w="100" w:type="dxa"/>
              <w:right w:w="100" w:type="dxa"/>
            </w:tcMar>
          </w:tcPr>
          <w:p w14:paraId="015025B8" w14:textId="77777777" w:rsidR="00F679C0" w:rsidRPr="00B9476D" w:rsidRDefault="00E45E40" w:rsidP="00B9476D">
            <w:pPr>
              <w:spacing w:line="240" w:lineRule="auto"/>
              <w:jc w:val="center"/>
              <w:rPr>
                <w:rFonts w:ascii="Times New Roman" w:hAnsi="Times New Roman" w:cs="Times New Roman"/>
                <w:color w:val="000000" w:themeColor="text1"/>
                <w:sz w:val="16"/>
                <w:szCs w:val="16"/>
              </w:rPr>
            </w:pPr>
            <w:r w:rsidRPr="00B9476D">
              <w:rPr>
                <w:rFonts w:ascii="Times New Roman" w:hAnsi="Times New Roman" w:cs="Times New Roman"/>
                <w:color w:val="000000" w:themeColor="text1"/>
                <w:sz w:val="16"/>
                <w:szCs w:val="16"/>
              </w:rPr>
              <w:t xml:space="preserve">   1,300 (1,200, 1,400)</w:t>
            </w:r>
          </w:p>
        </w:tc>
      </w:tr>
      <w:tr w:rsidR="00932369" w:rsidRPr="00B9476D" w14:paraId="10C67D58" w14:textId="77777777" w:rsidTr="003D40FA">
        <w:trPr>
          <w:trHeight w:val="20"/>
        </w:trPr>
        <w:tc>
          <w:tcPr>
            <w:tcW w:w="1065" w:type="dxa"/>
            <w:tcMar>
              <w:top w:w="100" w:type="dxa"/>
              <w:left w:w="100" w:type="dxa"/>
              <w:bottom w:w="100" w:type="dxa"/>
              <w:right w:w="100" w:type="dxa"/>
            </w:tcMar>
          </w:tcPr>
          <w:p w14:paraId="41DB10C6" w14:textId="77777777" w:rsidR="00F679C0" w:rsidRPr="00B9476D" w:rsidRDefault="00E45E40" w:rsidP="00B9476D">
            <w:pPr>
              <w:spacing w:line="240" w:lineRule="auto"/>
              <w:jc w:val="center"/>
              <w:rPr>
                <w:rFonts w:ascii="Times New Roman" w:hAnsi="Times New Roman" w:cs="Times New Roman"/>
                <w:color w:val="000000" w:themeColor="text1"/>
                <w:sz w:val="16"/>
                <w:szCs w:val="16"/>
              </w:rPr>
            </w:pPr>
            <w:r w:rsidRPr="00B9476D">
              <w:rPr>
                <w:rFonts w:ascii="Times New Roman" w:hAnsi="Times New Roman" w:cs="Times New Roman"/>
                <w:color w:val="000000" w:themeColor="text1"/>
                <w:sz w:val="16"/>
                <w:szCs w:val="16"/>
              </w:rPr>
              <w:t>grouped</w:t>
            </w:r>
          </w:p>
        </w:tc>
        <w:tc>
          <w:tcPr>
            <w:tcW w:w="1995" w:type="dxa"/>
            <w:vMerge/>
            <w:tcMar>
              <w:top w:w="100" w:type="dxa"/>
              <w:left w:w="100" w:type="dxa"/>
              <w:bottom w:w="100" w:type="dxa"/>
              <w:right w:w="100" w:type="dxa"/>
            </w:tcMar>
          </w:tcPr>
          <w:p w14:paraId="0C1F44FD" w14:textId="77777777" w:rsidR="00F679C0" w:rsidRPr="00B9476D" w:rsidRDefault="00F679C0" w:rsidP="00B9476D">
            <w:pPr>
              <w:spacing w:line="240" w:lineRule="auto"/>
              <w:jc w:val="center"/>
              <w:rPr>
                <w:rFonts w:ascii="Times New Roman" w:hAnsi="Times New Roman" w:cs="Times New Roman"/>
                <w:color w:val="000000" w:themeColor="text1"/>
                <w:sz w:val="16"/>
                <w:szCs w:val="16"/>
              </w:rPr>
            </w:pPr>
          </w:p>
        </w:tc>
        <w:tc>
          <w:tcPr>
            <w:tcW w:w="1335" w:type="dxa"/>
            <w:tcMar>
              <w:top w:w="100" w:type="dxa"/>
              <w:left w:w="100" w:type="dxa"/>
              <w:bottom w:w="100" w:type="dxa"/>
              <w:right w:w="100" w:type="dxa"/>
            </w:tcMar>
          </w:tcPr>
          <w:p w14:paraId="26A65536" w14:textId="77777777" w:rsidR="00F679C0" w:rsidRPr="00B9476D" w:rsidRDefault="00E45E40" w:rsidP="00B9476D">
            <w:pPr>
              <w:spacing w:line="240" w:lineRule="auto"/>
              <w:jc w:val="center"/>
              <w:rPr>
                <w:rFonts w:ascii="Times New Roman" w:hAnsi="Times New Roman" w:cs="Times New Roman"/>
                <w:color w:val="000000" w:themeColor="text1"/>
                <w:sz w:val="16"/>
                <w:szCs w:val="16"/>
              </w:rPr>
            </w:pPr>
            <w:r w:rsidRPr="00B9476D">
              <w:rPr>
                <w:rFonts w:ascii="Times New Roman" w:hAnsi="Times New Roman" w:cs="Times New Roman"/>
                <w:color w:val="000000" w:themeColor="text1"/>
                <w:sz w:val="16"/>
                <w:szCs w:val="16"/>
              </w:rPr>
              <w:t>0.8</w:t>
            </w:r>
          </w:p>
        </w:tc>
        <w:tc>
          <w:tcPr>
            <w:tcW w:w="2855" w:type="dxa"/>
            <w:tcMar>
              <w:top w:w="100" w:type="dxa"/>
              <w:left w:w="100" w:type="dxa"/>
              <w:bottom w:w="100" w:type="dxa"/>
              <w:right w:w="100" w:type="dxa"/>
            </w:tcMar>
          </w:tcPr>
          <w:p w14:paraId="561FAE0A" w14:textId="77777777" w:rsidR="00F679C0" w:rsidRPr="00B9476D" w:rsidRDefault="00E45E40" w:rsidP="00B9476D">
            <w:pPr>
              <w:spacing w:line="240" w:lineRule="auto"/>
              <w:jc w:val="center"/>
              <w:rPr>
                <w:rFonts w:ascii="Times New Roman" w:hAnsi="Times New Roman" w:cs="Times New Roman"/>
                <w:color w:val="000000" w:themeColor="text1"/>
                <w:sz w:val="16"/>
                <w:szCs w:val="16"/>
              </w:rPr>
            </w:pPr>
            <w:r w:rsidRPr="00B9476D">
              <w:rPr>
                <w:rFonts w:ascii="Times New Roman" w:hAnsi="Times New Roman" w:cs="Times New Roman"/>
                <w:color w:val="000000" w:themeColor="text1"/>
                <w:sz w:val="16"/>
                <w:szCs w:val="16"/>
              </w:rPr>
              <w:t xml:space="preserve">   4,000 (4,000, 4,000)</w:t>
            </w:r>
          </w:p>
        </w:tc>
        <w:tc>
          <w:tcPr>
            <w:tcW w:w="2855" w:type="dxa"/>
            <w:tcMar>
              <w:top w:w="100" w:type="dxa"/>
              <w:left w:w="100" w:type="dxa"/>
              <w:bottom w:w="100" w:type="dxa"/>
              <w:right w:w="100" w:type="dxa"/>
            </w:tcMar>
          </w:tcPr>
          <w:p w14:paraId="1864A308" w14:textId="77777777" w:rsidR="00F679C0" w:rsidRPr="00B9476D" w:rsidRDefault="00E45E40" w:rsidP="00B9476D">
            <w:pPr>
              <w:spacing w:line="240" w:lineRule="auto"/>
              <w:jc w:val="center"/>
              <w:rPr>
                <w:rFonts w:ascii="Times New Roman" w:hAnsi="Times New Roman" w:cs="Times New Roman"/>
                <w:color w:val="000000" w:themeColor="text1"/>
                <w:sz w:val="16"/>
                <w:szCs w:val="16"/>
              </w:rPr>
            </w:pPr>
            <w:r w:rsidRPr="00B9476D">
              <w:rPr>
                <w:rFonts w:ascii="Times New Roman" w:hAnsi="Times New Roman" w:cs="Times New Roman"/>
                <w:color w:val="000000" w:themeColor="text1"/>
                <w:sz w:val="16"/>
                <w:szCs w:val="16"/>
              </w:rPr>
              <w:t>55,700 (51,500, 62,900)</w:t>
            </w:r>
          </w:p>
        </w:tc>
        <w:tc>
          <w:tcPr>
            <w:tcW w:w="2855" w:type="dxa"/>
            <w:tcMar>
              <w:top w:w="100" w:type="dxa"/>
              <w:left w:w="100" w:type="dxa"/>
              <w:bottom w:w="100" w:type="dxa"/>
              <w:right w:w="100" w:type="dxa"/>
            </w:tcMar>
          </w:tcPr>
          <w:p w14:paraId="67CF24DF" w14:textId="77777777" w:rsidR="00F679C0" w:rsidRPr="00B9476D" w:rsidRDefault="00E45E40" w:rsidP="00B9476D">
            <w:pPr>
              <w:spacing w:line="240" w:lineRule="auto"/>
              <w:jc w:val="center"/>
              <w:rPr>
                <w:rFonts w:ascii="Times New Roman" w:hAnsi="Times New Roman" w:cs="Times New Roman"/>
                <w:color w:val="000000" w:themeColor="text1"/>
                <w:sz w:val="16"/>
                <w:szCs w:val="16"/>
              </w:rPr>
            </w:pPr>
            <w:r w:rsidRPr="00B9476D">
              <w:rPr>
                <w:rFonts w:ascii="Times New Roman" w:hAnsi="Times New Roman" w:cs="Times New Roman"/>
                <w:color w:val="000000" w:themeColor="text1"/>
                <w:sz w:val="16"/>
                <w:szCs w:val="16"/>
              </w:rPr>
              <w:t xml:space="preserve">   2,600 (2,400, 3,000)</w:t>
            </w:r>
          </w:p>
        </w:tc>
      </w:tr>
      <w:tr w:rsidR="00932369" w:rsidRPr="00B9476D" w14:paraId="1172B2D8" w14:textId="77777777" w:rsidTr="003D40FA">
        <w:trPr>
          <w:trHeight w:val="20"/>
        </w:trPr>
        <w:tc>
          <w:tcPr>
            <w:tcW w:w="1065" w:type="dxa"/>
            <w:tcMar>
              <w:top w:w="100" w:type="dxa"/>
              <w:left w:w="100" w:type="dxa"/>
              <w:bottom w:w="100" w:type="dxa"/>
              <w:right w:w="100" w:type="dxa"/>
            </w:tcMar>
          </w:tcPr>
          <w:p w14:paraId="29C355E3" w14:textId="77777777" w:rsidR="00F679C0" w:rsidRPr="00B9476D" w:rsidRDefault="00E45E40" w:rsidP="00B9476D">
            <w:pPr>
              <w:spacing w:line="240" w:lineRule="auto"/>
              <w:jc w:val="center"/>
              <w:rPr>
                <w:rFonts w:ascii="Times New Roman" w:hAnsi="Times New Roman" w:cs="Times New Roman"/>
                <w:color w:val="000000" w:themeColor="text1"/>
                <w:sz w:val="16"/>
                <w:szCs w:val="16"/>
              </w:rPr>
            </w:pPr>
            <w:r w:rsidRPr="00B9476D">
              <w:rPr>
                <w:rFonts w:ascii="Times New Roman" w:hAnsi="Times New Roman" w:cs="Times New Roman"/>
                <w:color w:val="000000" w:themeColor="text1"/>
                <w:sz w:val="16"/>
                <w:szCs w:val="16"/>
              </w:rPr>
              <w:t>ENG</w:t>
            </w:r>
          </w:p>
        </w:tc>
        <w:tc>
          <w:tcPr>
            <w:tcW w:w="1995" w:type="dxa"/>
            <w:vMerge/>
            <w:tcMar>
              <w:top w:w="100" w:type="dxa"/>
              <w:left w:w="100" w:type="dxa"/>
              <w:bottom w:w="100" w:type="dxa"/>
              <w:right w:w="100" w:type="dxa"/>
            </w:tcMar>
          </w:tcPr>
          <w:p w14:paraId="45C2B2CA" w14:textId="77777777" w:rsidR="00F679C0" w:rsidRPr="00B9476D" w:rsidRDefault="00F679C0" w:rsidP="00B9476D">
            <w:pPr>
              <w:spacing w:line="240" w:lineRule="auto"/>
              <w:jc w:val="center"/>
              <w:rPr>
                <w:rFonts w:ascii="Times New Roman" w:hAnsi="Times New Roman" w:cs="Times New Roman"/>
                <w:color w:val="000000" w:themeColor="text1"/>
                <w:sz w:val="16"/>
                <w:szCs w:val="16"/>
              </w:rPr>
            </w:pPr>
          </w:p>
        </w:tc>
        <w:tc>
          <w:tcPr>
            <w:tcW w:w="1335" w:type="dxa"/>
            <w:tcMar>
              <w:top w:w="100" w:type="dxa"/>
              <w:left w:w="100" w:type="dxa"/>
              <w:bottom w:w="100" w:type="dxa"/>
              <w:right w:w="100" w:type="dxa"/>
            </w:tcMar>
          </w:tcPr>
          <w:p w14:paraId="5951DA9B" w14:textId="77777777" w:rsidR="00F679C0" w:rsidRPr="00B9476D" w:rsidRDefault="00E45E40" w:rsidP="00B9476D">
            <w:pPr>
              <w:spacing w:line="240" w:lineRule="auto"/>
              <w:jc w:val="center"/>
              <w:rPr>
                <w:rFonts w:ascii="Times New Roman" w:hAnsi="Times New Roman" w:cs="Times New Roman"/>
                <w:color w:val="000000" w:themeColor="text1"/>
                <w:sz w:val="16"/>
                <w:szCs w:val="16"/>
              </w:rPr>
            </w:pPr>
            <w:r w:rsidRPr="00B9476D">
              <w:rPr>
                <w:rFonts w:ascii="Times New Roman" w:hAnsi="Times New Roman" w:cs="Times New Roman"/>
                <w:color w:val="000000" w:themeColor="text1"/>
                <w:sz w:val="16"/>
                <w:szCs w:val="16"/>
              </w:rPr>
              <w:t>1.2</w:t>
            </w:r>
          </w:p>
        </w:tc>
        <w:tc>
          <w:tcPr>
            <w:tcW w:w="2855" w:type="dxa"/>
            <w:tcMar>
              <w:top w:w="100" w:type="dxa"/>
              <w:left w:w="100" w:type="dxa"/>
              <w:bottom w:w="100" w:type="dxa"/>
              <w:right w:w="100" w:type="dxa"/>
            </w:tcMar>
          </w:tcPr>
          <w:p w14:paraId="343C4360" w14:textId="77777777" w:rsidR="00F679C0" w:rsidRPr="00B9476D" w:rsidRDefault="00E45E40" w:rsidP="00B9476D">
            <w:pPr>
              <w:spacing w:line="240" w:lineRule="auto"/>
              <w:jc w:val="center"/>
              <w:rPr>
                <w:rFonts w:ascii="Times New Roman" w:hAnsi="Times New Roman" w:cs="Times New Roman"/>
                <w:color w:val="000000" w:themeColor="text1"/>
                <w:sz w:val="16"/>
                <w:szCs w:val="16"/>
              </w:rPr>
            </w:pPr>
            <w:r w:rsidRPr="00B9476D">
              <w:rPr>
                <w:rFonts w:ascii="Times New Roman" w:hAnsi="Times New Roman" w:cs="Times New Roman"/>
                <w:color w:val="000000" w:themeColor="text1"/>
                <w:sz w:val="16"/>
                <w:szCs w:val="16"/>
              </w:rPr>
              <w:t xml:space="preserve">   4,400 (4,400, 4,400)</w:t>
            </w:r>
          </w:p>
        </w:tc>
        <w:tc>
          <w:tcPr>
            <w:tcW w:w="2855" w:type="dxa"/>
            <w:tcMar>
              <w:top w:w="100" w:type="dxa"/>
              <w:left w:w="100" w:type="dxa"/>
              <w:bottom w:w="100" w:type="dxa"/>
              <w:right w:w="100" w:type="dxa"/>
            </w:tcMar>
          </w:tcPr>
          <w:p w14:paraId="06F19644" w14:textId="77777777" w:rsidR="00F679C0" w:rsidRPr="00B9476D" w:rsidRDefault="00E45E40" w:rsidP="00B9476D">
            <w:pPr>
              <w:spacing w:line="240" w:lineRule="auto"/>
              <w:jc w:val="center"/>
              <w:rPr>
                <w:rFonts w:ascii="Times New Roman" w:hAnsi="Times New Roman" w:cs="Times New Roman"/>
                <w:color w:val="000000" w:themeColor="text1"/>
                <w:sz w:val="16"/>
                <w:szCs w:val="16"/>
              </w:rPr>
            </w:pPr>
            <w:r w:rsidRPr="00B9476D">
              <w:rPr>
                <w:rFonts w:ascii="Times New Roman" w:hAnsi="Times New Roman" w:cs="Times New Roman"/>
                <w:color w:val="000000" w:themeColor="text1"/>
                <w:sz w:val="16"/>
                <w:szCs w:val="16"/>
              </w:rPr>
              <w:t>29,100 (28,500, 29,700)</w:t>
            </w:r>
          </w:p>
        </w:tc>
        <w:tc>
          <w:tcPr>
            <w:tcW w:w="2855" w:type="dxa"/>
            <w:tcMar>
              <w:top w:w="100" w:type="dxa"/>
              <w:left w:w="100" w:type="dxa"/>
              <w:bottom w:w="100" w:type="dxa"/>
              <w:right w:w="100" w:type="dxa"/>
            </w:tcMar>
          </w:tcPr>
          <w:p w14:paraId="7D1E60C0" w14:textId="77777777" w:rsidR="00F679C0" w:rsidRPr="00B9476D" w:rsidRDefault="00E45E40" w:rsidP="00B9476D">
            <w:pPr>
              <w:spacing w:line="240" w:lineRule="auto"/>
              <w:jc w:val="center"/>
              <w:rPr>
                <w:rFonts w:ascii="Times New Roman" w:hAnsi="Times New Roman" w:cs="Times New Roman"/>
                <w:color w:val="000000" w:themeColor="text1"/>
                <w:sz w:val="16"/>
                <w:szCs w:val="16"/>
              </w:rPr>
            </w:pPr>
            <w:r w:rsidRPr="00B9476D">
              <w:rPr>
                <w:rFonts w:ascii="Times New Roman" w:hAnsi="Times New Roman" w:cs="Times New Roman"/>
                <w:color w:val="000000" w:themeColor="text1"/>
                <w:sz w:val="16"/>
                <w:szCs w:val="16"/>
              </w:rPr>
              <w:t xml:space="preserve">   3,500 (3,300, 3,800)</w:t>
            </w:r>
          </w:p>
        </w:tc>
      </w:tr>
      <w:tr w:rsidR="00932369" w:rsidRPr="00B9476D" w14:paraId="2E6CB417" w14:textId="77777777" w:rsidTr="003D40FA">
        <w:trPr>
          <w:trHeight w:val="26"/>
        </w:trPr>
        <w:tc>
          <w:tcPr>
            <w:tcW w:w="1065" w:type="dxa"/>
            <w:tcMar>
              <w:top w:w="100" w:type="dxa"/>
              <w:left w:w="100" w:type="dxa"/>
              <w:bottom w:w="100" w:type="dxa"/>
              <w:right w:w="100" w:type="dxa"/>
            </w:tcMar>
          </w:tcPr>
          <w:p w14:paraId="7843BD24" w14:textId="77777777" w:rsidR="00F679C0" w:rsidRPr="00B9476D" w:rsidRDefault="00E45E40" w:rsidP="00B9476D">
            <w:pPr>
              <w:spacing w:line="240" w:lineRule="auto"/>
              <w:jc w:val="center"/>
              <w:rPr>
                <w:rFonts w:ascii="Times New Roman" w:hAnsi="Times New Roman" w:cs="Times New Roman"/>
                <w:color w:val="000000" w:themeColor="text1"/>
                <w:sz w:val="16"/>
                <w:szCs w:val="16"/>
              </w:rPr>
            </w:pPr>
            <w:r w:rsidRPr="00B9476D">
              <w:rPr>
                <w:rFonts w:ascii="Times New Roman" w:hAnsi="Times New Roman" w:cs="Times New Roman"/>
                <w:color w:val="000000" w:themeColor="text1"/>
                <w:sz w:val="16"/>
                <w:szCs w:val="16"/>
              </w:rPr>
              <w:t>grouped</w:t>
            </w:r>
          </w:p>
        </w:tc>
        <w:tc>
          <w:tcPr>
            <w:tcW w:w="1995" w:type="dxa"/>
            <w:vMerge/>
            <w:tcMar>
              <w:top w:w="100" w:type="dxa"/>
              <w:left w:w="100" w:type="dxa"/>
              <w:bottom w:w="100" w:type="dxa"/>
              <w:right w:w="100" w:type="dxa"/>
            </w:tcMar>
          </w:tcPr>
          <w:p w14:paraId="59BC0284" w14:textId="77777777" w:rsidR="00F679C0" w:rsidRPr="00B9476D" w:rsidRDefault="00F679C0" w:rsidP="00B9476D">
            <w:pPr>
              <w:spacing w:line="240" w:lineRule="auto"/>
              <w:jc w:val="center"/>
              <w:rPr>
                <w:rFonts w:ascii="Times New Roman" w:hAnsi="Times New Roman" w:cs="Times New Roman"/>
                <w:color w:val="000000" w:themeColor="text1"/>
                <w:sz w:val="16"/>
                <w:szCs w:val="16"/>
              </w:rPr>
            </w:pPr>
          </w:p>
        </w:tc>
        <w:tc>
          <w:tcPr>
            <w:tcW w:w="1335" w:type="dxa"/>
            <w:tcMar>
              <w:top w:w="100" w:type="dxa"/>
              <w:left w:w="100" w:type="dxa"/>
              <w:bottom w:w="100" w:type="dxa"/>
              <w:right w:w="100" w:type="dxa"/>
            </w:tcMar>
          </w:tcPr>
          <w:p w14:paraId="1CB96649" w14:textId="77777777" w:rsidR="00F679C0" w:rsidRPr="00B9476D" w:rsidRDefault="00E45E40" w:rsidP="00B9476D">
            <w:pPr>
              <w:spacing w:line="240" w:lineRule="auto"/>
              <w:jc w:val="center"/>
              <w:rPr>
                <w:rFonts w:ascii="Times New Roman" w:hAnsi="Times New Roman" w:cs="Times New Roman"/>
                <w:color w:val="000000" w:themeColor="text1"/>
                <w:sz w:val="16"/>
                <w:szCs w:val="16"/>
              </w:rPr>
            </w:pPr>
            <w:r w:rsidRPr="00B9476D">
              <w:rPr>
                <w:rFonts w:ascii="Times New Roman" w:hAnsi="Times New Roman" w:cs="Times New Roman"/>
                <w:color w:val="000000" w:themeColor="text1"/>
                <w:sz w:val="16"/>
                <w:szCs w:val="16"/>
              </w:rPr>
              <w:t>1.2</w:t>
            </w:r>
          </w:p>
        </w:tc>
        <w:tc>
          <w:tcPr>
            <w:tcW w:w="2855" w:type="dxa"/>
            <w:tcMar>
              <w:top w:w="100" w:type="dxa"/>
              <w:left w:w="100" w:type="dxa"/>
              <w:bottom w:w="100" w:type="dxa"/>
              <w:right w:w="100" w:type="dxa"/>
            </w:tcMar>
          </w:tcPr>
          <w:p w14:paraId="0F95BA51" w14:textId="77777777" w:rsidR="00F679C0" w:rsidRPr="00B9476D" w:rsidRDefault="00E45E40" w:rsidP="00B9476D">
            <w:pPr>
              <w:spacing w:line="240" w:lineRule="auto"/>
              <w:jc w:val="center"/>
              <w:rPr>
                <w:rFonts w:ascii="Times New Roman" w:hAnsi="Times New Roman" w:cs="Times New Roman"/>
                <w:color w:val="000000" w:themeColor="text1"/>
                <w:sz w:val="16"/>
                <w:szCs w:val="16"/>
              </w:rPr>
            </w:pPr>
            <w:r w:rsidRPr="00B9476D">
              <w:rPr>
                <w:rFonts w:ascii="Times New Roman" w:hAnsi="Times New Roman" w:cs="Times New Roman"/>
                <w:color w:val="000000" w:themeColor="text1"/>
                <w:sz w:val="16"/>
                <w:szCs w:val="16"/>
              </w:rPr>
              <w:t xml:space="preserve">   4,000 (4,000, 4,000)</w:t>
            </w:r>
          </w:p>
        </w:tc>
        <w:tc>
          <w:tcPr>
            <w:tcW w:w="2855" w:type="dxa"/>
            <w:tcMar>
              <w:top w:w="100" w:type="dxa"/>
              <w:left w:w="100" w:type="dxa"/>
              <w:bottom w:w="100" w:type="dxa"/>
              <w:right w:w="100" w:type="dxa"/>
            </w:tcMar>
          </w:tcPr>
          <w:p w14:paraId="7E1966F3" w14:textId="77777777" w:rsidR="00F679C0" w:rsidRPr="00B9476D" w:rsidRDefault="00E45E40" w:rsidP="00B9476D">
            <w:pPr>
              <w:spacing w:line="240" w:lineRule="auto"/>
              <w:jc w:val="center"/>
              <w:rPr>
                <w:rFonts w:ascii="Times New Roman" w:hAnsi="Times New Roman" w:cs="Times New Roman"/>
                <w:color w:val="000000" w:themeColor="text1"/>
                <w:sz w:val="16"/>
                <w:szCs w:val="16"/>
              </w:rPr>
            </w:pPr>
            <w:r w:rsidRPr="00B9476D">
              <w:rPr>
                <w:rFonts w:ascii="Times New Roman" w:hAnsi="Times New Roman" w:cs="Times New Roman"/>
                <w:color w:val="000000" w:themeColor="text1"/>
                <w:sz w:val="16"/>
                <w:szCs w:val="16"/>
              </w:rPr>
              <w:t>55,700 (51,500, 62,900)</w:t>
            </w:r>
          </w:p>
        </w:tc>
        <w:tc>
          <w:tcPr>
            <w:tcW w:w="2855" w:type="dxa"/>
            <w:tcMar>
              <w:top w:w="100" w:type="dxa"/>
              <w:left w:w="100" w:type="dxa"/>
              <w:bottom w:w="100" w:type="dxa"/>
              <w:right w:w="100" w:type="dxa"/>
            </w:tcMar>
          </w:tcPr>
          <w:p w14:paraId="2F8F7AF4" w14:textId="77777777" w:rsidR="00F679C0" w:rsidRPr="00B9476D" w:rsidRDefault="00E45E40" w:rsidP="00B9476D">
            <w:pPr>
              <w:spacing w:line="240" w:lineRule="auto"/>
              <w:jc w:val="center"/>
              <w:rPr>
                <w:rFonts w:ascii="Times New Roman" w:hAnsi="Times New Roman" w:cs="Times New Roman"/>
                <w:color w:val="000000" w:themeColor="text1"/>
                <w:sz w:val="16"/>
                <w:szCs w:val="16"/>
              </w:rPr>
            </w:pPr>
            <w:r w:rsidRPr="00B9476D">
              <w:rPr>
                <w:rFonts w:ascii="Times New Roman" w:hAnsi="Times New Roman" w:cs="Times New Roman"/>
                <w:color w:val="000000" w:themeColor="text1"/>
                <w:sz w:val="16"/>
                <w:szCs w:val="16"/>
              </w:rPr>
              <w:t xml:space="preserve">   6,600 (5,900, 7,400)</w:t>
            </w:r>
          </w:p>
        </w:tc>
      </w:tr>
      <w:tr w:rsidR="00932369" w:rsidRPr="00B9476D" w14:paraId="50A9F11B" w14:textId="77777777" w:rsidTr="003D40FA">
        <w:trPr>
          <w:trHeight w:val="89"/>
        </w:trPr>
        <w:tc>
          <w:tcPr>
            <w:tcW w:w="1065" w:type="dxa"/>
            <w:tcMar>
              <w:top w:w="100" w:type="dxa"/>
              <w:left w:w="100" w:type="dxa"/>
              <w:bottom w:w="100" w:type="dxa"/>
              <w:right w:w="100" w:type="dxa"/>
            </w:tcMar>
          </w:tcPr>
          <w:p w14:paraId="1B459AD8" w14:textId="77777777" w:rsidR="00F679C0" w:rsidRPr="00B9476D" w:rsidRDefault="00E45E40" w:rsidP="00B9476D">
            <w:pPr>
              <w:spacing w:line="240" w:lineRule="auto"/>
              <w:jc w:val="center"/>
              <w:rPr>
                <w:rFonts w:ascii="Times New Roman" w:hAnsi="Times New Roman" w:cs="Times New Roman"/>
                <w:color w:val="000000" w:themeColor="text1"/>
                <w:sz w:val="16"/>
                <w:szCs w:val="16"/>
              </w:rPr>
            </w:pPr>
            <w:r w:rsidRPr="00B9476D">
              <w:rPr>
                <w:rFonts w:ascii="Times New Roman" w:hAnsi="Times New Roman" w:cs="Times New Roman"/>
                <w:color w:val="000000" w:themeColor="text1"/>
                <w:sz w:val="16"/>
                <w:szCs w:val="16"/>
              </w:rPr>
              <w:t>ENG</w:t>
            </w:r>
          </w:p>
        </w:tc>
        <w:tc>
          <w:tcPr>
            <w:tcW w:w="1995" w:type="dxa"/>
            <w:vMerge/>
            <w:tcMar>
              <w:top w:w="100" w:type="dxa"/>
              <w:left w:w="100" w:type="dxa"/>
              <w:bottom w:w="100" w:type="dxa"/>
              <w:right w:w="100" w:type="dxa"/>
            </w:tcMar>
          </w:tcPr>
          <w:p w14:paraId="585204B1" w14:textId="77777777" w:rsidR="00F679C0" w:rsidRPr="00B9476D" w:rsidRDefault="00F679C0" w:rsidP="00B9476D">
            <w:pPr>
              <w:spacing w:line="240" w:lineRule="auto"/>
              <w:jc w:val="center"/>
              <w:rPr>
                <w:rFonts w:ascii="Times New Roman" w:hAnsi="Times New Roman" w:cs="Times New Roman"/>
                <w:color w:val="000000" w:themeColor="text1"/>
                <w:sz w:val="16"/>
                <w:szCs w:val="16"/>
              </w:rPr>
            </w:pPr>
          </w:p>
        </w:tc>
        <w:tc>
          <w:tcPr>
            <w:tcW w:w="1335" w:type="dxa"/>
            <w:tcMar>
              <w:top w:w="100" w:type="dxa"/>
              <w:left w:w="100" w:type="dxa"/>
              <w:bottom w:w="100" w:type="dxa"/>
              <w:right w:w="100" w:type="dxa"/>
            </w:tcMar>
          </w:tcPr>
          <w:p w14:paraId="5D8AEB4B" w14:textId="77777777" w:rsidR="00F679C0" w:rsidRPr="00B9476D" w:rsidRDefault="00E45E40" w:rsidP="00B9476D">
            <w:pPr>
              <w:spacing w:line="240" w:lineRule="auto"/>
              <w:jc w:val="center"/>
              <w:rPr>
                <w:rFonts w:ascii="Times New Roman" w:hAnsi="Times New Roman" w:cs="Times New Roman"/>
                <w:color w:val="000000" w:themeColor="text1"/>
                <w:sz w:val="16"/>
                <w:szCs w:val="16"/>
              </w:rPr>
            </w:pPr>
            <w:r w:rsidRPr="00B9476D">
              <w:rPr>
                <w:rFonts w:ascii="Times New Roman" w:hAnsi="Times New Roman" w:cs="Times New Roman"/>
                <w:color w:val="000000" w:themeColor="text1"/>
                <w:sz w:val="16"/>
                <w:szCs w:val="16"/>
              </w:rPr>
              <w:t>rt</w:t>
            </w:r>
          </w:p>
        </w:tc>
        <w:tc>
          <w:tcPr>
            <w:tcW w:w="2855" w:type="dxa"/>
            <w:tcMar>
              <w:top w:w="100" w:type="dxa"/>
              <w:left w:w="100" w:type="dxa"/>
              <w:bottom w:w="100" w:type="dxa"/>
              <w:right w:w="100" w:type="dxa"/>
            </w:tcMar>
          </w:tcPr>
          <w:p w14:paraId="357172CA" w14:textId="77777777" w:rsidR="00F679C0" w:rsidRPr="00B9476D" w:rsidRDefault="00E45E40" w:rsidP="00B9476D">
            <w:pPr>
              <w:spacing w:line="240" w:lineRule="auto"/>
              <w:jc w:val="center"/>
              <w:rPr>
                <w:rFonts w:ascii="Times New Roman" w:hAnsi="Times New Roman" w:cs="Times New Roman"/>
                <w:color w:val="000000" w:themeColor="text1"/>
                <w:sz w:val="16"/>
                <w:szCs w:val="16"/>
              </w:rPr>
            </w:pPr>
            <w:r w:rsidRPr="00B9476D">
              <w:rPr>
                <w:rFonts w:ascii="Times New Roman" w:hAnsi="Times New Roman" w:cs="Times New Roman"/>
                <w:color w:val="000000" w:themeColor="text1"/>
                <w:sz w:val="16"/>
                <w:szCs w:val="16"/>
              </w:rPr>
              <w:t xml:space="preserve">   4,400 (4,400, 4,400)</w:t>
            </w:r>
          </w:p>
        </w:tc>
        <w:tc>
          <w:tcPr>
            <w:tcW w:w="2855" w:type="dxa"/>
            <w:tcMar>
              <w:top w:w="100" w:type="dxa"/>
              <w:left w:w="100" w:type="dxa"/>
              <w:bottom w:w="100" w:type="dxa"/>
              <w:right w:w="100" w:type="dxa"/>
            </w:tcMar>
          </w:tcPr>
          <w:p w14:paraId="5C4D815A" w14:textId="77777777" w:rsidR="00F679C0" w:rsidRPr="00B9476D" w:rsidRDefault="00E45E40" w:rsidP="00B9476D">
            <w:pPr>
              <w:spacing w:line="240" w:lineRule="auto"/>
              <w:jc w:val="center"/>
              <w:rPr>
                <w:rFonts w:ascii="Times New Roman" w:hAnsi="Times New Roman" w:cs="Times New Roman"/>
                <w:color w:val="000000" w:themeColor="text1"/>
                <w:sz w:val="16"/>
                <w:szCs w:val="16"/>
              </w:rPr>
            </w:pPr>
            <w:r w:rsidRPr="00B9476D">
              <w:rPr>
                <w:rFonts w:ascii="Times New Roman" w:hAnsi="Times New Roman" w:cs="Times New Roman"/>
                <w:color w:val="000000" w:themeColor="text1"/>
                <w:sz w:val="16"/>
                <w:szCs w:val="16"/>
              </w:rPr>
              <w:t>29,100 (28,500, 29,700)</w:t>
            </w:r>
          </w:p>
        </w:tc>
        <w:tc>
          <w:tcPr>
            <w:tcW w:w="2855" w:type="dxa"/>
            <w:tcMar>
              <w:top w:w="100" w:type="dxa"/>
              <w:left w:w="100" w:type="dxa"/>
              <w:bottom w:w="100" w:type="dxa"/>
              <w:right w:w="100" w:type="dxa"/>
            </w:tcMar>
          </w:tcPr>
          <w:p w14:paraId="24684EF6" w14:textId="77777777" w:rsidR="00F679C0" w:rsidRPr="00B9476D" w:rsidRDefault="00E45E40" w:rsidP="00B9476D">
            <w:pPr>
              <w:spacing w:line="240" w:lineRule="auto"/>
              <w:jc w:val="center"/>
              <w:rPr>
                <w:rFonts w:ascii="Times New Roman" w:hAnsi="Times New Roman" w:cs="Times New Roman"/>
                <w:color w:val="000000" w:themeColor="text1"/>
                <w:sz w:val="16"/>
                <w:szCs w:val="16"/>
              </w:rPr>
            </w:pPr>
            <w:r w:rsidRPr="00B9476D">
              <w:rPr>
                <w:rFonts w:ascii="Times New Roman" w:hAnsi="Times New Roman" w:cs="Times New Roman"/>
                <w:color w:val="000000" w:themeColor="text1"/>
                <w:sz w:val="16"/>
                <w:szCs w:val="16"/>
              </w:rPr>
              <w:t xml:space="preserve">   2,100 (2,000, 2,200)</w:t>
            </w:r>
          </w:p>
        </w:tc>
      </w:tr>
      <w:tr w:rsidR="00932369" w:rsidRPr="00B9476D" w14:paraId="15804F98" w14:textId="77777777" w:rsidTr="003D40FA">
        <w:trPr>
          <w:trHeight w:val="126"/>
        </w:trPr>
        <w:tc>
          <w:tcPr>
            <w:tcW w:w="1065" w:type="dxa"/>
            <w:tcMar>
              <w:top w:w="100" w:type="dxa"/>
              <w:left w:w="100" w:type="dxa"/>
              <w:bottom w:w="100" w:type="dxa"/>
              <w:right w:w="100" w:type="dxa"/>
            </w:tcMar>
          </w:tcPr>
          <w:p w14:paraId="22938C6D" w14:textId="77777777" w:rsidR="00F679C0" w:rsidRPr="00B9476D" w:rsidRDefault="00E45E40" w:rsidP="00B9476D">
            <w:pPr>
              <w:spacing w:line="240" w:lineRule="auto"/>
              <w:jc w:val="center"/>
              <w:rPr>
                <w:rFonts w:ascii="Times New Roman" w:hAnsi="Times New Roman" w:cs="Times New Roman"/>
                <w:color w:val="000000" w:themeColor="text1"/>
                <w:sz w:val="16"/>
                <w:szCs w:val="16"/>
              </w:rPr>
            </w:pPr>
            <w:r w:rsidRPr="00B9476D">
              <w:rPr>
                <w:rFonts w:ascii="Times New Roman" w:hAnsi="Times New Roman" w:cs="Times New Roman"/>
                <w:color w:val="000000" w:themeColor="text1"/>
                <w:sz w:val="16"/>
                <w:szCs w:val="16"/>
              </w:rPr>
              <w:lastRenderedPageBreak/>
              <w:t>grouped</w:t>
            </w:r>
          </w:p>
        </w:tc>
        <w:tc>
          <w:tcPr>
            <w:tcW w:w="1995" w:type="dxa"/>
            <w:vMerge/>
            <w:tcMar>
              <w:top w:w="100" w:type="dxa"/>
              <w:left w:w="100" w:type="dxa"/>
              <w:bottom w:w="100" w:type="dxa"/>
              <w:right w:w="100" w:type="dxa"/>
            </w:tcMar>
          </w:tcPr>
          <w:p w14:paraId="117EEF7E" w14:textId="77777777" w:rsidR="00F679C0" w:rsidRPr="00B9476D" w:rsidRDefault="00F679C0" w:rsidP="00B9476D">
            <w:pPr>
              <w:spacing w:line="240" w:lineRule="auto"/>
              <w:jc w:val="center"/>
              <w:rPr>
                <w:rFonts w:ascii="Times New Roman" w:hAnsi="Times New Roman" w:cs="Times New Roman"/>
                <w:color w:val="000000" w:themeColor="text1"/>
                <w:sz w:val="16"/>
                <w:szCs w:val="16"/>
              </w:rPr>
            </w:pPr>
          </w:p>
        </w:tc>
        <w:tc>
          <w:tcPr>
            <w:tcW w:w="1335" w:type="dxa"/>
            <w:tcMar>
              <w:top w:w="100" w:type="dxa"/>
              <w:left w:w="100" w:type="dxa"/>
              <w:bottom w:w="100" w:type="dxa"/>
              <w:right w:w="100" w:type="dxa"/>
            </w:tcMar>
          </w:tcPr>
          <w:p w14:paraId="4DB66999" w14:textId="77777777" w:rsidR="00F679C0" w:rsidRPr="00B9476D" w:rsidRDefault="00E45E40" w:rsidP="00B9476D">
            <w:pPr>
              <w:spacing w:line="240" w:lineRule="auto"/>
              <w:jc w:val="center"/>
              <w:rPr>
                <w:rFonts w:ascii="Times New Roman" w:hAnsi="Times New Roman" w:cs="Times New Roman"/>
                <w:color w:val="000000" w:themeColor="text1"/>
                <w:sz w:val="16"/>
                <w:szCs w:val="16"/>
              </w:rPr>
            </w:pPr>
            <w:r w:rsidRPr="00B9476D">
              <w:rPr>
                <w:rFonts w:ascii="Times New Roman" w:hAnsi="Times New Roman" w:cs="Times New Roman"/>
                <w:color w:val="000000" w:themeColor="text1"/>
                <w:sz w:val="16"/>
                <w:szCs w:val="16"/>
              </w:rPr>
              <w:t>rt</w:t>
            </w:r>
          </w:p>
        </w:tc>
        <w:tc>
          <w:tcPr>
            <w:tcW w:w="2855" w:type="dxa"/>
            <w:tcMar>
              <w:top w:w="100" w:type="dxa"/>
              <w:left w:w="100" w:type="dxa"/>
              <w:bottom w:w="100" w:type="dxa"/>
              <w:right w:w="100" w:type="dxa"/>
            </w:tcMar>
          </w:tcPr>
          <w:p w14:paraId="69FDEE97" w14:textId="77777777" w:rsidR="00F679C0" w:rsidRPr="00B9476D" w:rsidRDefault="00E45E40" w:rsidP="00B9476D">
            <w:pPr>
              <w:spacing w:line="240" w:lineRule="auto"/>
              <w:jc w:val="center"/>
              <w:rPr>
                <w:rFonts w:ascii="Times New Roman" w:hAnsi="Times New Roman" w:cs="Times New Roman"/>
                <w:color w:val="000000" w:themeColor="text1"/>
                <w:sz w:val="16"/>
                <w:szCs w:val="16"/>
              </w:rPr>
            </w:pPr>
            <w:r w:rsidRPr="00B9476D">
              <w:rPr>
                <w:rFonts w:ascii="Times New Roman" w:hAnsi="Times New Roman" w:cs="Times New Roman"/>
                <w:color w:val="000000" w:themeColor="text1"/>
                <w:sz w:val="16"/>
                <w:szCs w:val="16"/>
              </w:rPr>
              <w:t xml:space="preserve">   4,000 (4,000, 4,000)</w:t>
            </w:r>
          </w:p>
        </w:tc>
        <w:tc>
          <w:tcPr>
            <w:tcW w:w="2855" w:type="dxa"/>
            <w:tcMar>
              <w:top w:w="100" w:type="dxa"/>
              <w:left w:w="100" w:type="dxa"/>
              <w:bottom w:w="100" w:type="dxa"/>
              <w:right w:w="100" w:type="dxa"/>
            </w:tcMar>
          </w:tcPr>
          <w:p w14:paraId="4DB71928" w14:textId="77777777" w:rsidR="00F679C0" w:rsidRPr="00B9476D" w:rsidRDefault="00E45E40" w:rsidP="00B9476D">
            <w:pPr>
              <w:spacing w:line="240" w:lineRule="auto"/>
              <w:jc w:val="center"/>
              <w:rPr>
                <w:rFonts w:ascii="Times New Roman" w:hAnsi="Times New Roman" w:cs="Times New Roman"/>
                <w:color w:val="000000" w:themeColor="text1"/>
                <w:sz w:val="16"/>
                <w:szCs w:val="16"/>
              </w:rPr>
            </w:pPr>
            <w:r w:rsidRPr="00B9476D">
              <w:rPr>
                <w:rFonts w:ascii="Times New Roman" w:hAnsi="Times New Roman" w:cs="Times New Roman"/>
                <w:color w:val="000000" w:themeColor="text1"/>
                <w:sz w:val="16"/>
                <w:szCs w:val="16"/>
              </w:rPr>
              <w:t>55,700 (51,500, 62,900)</w:t>
            </w:r>
          </w:p>
        </w:tc>
        <w:tc>
          <w:tcPr>
            <w:tcW w:w="2855" w:type="dxa"/>
            <w:tcMar>
              <w:top w:w="100" w:type="dxa"/>
              <w:left w:w="100" w:type="dxa"/>
              <w:bottom w:w="100" w:type="dxa"/>
              <w:right w:w="100" w:type="dxa"/>
            </w:tcMar>
          </w:tcPr>
          <w:p w14:paraId="044CE881" w14:textId="77777777" w:rsidR="00F679C0" w:rsidRPr="00B9476D" w:rsidRDefault="00E45E40" w:rsidP="00B9476D">
            <w:pPr>
              <w:spacing w:line="240" w:lineRule="auto"/>
              <w:jc w:val="center"/>
              <w:rPr>
                <w:rFonts w:ascii="Times New Roman" w:hAnsi="Times New Roman" w:cs="Times New Roman"/>
                <w:color w:val="000000" w:themeColor="text1"/>
                <w:sz w:val="16"/>
                <w:szCs w:val="16"/>
              </w:rPr>
            </w:pPr>
            <w:r w:rsidRPr="00B9476D">
              <w:rPr>
                <w:rFonts w:ascii="Times New Roman" w:hAnsi="Times New Roman" w:cs="Times New Roman"/>
                <w:color w:val="000000" w:themeColor="text1"/>
                <w:sz w:val="16"/>
                <w:szCs w:val="16"/>
              </w:rPr>
              <w:t xml:space="preserve">   4,100 (3,700, 4,500)</w:t>
            </w:r>
          </w:p>
        </w:tc>
      </w:tr>
    </w:tbl>
    <w:p w14:paraId="6A835CE7" w14:textId="1D463FF1" w:rsidR="0011454B" w:rsidRDefault="0011454B">
      <w:pPr>
        <w:rPr>
          <w:rFonts w:ascii="Times New Roman" w:hAnsi="Times New Roman" w:cs="Times New Roman"/>
          <w:b/>
          <w:color w:val="000000" w:themeColor="text1"/>
          <w:sz w:val="20"/>
          <w:szCs w:val="20"/>
        </w:rPr>
      </w:pPr>
    </w:p>
    <w:p w14:paraId="76C2766E" w14:textId="159C0986" w:rsidR="00F679C0" w:rsidRPr="00B51293" w:rsidRDefault="0011454B">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br w:type="page"/>
      </w:r>
    </w:p>
    <w:p w14:paraId="4C900660" w14:textId="77777777" w:rsidR="00F679C0" w:rsidRPr="00B51293" w:rsidRDefault="00E45E40">
      <w:pPr>
        <w:spacing w:after="240"/>
        <w:jc w:val="left"/>
        <w:rPr>
          <w:rFonts w:ascii="Times New Roman" w:hAnsi="Times New Roman" w:cs="Times New Roman"/>
          <w:b/>
          <w:color w:val="000000" w:themeColor="text1"/>
          <w:sz w:val="20"/>
          <w:szCs w:val="20"/>
        </w:rPr>
      </w:pPr>
      <w:r w:rsidRPr="00B51293">
        <w:rPr>
          <w:rFonts w:ascii="Times New Roman" w:hAnsi="Times New Roman" w:cs="Times New Roman"/>
          <w:b/>
          <w:noProof/>
          <w:color w:val="000000" w:themeColor="text1"/>
          <w:sz w:val="20"/>
          <w:szCs w:val="20"/>
        </w:rPr>
        <w:lastRenderedPageBreak/>
        <w:drawing>
          <wp:inline distT="114300" distB="114300" distL="114300" distR="114300" wp14:anchorId="532ED9DE" wp14:editId="4768F210">
            <wp:extent cx="8229600" cy="4114800"/>
            <wp:effectExtent l="0" t="0" r="0" b="0"/>
            <wp:docPr id="12"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7"/>
                    <a:srcRect/>
                    <a:stretch>
                      <a:fillRect/>
                    </a:stretch>
                  </pic:blipFill>
                  <pic:spPr>
                    <a:xfrm>
                      <a:off x="0" y="0"/>
                      <a:ext cx="8229600" cy="4114800"/>
                    </a:xfrm>
                    <a:prstGeom prst="rect">
                      <a:avLst/>
                    </a:prstGeom>
                    <a:ln/>
                  </pic:spPr>
                </pic:pic>
              </a:graphicData>
            </a:graphic>
          </wp:inline>
        </w:drawing>
      </w:r>
    </w:p>
    <w:p w14:paraId="4C515F66" w14:textId="77777777" w:rsidR="00F679C0" w:rsidRPr="00B51293" w:rsidRDefault="00E45E40">
      <w:pPr>
        <w:spacing w:after="240"/>
        <w:jc w:val="center"/>
        <w:rPr>
          <w:rFonts w:ascii="Times New Roman" w:hAnsi="Times New Roman" w:cs="Times New Roman"/>
          <w:b/>
          <w:color w:val="000000" w:themeColor="text1"/>
          <w:sz w:val="20"/>
          <w:szCs w:val="20"/>
        </w:rPr>
      </w:pPr>
      <w:r w:rsidRPr="00B51293">
        <w:rPr>
          <w:rFonts w:ascii="Times New Roman" w:hAnsi="Times New Roman" w:cs="Times New Roman"/>
          <w:b/>
          <w:color w:val="000000" w:themeColor="text1"/>
          <w:sz w:val="20"/>
          <w:szCs w:val="20"/>
        </w:rPr>
        <w:t xml:space="preserve">Figure S15: For the first symptom onset to </w:t>
      </w:r>
      <w:proofErr w:type="spellStart"/>
      <w:r w:rsidRPr="00B51293">
        <w:rPr>
          <w:rFonts w:ascii="Times New Roman" w:hAnsi="Times New Roman" w:cs="Times New Roman"/>
          <w:b/>
          <w:color w:val="000000" w:themeColor="text1"/>
          <w:sz w:val="20"/>
          <w:szCs w:val="20"/>
        </w:rPr>
        <w:t>hospitalisation</w:t>
      </w:r>
      <w:proofErr w:type="spellEnd"/>
      <w:r w:rsidRPr="00B51293">
        <w:rPr>
          <w:rFonts w:ascii="Times New Roman" w:hAnsi="Times New Roman" w:cs="Times New Roman"/>
          <w:b/>
          <w:color w:val="000000" w:themeColor="text1"/>
          <w:sz w:val="20"/>
          <w:szCs w:val="20"/>
        </w:rPr>
        <w:t xml:space="preserve"> scenario, there is little variation in the output of key case numbers (all </w:t>
      </w:r>
      <w:proofErr w:type="spellStart"/>
      <w:r w:rsidRPr="00B51293">
        <w:rPr>
          <w:rFonts w:ascii="Times New Roman" w:hAnsi="Times New Roman" w:cs="Times New Roman"/>
          <w:b/>
          <w:color w:val="000000" w:themeColor="text1"/>
          <w:sz w:val="20"/>
          <w:szCs w:val="20"/>
        </w:rPr>
        <w:t>hospitalised</w:t>
      </w:r>
      <w:proofErr w:type="spellEnd"/>
      <w:r w:rsidRPr="00B51293">
        <w:rPr>
          <w:rFonts w:ascii="Times New Roman" w:hAnsi="Times New Roman" w:cs="Times New Roman"/>
          <w:b/>
          <w:color w:val="000000" w:themeColor="text1"/>
          <w:sz w:val="20"/>
          <w:szCs w:val="20"/>
        </w:rPr>
        <w:t xml:space="preserve"> (red), community-onset, community-acquired (COCA, green) and hospital-onset, hospital-acquired (HOHA, blue)) if the analysis is performed on the aggregated England setting level (solid line, baseline) or at the individual Trust level and then aggregated (dashed line). The line here is the mean over 200 simulations for the aggregated England setting (50 simulations per Trust for the individual Trust analysis) and 95% range in shaded area. </w:t>
      </w:r>
    </w:p>
    <w:p w14:paraId="68C5B3AE" w14:textId="77777777" w:rsidR="00F679C0" w:rsidRPr="00B51293" w:rsidRDefault="00E45E40">
      <w:pPr>
        <w:jc w:val="center"/>
        <w:rPr>
          <w:rFonts w:ascii="Times New Roman" w:hAnsi="Times New Roman" w:cs="Times New Roman"/>
          <w:b/>
          <w:color w:val="000000" w:themeColor="text1"/>
          <w:sz w:val="20"/>
          <w:szCs w:val="20"/>
        </w:rPr>
      </w:pPr>
      <w:r w:rsidRPr="00B51293">
        <w:rPr>
          <w:rFonts w:ascii="Times New Roman" w:hAnsi="Times New Roman" w:cs="Times New Roman"/>
          <w:b/>
          <w:noProof/>
          <w:color w:val="000000" w:themeColor="text1"/>
          <w:sz w:val="20"/>
          <w:szCs w:val="20"/>
        </w:rPr>
        <w:lastRenderedPageBreak/>
        <w:drawing>
          <wp:inline distT="114300" distB="114300" distL="114300" distR="114300" wp14:anchorId="201B368B" wp14:editId="4F082718">
            <wp:extent cx="8229600" cy="4114800"/>
            <wp:effectExtent l="0" t="0" r="0" b="0"/>
            <wp:docPr id="6"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8"/>
                    <a:srcRect/>
                    <a:stretch>
                      <a:fillRect/>
                    </a:stretch>
                  </pic:blipFill>
                  <pic:spPr>
                    <a:xfrm>
                      <a:off x="0" y="0"/>
                      <a:ext cx="8229600" cy="4114800"/>
                    </a:xfrm>
                    <a:prstGeom prst="rect">
                      <a:avLst/>
                    </a:prstGeom>
                    <a:ln/>
                  </pic:spPr>
                </pic:pic>
              </a:graphicData>
            </a:graphic>
          </wp:inline>
        </w:drawing>
      </w:r>
    </w:p>
    <w:p w14:paraId="038AFC12" w14:textId="77777777" w:rsidR="00F679C0" w:rsidRPr="00B51293" w:rsidRDefault="00E45E40">
      <w:pPr>
        <w:spacing w:after="240"/>
        <w:rPr>
          <w:rFonts w:ascii="Times New Roman" w:hAnsi="Times New Roman" w:cs="Times New Roman"/>
          <w:b/>
          <w:color w:val="000000" w:themeColor="text1"/>
          <w:sz w:val="20"/>
          <w:szCs w:val="20"/>
        </w:rPr>
      </w:pPr>
      <w:r w:rsidRPr="00B51293">
        <w:rPr>
          <w:rFonts w:ascii="Times New Roman" w:hAnsi="Times New Roman" w:cs="Times New Roman"/>
          <w:b/>
          <w:color w:val="000000" w:themeColor="text1"/>
          <w:sz w:val="20"/>
          <w:szCs w:val="20"/>
        </w:rPr>
        <w:t xml:space="preserve">Figure S16: For the first symptom onset to </w:t>
      </w:r>
      <w:proofErr w:type="spellStart"/>
      <w:r w:rsidRPr="00B51293">
        <w:rPr>
          <w:rFonts w:ascii="Times New Roman" w:hAnsi="Times New Roman" w:cs="Times New Roman"/>
          <w:b/>
          <w:color w:val="000000" w:themeColor="text1"/>
          <w:sz w:val="20"/>
          <w:szCs w:val="20"/>
        </w:rPr>
        <w:t>hospitalisation</w:t>
      </w:r>
      <w:proofErr w:type="spellEnd"/>
      <w:r w:rsidRPr="00B51293">
        <w:rPr>
          <w:rFonts w:ascii="Times New Roman" w:hAnsi="Times New Roman" w:cs="Times New Roman"/>
          <w:b/>
          <w:color w:val="000000" w:themeColor="text1"/>
          <w:sz w:val="20"/>
          <w:szCs w:val="20"/>
        </w:rPr>
        <w:t xml:space="preserve"> scenario, there is some variation in the number of community-onset, hospital-linked cases if the analysis is performed on the aggregated England setting level (solid line, baseline, red) or at the individual Trust level and then aggregated (dashed line, blue). The line here is the mean over 200 simulations for the aggregated England setting (50 simulations per Trust for the individual Trust analysis) and 95% range given in the shaded area. </w:t>
      </w:r>
    </w:p>
    <w:p w14:paraId="05F4FA8F" w14:textId="77777777" w:rsidR="00F679C0" w:rsidRPr="00B51293" w:rsidRDefault="00E45E40">
      <w:pPr>
        <w:spacing w:after="240"/>
        <w:rPr>
          <w:rFonts w:ascii="Times New Roman" w:hAnsi="Times New Roman" w:cs="Times New Roman"/>
          <w:b/>
          <w:color w:val="000000" w:themeColor="text1"/>
          <w:sz w:val="20"/>
          <w:szCs w:val="20"/>
        </w:rPr>
      </w:pPr>
      <w:r w:rsidRPr="00B51293">
        <w:rPr>
          <w:rFonts w:ascii="Times New Roman" w:hAnsi="Times New Roman" w:cs="Times New Roman"/>
          <w:b/>
          <w:noProof/>
          <w:color w:val="000000" w:themeColor="text1"/>
          <w:sz w:val="20"/>
          <w:szCs w:val="20"/>
        </w:rPr>
        <w:lastRenderedPageBreak/>
        <w:drawing>
          <wp:inline distT="114300" distB="114300" distL="114300" distR="114300" wp14:anchorId="06D0B131" wp14:editId="0F2A66BE">
            <wp:extent cx="8229600" cy="4114800"/>
            <wp:effectExtent l="0" t="0" r="0" b="0"/>
            <wp:docPr id="25" name="image24.jpg"/>
            <wp:cNvGraphicFramePr/>
            <a:graphic xmlns:a="http://schemas.openxmlformats.org/drawingml/2006/main">
              <a:graphicData uri="http://schemas.openxmlformats.org/drawingml/2006/picture">
                <pic:pic xmlns:pic="http://schemas.openxmlformats.org/drawingml/2006/picture">
                  <pic:nvPicPr>
                    <pic:cNvPr id="0" name="image24.jpg"/>
                    <pic:cNvPicPr preferRelativeResize="0"/>
                  </pic:nvPicPr>
                  <pic:blipFill>
                    <a:blip r:embed="rId9"/>
                    <a:srcRect/>
                    <a:stretch>
                      <a:fillRect/>
                    </a:stretch>
                  </pic:blipFill>
                  <pic:spPr>
                    <a:xfrm>
                      <a:off x="0" y="0"/>
                      <a:ext cx="8229600" cy="4114800"/>
                    </a:xfrm>
                    <a:prstGeom prst="rect">
                      <a:avLst/>
                    </a:prstGeom>
                    <a:ln/>
                  </pic:spPr>
                </pic:pic>
              </a:graphicData>
            </a:graphic>
          </wp:inline>
        </w:drawing>
      </w:r>
    </w:p>
    <w:p w14:paraId="3519984D" w14:textId="20B227F7" w:rsidR="00F679C0" w:rsidRPr="00B51293" w:rsidRDefault="00E45E40" w:rsidP="00325BF8">
      <w:pPr>
        <w:spacing w:after="240"/>
        <w:rPr>
          <w:rFonts w:ascii="Times New Roman" w:hAnsi="Times New Roman" w:cs="Times New Roman"/>
          <w:b/>
          <w:color w:val="000000" w:themeColor="text1"/>
          <w:sz w:val="20"/>
          <w:szCs w:val="20"/>
        </w:rPr>
      </w:pPr>
      <w:r w:rsidRPr="00B51293">
        <w:rPr>
          <w:rFonts w:ascii="Times New Roman" w:hAnsi="Times New Roman" w:cs="Times New Roman"/>
          <w:b/>
          <w:color w:val="000000" w:themeColor="text1"/>
          <w:sz w:val="20"/>
          <w:szCs w:val="20"/>
        </w:rPr>
        <w:t xml:space="preserve">Figure S17: For the first symptom onset to </w:t>
      </w:r>
      <w:proofErr w:type="spellStart"/>
      <w:r w:rsidRPr="00B51293">
        <w:rPr>
          <w:rFonts w:ascii="Times New Roman" w:hAnsi="Times New Roman" w:cs="Times New Roman"/>
          <w:b/>
          <w:color w:val="000000" w:themeColor="text1"/>
          <w:sz w:val="20"/>
          <w:szCs w:val="20"/>
        </w:rPr>
        <w:t>hospitalisation</w:t>
      </w:r>
      <w:proofErr w:type="spellEnd"/>
      <w:r w:rsidRPr="00B51293">
        <w:rPr>
          <w:rFonts w:ascii="Times New Roman" w:hAnsi="Times New Roman" w:cs="Times New Roman"/>
          <w:b/>
          <w:color w:val="000000" w:themeColor="text1"/>
          <w:sz w:val="20"/>
          <w:szCs w:val="20"/>
        </w:rPr>
        <w:t xml:space="preserve"> scenario, there is some variation in the number of community-onset, hospital-acquired cases if the analysis is performed on the aggregated England setting level (solid line, baseline, red) or at the individual Trust level and then aggregated (dashed line, blue). The line here is the mean over 200 simulations for the aggregated England setting (50 simulations per Trust for the individual Trust analysis) and 95% range given in the shaded area</w:t>
      </w:r>
    </w:p>
    <w:sectPr w:rsidR="00F679C0" w:rsidRPr="00B51293" w:rsidSect="00325BF8">
      <w:footerReference w:type="default" r:id="rId10"/>
      <w:pgSz w:w="15840" w:h="12240" w:orient="landscape"/>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9CE20" w14:textId="77777777" w:rsidR="009D1CE2" w:rsidRDefault="009D1CE2">
      <w:pPr>
        <w:spacing w:line="240" w:lineRule="auto"/>
      </w:pPr>
      <w:r>
        <w:separator/>
      </w:r>
    </w:p>
  </w:endnote>
  <w:endnote w:type="continuationSeparator" w:id="0">
    <w:p w14:paraId="442156E1" w14:textId="77777777" w:rsidR="009D1CE2" w:rsidRDefault="009D1C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7BF1A" w14:textId="77777777" w:rsidR="00F679C0" w:rsidRDefault="00F679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26CC3" w14:textId="77777777" w:rsidR="009D1CE2" w:rsidRDefault="009D1CE2">
      <w:pPr>
        <w:spacing w:line="240" w:lineRule="auto"/>
      </w:pPr>
      <w:r>
        <w:separator/>
      </w:r>
    </w:p>
  </w:footnote>
  <w:footnote w:type="continuationSeparator" w:id="0">
    <w:p w14:paraId="0F1F9511" w14:textId="77777777" w:rsidR="009D1CE2" w:rsidRDefault="009D1CE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76E3D"/>
    <w:multiLevelType w:val="multilevel"/>
    <w:tmpl w:val="F1C6F5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135E4A"/>
    <w:multiLevelType w:val="multilevel"/>
    <w:tmpl w:val="FED6E7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AEF559A"/>
    <w:multiLevelType w:val="multilevel"/>
    <w:tmpl w:val="866A0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2C1150"/>
    <w:multiLevelType w:val="multilevel"/>
    <w:tmpl w:val="D4D46E1E"/>
    <w:lvl w:ilvl="0">
      <w:start w:val="1"/>
      <w:numFmt w:val="bullet"/>
      <w:lvlText w:val="-"/>
      <w:lvlJc w:val="left"/>
      <w:pPr>
        <w:ind w:left="2520" w:hanging="360"/>
      </w:pPr>
      <w:rPr>
        <w:u w:val="none"/>
      </w:rPr>
    </w:lvl>
    <w:lvl w:ilvl="1">
      <w:start w:val="1"/>
      <w:numFmt w:val="bullet"/>
      <w:lvlText w:val="-"/>
      <w:lvlJc w:val="left"/>
      <w:pPr>
        <w:ind w:left="3240" w:hanging="360"/>
      </w:pPr>
      <w:rPr>
        <w:u w:val="none"/>
      </w:rPr>
    </w:lvl>
    <w:lvl w:ilvl="2">
      <w:start w:val="1"/>
      <w:numFmt w:val="bullet"/>
      <w:lvlText w:val="-"/>
      <w:lvlJc w:val="left"/>
      <w:pPr>
        <w:ind w:left="3960" w:hanging="360"/>
      </w:pPr>
      <w:rPr>
        <w:u w:val="none"/>
      </w:rPr>
    </w:lvl>
    <w:lvl w:ilvl="3">
      <w:start w:val="1"/>
      <w:numFmt w:val="bullet"/>
      <w:lvlText w:val="-"/>
      <w:lvlJc w:val="left"/>
      <w:pPr>
        <w:ind w:left="4680" w:hanging="360"/>
      </w:pPr>
      <w:rPr>
        <w:u w:val="none"/>
      </w:rPr>
    </w:lvl>
    <w:lvl w:ilvl="4">
      <w:start w:val="1"/>
      <w:numFmt w:val="bullet"/>
      <w:lvlText w:val="-"/>
      <w:lvlJc w:val="left"/>
      <w:pPr>
        <w:ind w:left="5400" w:hanging="360"/>
      </w:pPr>
      <w:rPr>
        <w:u w:val="none"/>
      </w:rPr>
    </w:lvl>
    <w:lvl w:ilvl="5">
      <w:start w:val="1"/>
      <w:numFmt w:val="bullet"/>
      <w:lvlText w:val="-"/>
      <w:lvlJc w:val="left"/>
      <w:pPr>
        <w:ind w:left="6120" w:hanging="360"/>
      </w:pPr>
      <w:rPr>
        <w:u w:val="none"/>
      </w:rPr>
    </w:lvl>
    <w:lvl w:ilvl="6">
      <w:start w:val="1"/>
      <w:numFmt w:val="bullet"/>
      <w:lvlText w:val="-"/>
      <w:lvlJc w:val="left"/>
      <w:pPr>
        <w:ind w:left="6840" w:hanging="360"/>
      </w:pPr>
      <w:rPr>
        <w:u w:val="none"/>
      </w:rPr>
    </w:lvl>
    <w:lvl w:ilvl="7">
      <w:start w:val="1"/>
      <w:numFmt w:val="bullet"/>
      <w:lvlText w:val="-"/>
      <w:lvlJc w:val="left"/>
      <w:pPr>
        <w:ind w:left="7560" w:hanging="360"/>
      </w:pPr>
      <w:rPr>
        <w:u w:val="none"/>
      </w:rPr>
    </w:lvl>
    <w:lvl w:ilvl="8">
      <w:start w:val="1"/>
      <w:numFmt w:val="bullet"/>
      <w:lvlText w:val="-"/>
      <w:lvlJc w:val="left"/>
      <w:pPr>
        <w:ind w:left="8280" w:hanging="360"/>
      </w:pPr>
      <w:rPr>
        <w:u w:val="none"/>
      </w:rPr>
    </w:lvl>
  </w:abstractNum>
  <w:abstractNum w:abstractNumId="4" w15:restartNumberingAfterBreak="0">
    <w:nsid w:val="45D53993"/>
    <w:multiLevelType w:val="multilevel"/>
    <w:tmpl w:val="F19ECB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9CF285B"/>
    <w:multiLevelType w:val="multilevel"/>
    <w:tmpl w:val="BB042726"/>
    <w:lvl w:ilvl="0">
      <w:start w:val="1"/>
      <w:numFmt w:val="decimal"/>
      <w:lvlText w:val="%1."/>
      <w:lvlJc w:val="left"/>
      <w:pPr>
        <w:ind w:left="720" w:hanging="360"/>
      </w:pPr>
      <w:rPr>
        <w:u w:val="none"/>
      </w:rPr>
    </w:lvl>
    <w:lvl w:ilvl="1">
      <w:start w:val="1"/>
      <w:numFmt w:val="lowerLetter"/>
      <w:lvlText w:val="%2."/>
      <w:lvlJc w:val="left"/>
      <w:pPr>
        <w:ind w:left="425"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4514819"/>
    <w:multiLevelType w:val="hybridMultilevel"/>
    <w:tmpl w:val="43DE2842"/>
    <w:lvl w:ilvl="0" w:tplc="66D80E06">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D547C3"/>
    <w:multiLevelType w:val="multilevel"/>
    <w:tmpl w:val="81786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34727F"/>
    <w:multiLevelType w:val="multilevel"/>
    <w:tmpl w:val="8EC6E6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7D06E4D"/>
    <w:multiLevelType w:val="multilevel"/>
    <w:tmpl w:val="B1BE7A1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75593531"/>
    <w:multiLevelType w:val="hybridMultilevel"/>
    <w:tmpl w:val="23C6E47A"/>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34043799">
    <w:abstractNumId w:val="3"/>
  </w:num>
  <w:num w:numId="2" w16cid:durableId="1664888809">
    <w:abstractNumId w:val="8"/>
  </w:num>
  <w:num w:numId="3" w16cid:durableId="1336573775">
    <w:abstractNumId w:val="5"/>
  </w:num>
  <w:num w:numId="4" w16cid:durableId="1482887732">
    <w:abstractNumId w:val="0"/>
  </w:num>
  <w:num w:numId="5" w16cid:durableId="1922060738">
    <w:abstractNumId w:val="4"/>
  </w:num>
  <w:num w:numId="6" w16cid:durableId="69891676">
    <w:abstractNumId w:val="9"/>
  </w:num>
  <w:num w:numId="7" w16cid:durableId="593393823">
    <w:abstractNumId w:val="1"/>
  </w:num>
  <w:num w:numId="8" w16cid:durableId="1999309915">
    <w:abstractNumId w:val="6"/>
  </w:num>
  <w:num w:numId="9" w16cid:durableId="621502802">
    <w:abstractNumId w:val="7"/>
    <w:lvlOverride w:ilvl="0">
      <w:lvl w:ilvl="0">
        <w:numFmt w:val="lowerLetter"/>
        <w:lvlText w:val="%1."/>
        <w:lvlJc w:val="left"/>
      </w:lvl>
    </w:lvlOverride>
  </w:num>
  <w:num w:numId="10" w16cid:durableId="897012882">
    <w:abstractNumId w:val="10"/>
  </w:num>
  <w:num w:numId="11" w16cid:durableId="921985445">
    <w:abstractNumId w:val="2"/>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9C0"/>
    <w:rsid w:val="00005467"/>
    <w:rsid w:val="00047823"/>
    <w:rsid w:val="00067851"/>
    <w:rsid w:val="000A3253"/>
    <w:rsid w:val="000F1E26"/>
    <w:rsid w:val="0011454B"/>
    <w:rsid w:val="00126DFF"/>
    <w:rsid w:val="0013002E"/>
    <w:rsid w:val="00150B70"/>
    <w:rsid w:val="001535D2"/>
    <w:rsid w:val="00173783"/>
    <w:rsid w:val="001A4463"/>
    <w:rsid w:val="002153EF"/>
    <w:rsid w:val="002367EA"/>
    <w:rsid w:val="002A6092"/>
    <w:rsid w:val="002E6F90"/>
    <w:rsid w:val="00305CDC"/>
    <w:rsid w:val="003134BE"/>
    <w:rsid w:val="00325BF8"/>
    <w:rsid w:val="00333B2F"/>
    <w:rsid w:val="00344BB2"/>
    <w:rsid w:val="003A64BF"/>
    <w:rsid w:val="003B3EEA"/>
    <w:rsid w:val="003B5B3B"/>
    <w:rsid w:val="003D40FA"/>
    <w:rsid w:val="003D5ED0"/>
    <w:rsid w:val="003E10CE"/>
    <w:rsid w:val="0042182A"/>
    <w:rsid w:val="00423DF3"/>
    <w:rsid w:val="004667FB"/>
    <w:rsid w:val="004932E8"/>
    <w:rsid w:val="004C766E"/>
    <w:rsid w:val="00540299"/>
    <w:rsid w:val="005740CB"/>
    <w:rsid w:val="005C03C1"/>
    <w:rsid w:val="005C2C68"/>
    <w:rsid w:val="006309F4"/>
    <w:rsid w:val="006B0A71"/>
    <w:rsid w:val="006C52E5"/>
    <w:rsid w:val="006D7E4F"/>
    <w:rsid w:val="006E3C86"/>
    <w:rsid w:val="0073459E"/>
    <w:rsid w:val="00741C5A"/>
    <w:rsid w:val="00756D1B"/>
    <w:rsid w:val="007D4E10"/>
    <w:rsid w:val="007E3A3C"/>
    <w:rsid w:val="007F4DD1"/>
    <w:rsid w:val="00843667"/>
    <w:rsid w:val="008553A3"/>
    <w:rsid w:val="00861B54"/>
    <w:rsid w:val="0088182D"/>
    <w:rsid w:val="008C22A3"/>
    <w:rsid w:val="00932369"/>
    <w:rsid w:val="00961C90"/>
    <w:rsid w:val="00964B11"/>
    <w:rsid w:val="00964F0C"/>
    <w:rsid w:val="009D1CE2"/>
    <w:rsid w:val="009D597C"/>
    <w:rsid w:val="00A111B7"/>
    <w:rsid w:val="00A34774"/>
    <w:rsid w:val="00A632DC"/>
    <w:rsid w:val="00A81FEC"/>
    <w:rsid w:val="00A85076"/>
    <w:rsid w:val="00AA45D7"/>
    <w:rsid w:val="00AC7D5F"/>
    <w:rsid w:val="00AD6539"/>
    <w:rsid w:val="00B04836"/>
    <w:rsid w:val="00B11828"/>
    <w:rsid w:val="00B13742"/>
    <w:rsid w:val="00B40E23"/>
    <w:rsid w:val="00B51293"/>
    <w:rsid w:val="00B520DF"/>
    <w:rsid w:val="00B9476D"/>
    <w:rsid w:val="00BA12EE"/>
    <w:rsid w:val="00BB4FE5"/>
    <w:rsid w:val="00BC3A93"/>
    <w:rsid w:val="00BF088E"/>
    <w:rsid w:val="00C362D7"/>
    <w:rsid w:val="00C44346"/>
    <w:rsid w:val="00C81A08"/>
    <w:rsid w:val="00C95B83"/>
    <w:rsid w:val="00CB4A7A"/>
    <w:rsid w:val="00CC193F"/>
    <w:rsid w:val="00CD6C7D"/>
    <w:rsid w:val="00D66E72"/>
    <w:rsid w:val="00D8765B"/>
    <w:rsid w:val="00D918FA"/>
    <w:rsid w:val="00D94350"/>
    <w:rsid w:val="00D94C7C"/>
    <w:rsid w:val="00DA207F"/>
    <w:rsid w:val="00DA7A80"/>
    <w:rsid w:val="00DB1C4C"/>
    <w:rsid w:val="00DD174A"/>
    <w:rsid w:val="00DE4808"/>
    <w:rsid w:val="00DE6F3B"/>
    <w:rsid w:val="00E35329"/>
    <w:rsid w:val="00E42697"/>
    <w:rsid w:val="00E45E40"/>
    <w:rsid w:val="00E74F1F"/>
    <w:rsid w:val="00EA102E"/>
    <w:rsid w:val="00EB22F8"/>
    <w:rsid w:val="00EE3D0C"/>
    <w:rsid w:val="00EE536B"/>
    <w:rsid w:val="00F237F5"/>
    <w:rsid w:val="00F679C0"/>
    <w:rsid w:val="00F67B91"/>
    <w:rsid w:val="00FC2B1E"/>
    <w:rsid w:val="00FE0746"/>
    <w:rsid w:val="00FE4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AACDFCD"/>
  <w15:docId w15:val="{9226F7EA-7B4A-184D-BDF2-D82B36EB2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GB"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link w:val="Heading4Char"/>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Bibliography">
    <w:name w:val="Bibliography"/>
    <w:basedOn w:val="Normal"/>
    <w:next w:val="Normal"/>
    <w:uiPriority w:val="37"/>
    <w:unhideWhenUsed/>
    <w:rsid w:val="00FE0746"/>
    <w:pPr>
      <w:tabs>
        <w:tab w:val="left" w:pos="380"/>
        <w:tab w:val="left" w:pos="500"/>
      </w:tabs>
      <w:spacing w:after="240" w:line="240" w:lineRule="auto"/>
      <w:ind w:left="504" w:hanging="504"/>
    </w:pPr>
  </w:style>
  <w:style w:type="character" w:customStyle="1" w:styleId="Heading4Char">
    <w:name w:val="Heading 4 Char"/>
    <w:basedOn w:val="DefaultParagraphFont"/>
    <w:link w:val="Heading4"/>
    <w:uiPriority w:val="9"/>
    <w:rsid w:val="00F67B91"/>
    <w:rPr>
      <w:color w:val="666666"/>
      <w:sz w:val="24"/>
      <w:szCs w:val="24"/>
    </w:rPr>
  </w:style>
  <w:style w:type="paragraph" w:styleId="NormalWeb">
    <w:name w:val="Normal (Web)"/>
    <w:basedOn w:val="Normal"/>
    <w:uiPriority w:val="99"/>
    <w:unhideWhenUsed/>
    <w:rsid w:val="00F67B91"/>
    <w:pPr>
      <w:spacing w:before="100" w:beforeAutospacing="1" w:after="100" w:afterAutospacing="1" w:line="240" w:lineRule="auto"/>
      <w:jc w:val="left"/>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D94350"/>
    <w:pPr>
      <w:ind w:left="720"/>
      <w:contextualSpacing/>
    </w:pPr>
  </w:style>
  <w:style w:type="character" w:styleId="Hyperlink">
    <w:name w:val="Hyperlink"/>
    <w:basedOn w:val="DefaultParagraphFont"/>
    <w:uiPriority w:val="99"/>
    <w:unhideWhenUsed/>
    <w:rsid w:val="00B13742"/>
    <w:rPr>
      <w:color w:val="0000FF" w:themeColor="hyperlink"/>
      <w:u w:val="single"/>
    </w:rPr>
  </w:style>
  <w:style w:type="character" w:styleId="UnresolvedMention">
    <w:name w:val="Unresolved Mention"/>
    <w:basedOn w:val="DefaultParagraphFont"/>
    <w:uiPriority w:val="99"/>
    <w:semiHidden/>
    <w:unhideWhenUsed/>
    <w:rsid w:val="00B13742"/>
    <w:rPr>
      <w:color w:val="605E5C"/>
      <w:shd w:val="clear" w:color="auto" w:fill="E1DFDD"/>
    </w:rPr>
  </w:style>
  <w:style w:type="character" w:styleId="FollowedHyperlink">
    <w:name w:val="FollowedHyperlink"/>
    <w:basedOn w:val="DefaultParagraphFont"/>
    <w:uiPriority w:val="99"/>
    <w:semiHidden/>
    <w:unhideWhenUsed/>
    <w:rsid w:val="000A3253"/>
    <w:rPr>
      <w:color w:val="800080" w:themeColor="followedHyperlink"/>
      <w:u w:val="single"/>
    </w:rPr>
  </w:style>
  <w:style w:type="table" w:styleId="TableGrid">
    <w:name w:val="Table Grid"/>
    <w:basedOn w:val="TableNormal"/>
    <w:uiPriority w:val="39"/>
    <w:rsid w:val="00344B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C22A3"/>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24790">
      <w:bodyDiv w:val="1"/>
      <w:marLeft w:val="0"/>
      <w:marRight w:val="0"/>
      <w:marTop w:val="0"/>
      <w:marBottom w:val="0"/>
      <w:divBdr>
        <w:top w:val="none" w:sz="0" w:space="0" w:color="auto"/>
        <w:left w:val="none" w:sz="0" w:space="0" w:color="auto"/>
        <w:bottom w:val="none" w:sz="0" w:space="0" w:color="auto"/>
        <w:right w:val="none" w:sz="0" w:space="0" w:color="auto"/>
      </w:divBdr>
    </w:div>
    <w:div w:id="144131329">
      <w:bodyDiv w:val="1"/>
      <w:marLeft w:val="0"/>
      <w:marRight w:val="0"/>
      <w:marTop w:val="0"/>
      <w:marBottom w:val="0"/>
      <w:divBdr>
        <w:top w:val="none" w:sz="0" w:space="0" w:color="auto"/>
        <w:left w:val="none" w:sz="0" w:space="0" w:color="auto"/>
        <w:bottom w:val="none" w:sz="0" w:space="0" w:color="auto"/>
        <w:right w:val="none" w:sz="0" w:space="0" w:color="auto"/>
      </w:divBdr>
    </w:div>
    <w:div w:id="241918681">
      <w:bodyDiv w:val="1"/>
      <w:marLeft w:val="0"/>
      <w:marRight w:val="0"/>
      <w:marTop w:val="0"/>
      <w:marBottom w:val="0"/>
      <w:divBdr>
        <w:top w:val="none" w:sz="0" w:space="0" w:color="auto"/>
        <w:left w:val="none" w:sz="0" w:space="0" w:color="auto"/>
        <w:bottom w:val="none" w:sz="0" w:space="0" w:color="auto"/>
        <w:right w:val="none" w:sz="0" w:space="0" w:color="auto"/>
      </w:divBdr>
    </w:div>
    <w:div w:id="256789386">
      <w:bodyDiv w:val="1"/>
      <w:marLeft w:val="0"/>
      <w:marRight w:val="0"/>
      <w:marTop w:val="0"/>
      <w:marBottom w:val="0"/>
      <w:divBdr>
        <w:top w:val="none" w:sz="0" w:space="0" w:color="auto"/>
        <w:left w:val="none" w:sz="0" w:space="0" w:color="auto"/>
        <w:bottom w:val="none" w:sz="0" w:space="0" w:color="auto"/>
        <w:right w:val="none" w:sz="0" w:space="0" w:color="auto"/>
      </w:divBdr>
    </w:div>
    <w:div w:id="267785153">
      <w:bodyDiv w:val="1"/>
      <w:marLeft w:val="0"/>
      <w:marRight w:val="0"/>
      <w:marTop w:val="0"/>
      <w:marBottom w:val="0"/>
      <w:divBdr>
        <w:top w:val="none" w:sz="0" w:space="0" w:color="auto"/>
        <w:left w:val="none" w:sz="0" w:space="0" w:color="auto"/>
        <w:bottom w:val="none" w:sz="0" w:space="0" w:color="auto"/>
        <w:right w:val="none" w:sz="0" w:space="0" w:color="auto"/>
      </w:divBdr>
    </w:div>
    <w:div w:id="274678323">
      <w:bodyDiv w:val="1"/>
      <w:marLeft w:val="0"/>
      <w:marRight w:val="0"/>
      <w:marTop w:val="0"/>
      <w:marBottom w:val="0"/>
      <w:divBdr>
        <w:top w:val="none" w:sz="0" w:space="0" w:color="auto"/>
        <w:left w:val="none" w:sz="0" w:space="0" w:color="auto"/>
        <w:bottom w:val="none" w:sz="0" w:space="0" w:color="auto"/>
        <w:right w:val="none" w:sz="0" w:space="0" w:color="auto"/>
      </w:divBdr>
    </w:div>
    <w:div w:id="319116899">
      <w:bodyDiv w:val="1"/>
      <w:marLeft w:val="0"/>
      <w:marRight w:val="0"/>
      <w:marTop w:val="0"/>
      <w:marBottom w:val="0"/>
      <w:divBdr>
        <w:top w:val="none" w:sz="0" w:space="0" w:color="auto"/>
        <w:left w:val="none" w:sz="0" w:space="0" w:color="auto"/>
        <w:bottom w:val="none" w:sz="0" w:space="0" w:color="auto"/>
        <w:right w:val="none" w:sz="0" w:space="0" w:color="auto"/>
      </w:divBdr>
    </w:div>
    <w:div w:id="551963384">
      <w:bodyDiv w:val="1"/>
      <w:marLeft w:val="0"/>
      <w:marRight w:val="0"/>
      <w:marTop w:val="0"/>
      <w:marBottom w:val="0"/>
      <w:divBdr>
        <w:top w:val="none" w:sz="0" w:space="0" w:color="auto"/>
        <w:left w:val="none" w:sz="0" w:space="0" w:color="auto"/>
        <w:bottom w:val="none" w:sz="0" w:space="0" w:color="auto"/>
        <w:right w:val="none" w:sz="0" w:space="0" w:color="auto"/>
      </w:divBdr>
    </w:div>
    <w:div w:id="575240080">
      <w:bodyDiv w:val="1"/>
      <w:marLeft w:val="0"/>
      <w:marRight w:val="0"/>
      <w:marTop w:val="0"/>
      <w:marBottom w:val="0"/>
      <w:divBdr>
        <w:top w:val="none" w:sz="0" w:space="0" w:color="auto"/>
        <w:left w:val="none" w:sz="0" w:space="0" w:color="auto"/>
        <w:bottom w:val="none" w:sz="0" w:space="0" w:color="auto"/>
        <w:right w:val="none" w:sz="0" w:space="0" w:color="auto"/>
      </w:divBdr>
    </w:div>
    <w:div w:id="626591657">
      <w:bodyDiv w:val="1"/>
      <w:marLeft w:val="0"/>
      <w:marRight w:val="0"/>
      <w:marTop w:val="0"/>
      <w:marBottom w:val="0"/>
      <w:divBdr>
        <w:top w:val="none" w:sz="0" w:space="0" w:color="auto"/>
        <w:left w:val="none" w:sz="0" w:space="0" w:color="auto"/>
        <w:bottom w:val="none" w:sz="0" w:space="0" w:color="auto"/>
        <w:right w:val="none" w:sz="0" w:space="0" w:color="auto"/>
      </w:divBdr>
    </w:div>
    <w:div w:id="672605172">
      <w:bodyDiv w:val="1"/>
      <w:marLeft w:val="0"/>
      <w:marRight w:val="0"/>
      <w:marTop w:val="0"/>
      <w:marBottom w:val="0"/>
      <w:divBdr>
        <w:top w:val="none" w:sz="0" w:space="0" w:color="auto"/>
        <w:left w:val="none" w:sz="0" w:space="0" w:color="auto"/>
        <w:bottom w:val="none" w:sz="0" w:space="0" w:color="auto"/>
        <w:right w:val="none" w:sz="0" w:space="0" w:color="auto"/>
      </w:divBdr>
    </w:div>
    <w:div w:id="943345494">
      <w:bodyDiv w:val="1"/>
      <w:marLeft w:val="0"/>
      <w:marRight w:val="0"/>
      <w:marTop w:val="0"/>
      <w:marBottom w:val="0"/>
      <w:divBdr>
        <w:top w:val="none" w:sz="0" w:space="0" w:color="auto"/>
        <w:left w:val="none" w:sz="0" w:space="0" w:color="auto"/>
        <w:bottom w:val="none" w:sz="0" w:space="0" w:color="auto"/>
        <w:right w:val="none" w:sz="0" w:space="0" w:color="auto"/>
      </w:divBdr>
    </w:div>
    <w:div w:id="1064792948">
      <w:bodyDiv w:val="1"/>
      <w:marLeft w:val="0"/>
      <w:marRight w:val="0"/>
      <w:marTop w:val="0"/>
      <w:marBottom w:val="0"/>
      <w:divBdr>
        <w:top w:val="none" w:sz="0" w:space="0" w:color="auto"/>
        <w:left w:val="none" w:sz="0" w:space="0" w:color="auto"/>
        <w:bottom w:val="none" w:sz="0" w:space="0" w:color="auto"/>
        <w:right w:val="none" w:sz="0" w:space="0" w:color="auto"/>
      </w:divBdr>
    </w:div>
    <w:div w:id="1068385872">
      <w:bodyDiv w:val="1"/>
      <w:marLeft w:val="0"/>
      <w:marRight w:val="0"/>
      <w:marTop w:val="0"/>
      <w:marBottom w:val="0"/>
      <w:divBdr>
        <w:top w:val="none" w:sz="0" w:space="0" w:color="auto"/>
        <w:left w:val="none" w:sz="0" w:space="0" w:color="auto"/>
        <w:bottom w:val="none" w:sz="0" w:space="0" w:color="auto"/>
        <w:right w:val="none" w:sz="0" w:space="0" w:color="auto"/>
      </w:divBdr>
    </w:div>
    <w:div w:id="1083649559">
      <w:bodyDiv w:val="1"/>
      <w:marLeft w:val="0"/>
      <w:marRight w:val="0"/>
      <w:marTop w:val="0"/>
      <w:marBottom w:val="0"/>
      <w:divBdr>
        <w:top w:val="none" w:sz="0" w:space="0" w:color="auto"/>
        <w:left w:val="none" w:sz="0" w:space="0" w:color="auto"/>
        <w:bottom w:val="none" w:sz="0" w:space="0" w:color="auto"/>
        <w:right w:val="none" w:sz="0" w:space="0" w:color="auto"/>
      </w:divBdr>
    </w:div>
    <w:div w:id="1156843086">
      <w:bodyDiv w:val="1"/>
      <w:marLeft w:val="0"/>
      <w:marRight w:val="0"/>
      <w:marTop w:val="0"/>
      <w:marBottom w:val="0"/>
      <w:divBdr>
        <w:top w:val="none" w:sz="0" w:space="0" w:color="auto"/>
        <w:left w:val="none" w:sz="0" w:space="0" w:color="auto"/>
        <w:bottom w:val="none" w:sz="0" w:space="0" w:color="auto"/>
        <w:right w:val="none" w:sz="0" w:space="0" w:color="auto"/>
      </w:divBdr>
    </w:div>
    <w:div w:id="1296906140">
      <w:bodyDiv w:val="1"/>
      <w:marLeft w:val="0"/>
      <w:marRight w:val="0"/>
      <w:marTop w:val="0"/>
      <w:marBottom w:val="0"/>
      <w:divBdr>
        <w:top w:val="none" w:sz="0" w:space="0" w:color="auto"/>
        <w:left w:val="none" w:sz="0" w:space="0" w:color="auto"/>
        <w:bottom w:val="none" w:sz="0" w:space="0" w:color="auto"/>
        <w:right w:val="none" w:sz="0" w:space="0" w:color="auto"/>
      </w:divBdr>
    </w:div>
    <w:div w:id="1323510066">
      <w:bodyDiv w:val="1"/>
      <w:marLeft w:val="0"/>
      <w:marRight w:val="0"/>
      <w:marTop w:val="0"/>
      <w:marBottom w:val="0"/>
      <w:divBdr>
        <w:top w:val="none" w:sz="0" w:space="0" w:color="auto"/>
        <w:left w:val="none" w:sz="0" w:space="0" w:color="auto"/>
        <w:bottom w:val="none" w:sz="0" w:space="0" w:color="auto"/>
        <w:right w:val="none" w:sz="0" w:space="0" w:color="auto"/>
      </w:divBdr>
    </w:div>
    <w:div w:id="1323848510">
      <w:bodyDiv w:val="1"/>
      <w:marLeft w:val="0"/>
      <w:marRight w:val="0"/>
      <w:marTop w:val="0"/>
      <w:marBottom w:val="0"/>
      <w:divBdr>
        <w:top w:val="none" w:sz="0" w:space="0" w:color="auto"/>
        <w:left w:val="none" w:sz="0" w:space="0" w:color="auto"/>
        <w:bottom w:val="none" w:sz="0" w:space="0" w:color="auto"/>
        <w:right w:val="none" w:sz="0" w:space="0" w:color="auto"/>
      </w:divBdr>
    </w:div>
    <w:div w:id="1347755577">
      <w:bodyDiv w:val="1"/>
      <w:marLeft w:val="0"/>
      <w:marRight w:val="0"/>
      <w:marTop w:val="0"/>
      <w:marBottom w:val="0"/>
      <w:divBdr>
        <w:top w:val="none" w:sz="0" w:space="0" w:color="auto"/>
        <w:left w:val="none" w:sz="0" w:space="0" w:color="auto"/>
        <w:bottom w:val="none" w:sz="0" w:space="0" w:color="auto"/>
        <w:right w:val="none" w:sz="0" w:space="0" w:color="auto"/>
      </w:divBdr>
    </w:div>
    <w:div w:id="1380088449">
      <w:bodyDiv w:val="1"/>
      <w:marLeft w:val="0"/>
      <w:marRight w:val="0"/>
      <w:marTop w:val="0"/>
      <w:marBottom w:val="0"/>
      <w:divBdr>
        <w:top w:val="none" w:sz="0" w:space="0" w:color="auto"/>
        <w:left w:val="none" w:sz="0" w:space="0" w:color="auto"/>
        <w:bottom w:val="none" w:sz="0" w:space="0" w:color="auto"/>
        <w:right w:val="none" w:sz="0" w:space="0" w:color="auto"/>
      </w:divBdr>
    </w:div>
    <w:div w:id="1471825797">
      <w:bodyDiv w:val="1"/>
      <w:marLeft w:val="0"/>
      <w:marRight w:val="0"/>
      <w:marTop w:val="0"/>
      <w:marBottom w:val="0"/>
      <w:divBdr>
        <w:top w:val="none" w:sz="0" w:space="0" w:color="auto"/>
        <w:left w:val="none" w:sz="0" w:space="0" w:color="auto"/>
        <w:bottom w:val="none" w:sz="0" w:space="0" w:color="auto"/>
        <w:right w:val="none" w:sz="0" w:space="0" w:color="auto"/>
      </w:divBdr>
    </w:div>
    <w:div w:id="1504738886">
      <w:bodyDiv w:val="1"/>
      <w:marLeft w:val="0"/>
      <w:marRight w:val="0"/>
      <w:marTop w:val="0"/>
      <w:marBottom w:val="0"/>
      <w:divBdr>
        <w:top w:val="none" w:sz="0" w:space="0" w:color="auto"/>
        <w:left w:val="none" w:sz="0" w:space="0" w:color="auto"/>
        <w:bottom w:val="none" w:sz="0" w:space="0" w:color="auto"/>
        <w:right w:val="none" w:sz="0" w:space="0" w:color="auto"/>
      </w:divBdr>
    </w:div>
    <w:div w:id="1570531519">
      <w:bodyDiv w:val="1"/>
      <w:marLeft w:val="0"/>
      <w:marRight w:val="0"/>
      <w:marTop w:val="0"/>
      <w:marBottom w:val="0"/>
      <w:divBdr>
        <w:top w:val="none" w:sz="0" w:space="0" w:color="auto"/>
        <w:left w:val="none" w:sz="0" w:space="0" w:color="auto"/>
        <w:bottom w:val="none" w:sz="0" w:space="0" w:color="auto"/>
        <w:right w:val="none" w:sz="0" w:space="0" w:color="auto"/>
      </w:divBdr>
    </w:div>
    <w:div w:id="1604872348">
      <w:bodyDiv w:val="1"/>
      <w:marLeft w:val="0"/>
      <w:marRight w:val="0"/>
      <w:marTop w:val="0"/>
      <w:marBottom w:val="0"/>
      <w:divBdr>
        <w:top w:val="none" w:sz="0" w:space="0" w:color="auto"/>
        <w:left w:val="none" w:sz="0" w:space="0" w:color="auto"/>
        <w:bottom w:val="none" w:sz="0" w:space="0" w:color="auto"/>
        <w:right w:val="none" w:sz="0" w:space="0" w:color="auto"/>
      </w:divBdr>
    </w:div>
    <w:div w:id="1679387097">
      <w:bodyDiv w:val="1"/>
      <w:marLeft w:val="0"/>
      <w:marRight w:val="0"/>
      <w:marTop w:val="0"/>
      <w:marBottom w:val="0"/>
      <w:divBdr>
        <w:top w:val="none" w:sz="0" w:space="0" w:color="auto"/>
        <w:left w:val="none" w:sz="0" w:space="0" w:color="auto"/>
        <w:bottom w:val="none" w:sz="0" w:space="0" w:color="auto"/>
        <w:right w:val="none" w:sz="0" w:space="0" w:color="auto"/>
      </w:divBdr>
    </w:div>
    <w:div w:id="1757239235">
      <w:bodyDiv w:val="1"/>
      <w:marLeft w:val="0"/>
      <w:marRight w:val="0"/>
      <w:marTop w:val="0"/>
      <w:marBottom w:val="0"/>
      <w:divBdr>
        <w:top w:val="none" w:sz="0" w:space="0" w:color="auto"/>
        <w:left w:val="none" w:sz="0" w:space="0" w:color="auto"/>
        <w:bottom w:val="none" w:sz="0" w:space="0" w:color="auto"/>
        <w:right w:val="none" w:sz="0" w:space="0" w:color="auto"/>
      </w:divBdr>
    </w:div>
    <w:div w:id="1811284122">
      <w:bodyDiv w:val="1"/>
      <w:marLeft w:val="0"/>
      <w:marRight w:val="0"/>
      <w:marTop w:val="0"/>
      <w:marBottom w:val="0"/>
      <w:divBdr>
        <w:top w:val="none" w:sz="0" w:space="0" w:color="auto"/>
        <w:left w:val="none" w:sz="0" w:space="0" w:color="auto"/>
        <w:bottom w:val="none" w:sz="0" w:space="0" w:color="auto"/>
        <w:right w:val="none" w:sz="0" w:space="0" w:color="auto"/>
      </w:divBdr>
    </w:div>
    <w:div w:id="1839422903">
      <w:bodyDiv w:val="1"/>
      <w:marLeft w:val="0"/>
      <w:marRight w:val="0"/>
      <w:marTop w:val="0"/>
      <w:marBottom w:val="0"/>
      <w:divBdr>
        <w:top w:val="none" w:sz="0" w:space="0" w:color="auto"/>
        <w:left w:val="none" w:sz="0" w:space="0" w:color="auto"/>
        <w:bottom w:val="none" w:sz="0" w:space="0" w:color="auto"/>
        <w:right w:val="none" w:sz="0" w:space="0" w:color="auto"/>
      </w:divBdr>
    </w:div>
    <w:div w:id="1931816096">
      <w:bodyDiv w:val="1"/>
      <w:marLeft w:val="0"/>
      <w:marRight w:val="0"/>
      <w:marTop w:val="0"/>
      <w:marBottom w:val="0"/>
      <w:divBdr>
        <w:top w:val="none" w:sz="0" w:space="0" w:color="auto"/>
        <w:left w:val="none" w:sz="0" w:space="0" w:color="auto"/>
        <w:bottom w:val="none" w:sz="0" w:space="0" w:color="auto"/>
        <w:right w:val="none" w:sz="0" w:space="0" w:color="auto"/>
      </w:divBdr>
      <w:divsChild>
        <w:div w:id="178580810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Gwen Knight</cp:lastModifiedBy>
  <cp:revision>7</cp:revision>
  <cp:lastPrinted>2022-04-22T12:06:00Z</cp:lastPrinted>
  <dcterms:created xsi:type="dcterms:W3CDTF">2022-06-10T06:45:00Z</dcterms:created>
  <dcterms:modified xsi:type="dcterms:W3CDTF">2022-06-10T07:07:00Z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{"style":{"styleID":"http://www.zotero.org/styles/vancouver","locale":"en-GB","hasBibliography":true,"bibliographyStyleHasBeenSet":true},"prefs":{"fieldType":"Field","automaticJournalAbbreviations":true,"delayCitationUpdates":true,"noteType":0,"dontAskDel</vt:lpwstr>
  </property>
  <property fmtid="{D5CDD505-2E9C-101B-9397-08002B2CF9AE}" pid="3" name="ZOTERO_PREF_2">
    <vt:lpwstr>ayCitationUpdates":true},"sessionID":"YZXL5JgC","zoteroVersion":"6.0.8","dataVersion":4}</vt:lpwstr>
  </property>
</Properties>
</file>