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657"/>
        <w:gridCol w:w="1612"/>
        <w:gridCol w:w="1708"/>
        <w:gridCol w:w="1708"/>
        <w:gridCol w:w="1088"/>
      </w:tblGrid>
      <w:tr w:rsidR="00FE0D34" w:rsidTr="00FE0D34"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environmental attribute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Moderator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Measurement period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Total PA</w:t>
            </w:r>
          </w:p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[accelerometer-assessed]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MVPA</w:t>
            </w:r>
          </w:p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[accelerometer-assessed]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Screen time</w:t>
            </w:r>
          </w:p>
          <w:p w:rsidR="00FE0D34" w:rsidRDefault="00FE0D3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[parent-reported]</w:t>
            </w:r>
          </w:p>
        </w:tc>
      </w:tr>
      <w:tr w:rsidR="00FE0D34" w:rsidTr="00FE0D34"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lang w:val="en-A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(95% CI)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i/>
                <w:iCs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(95% CI)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(95% CI)</w:t>
            </w:r>
          </w:p>
        </w:tc>
      </w:tr>
      <w:tr w:rsidR="00FE0D34" w:rsidTr="00FE0D34">
        <w:tc>
          <w:tcPr>
            <w:tcW w:w="88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Availability of places for children’s PA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Traffic hazards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-1.41 (-4.85, 2.02)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1.006 (0.822, 1.229)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-0.05 (-0.23, 0.13)</w:t>
            </w:r>
          </w:p>
        </w:tc>
      </w:tr>
      <w:tr w:rsidR="00FE0D34" w:rsidTr="00FE0D34">
        <w:tc>
          <w:tcPr>
            <w:tcW w:w="88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-0.52 (-4.28, 3.24)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0.998 (0.972, 1.025)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0.02 (-0.21, 0.25)</w:t>
            </w:r>
          </w:p>
        </w:tc>
      </w:tr>
      <w:tr w:rsidR="00FE0D34" w:rsidTr="00FE0D34">
        <w:tc>
          <w:tcPr>
            <w:tcW w:w="88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  <w:tc>
          <w:tcPr>
            <w:tcW w:w="1152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Signs of physical and social disorder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0.71 (-1.87, 3.28)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1.013 (0.989, 1.017)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0.29 (-0.22, 0.80)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1.71 (-1.68, 5.10)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1.009 (0.985, 1.032)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0.14 (-0.32, 0.59)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  <w:tc>
          <w:tcPr>
            <w:tcW w:w="1152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Community cohesion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-2.12 (-5.25, 1.00)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0.993 (0.969, 1.019)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-0.06 (-0.21, 0.08)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-2.48 (-5.68, 0.73)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0.988 (0.982, 1.095)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-0.15 (-0.12, 0.25)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Informal social control – education and supervision of children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0.09 (-2.66, 2.85)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1.003 (0.980, 1.028)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-0.04 (-0.17, 0.10)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0.51 (-2.53, 3.55)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0.998 (0.974, 1.022)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-0.02 (-0.16, 0.13)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Informal social control – civic engagement for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enhancement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1.54 (-1.86, 4.94)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1.029 (1.004, 1.055)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-0.07 (-0.24, 0.10)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4.08 (0.49, 7.68)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1.028 (0.998, 1.058)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-0.13 (-0.27, 0.01)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5" w:type="pct"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FE0D34" w:rsidTr="00FE0D34">
        <w:tc>
          <w:tcPr>
            <w:tcW w:w="881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Availability of active-play equipment</w:t>
            </w:r>
          </w:p>
        </w:tc>
        <w:tc>
          <w:tcPr>
            <w:tcW w:w="1152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Traffic hazards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tabs>
                <w:tab w:val="decimal" w:pos="394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-2.74 (-7.48, 2.00)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1.007 (0.972, 1.043)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-0.03 (-0.27, 0.21)</w:t>
            </w:r>
          </w:p>
        </w:tc>
      </w:tr>
      <w:tr w:rsidR="00FE0D34" w:rsidTr="00FE0D34">
        <w:tc>
          <w:tcPr>
            <w:tcW w:w="881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tabs>
                <w:tab w:val="decimal" w:pos="394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-6.56 (-12.41, -0.71)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0.976 (0.934, 1.019)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-0.05 (-0.34, 0.25)</w:t>
            </w:r>
          </w:p>
        </w:tc>
      </w:tr>
      <w:tr w:rsidR="00FE0D34" w:rsidTr="00FE0D34">
        <w:tc>
          <w:tcPr>
            <w:tcW w:w="881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Signs of physical and social disorder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1.53 (-1.75,4.81)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1.015 (0.982, 1.048)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-0.03 (-0.21, 0.15)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1.74 (-2.01, 5.50)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1.020 (0.987, 1.053)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-0.15 (-0.39, 0.09)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Community cohesion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-0.26 (-3.26, 2.74)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1.013 (0.985, 1.041)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-0.02 (-0.20, 0.15)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0.55 (-2.83, 3.94)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1.001 (0.975, 1.027)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0.14 (-0.08, 0.36)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Informal social control – education and supervision of children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0.70 (-3.22, 4.63)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1.011 (0.984, 1.070)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0.03 (-0.18, 0.23)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tabs>
                <w:tab w:val="decimal" w:pos="39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0.17 (-3.42, 3.76)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0.995 (0.967, 1.024)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0.09 (-0.13, 0.31)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Informal social control – civic engagement for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enhancement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0.57 (-3.33, 4.46)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1.013 (0.987, 1.040)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0.06 (-0.15, 0.26)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tabs>
                <w:tab w:val="decimal" w:pos="40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0.55 (-3.71, 4.82)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0.993 (0.963, 1.024)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-0.03 (-0.26, 0.19)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lang w:val="en-AU"/>
              </w:rPr>
            </w:pPr>
          </w:p>
        </w:tc>
        <w:tc>
          <w:tcPr>
            <w:tcW w:w="605" w:type="pct"/>
          </w:tcPr>
          <w:p w:rsidR="00FE0D34" w:rsidRDefault="00FE0D34">
            <w:pPr>
              <w:tabs>
                <w:tab w:val="decimal" w:pos="400"/>
              </w:tabs>
              <w:rPr>
                <w:rFonts w:ascii="Times New Roman" w:hAnsi="Times New Roman" w:cs="Times New Roman"/>
                <w:bCs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tabs>
                <w:tab w:val="decimal" w:pos="181"/>
                <w:tab w:val="decimal" w:pos="400"/>
              </w:tabs>
              <w:rPr>
                <w:rFonts w:ascii="Times New Roman" w:hAnsi="Times New Roman" w:cs="Times New Roman"/>
                <w:bCs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tabs>
                <w:tab w:val="decimal" w:pos="460"/>
              </w:tabs>
              <w:rPr>
                <w:rFonts w:ascii="Times New Roman" w:hAnsi="Times New Roman" w:cs="Times New Roman"/>
                <w:bCs/>
                <w:highlight w:val="yellow"/>
                <w:lang w:val="en-AU"/>
              </w:rPr>
            </w:pPr>
          </w:p>
        </w:tc>
        <w:tc>
          <w:tcPr>
            <w:tcW w:w="785" w:type="pct"/>
          </w:tcPr>
          <w:p w:rsidR="00FE0D34" w:rsidRDefault="00FE0D34">
            <w:pPr>
              <w:tabs>
                <w:tab w:val="decimal" w:pos="322"/>
                <w:tab w:val="decimal" w:pos="420"/>
              </w:tabs>
              <w:rPr>
                <w:rFonts w:ascii="Times New Roman" w:hAnsi="Times New Roman" w:cs="Times New Roman"/>
                <w:bCs/>
                <w:lang w:val="en-AU"/>
              </w:rPr>
            </w:pPr>
          </w:p>
        </w:tc>
      </w:tr>
      <w:tr w:rsidR="00FE0D34" w:rsidTr="00FE0D34">
        <w:tc>
          <w:tcPr>
            <w:tcW w:w="881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Availability of places for children’s PA</w:t>
            </w:r>
          </w:p>
        </w:tc>
        <w:tc>
          <w:tcPr>
            <w:tcW w:w="1152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Parental engagement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tabs>
                <w:tab w:val="decimal" w:pos="40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-3.77 (-6.66, -0.87)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0.991 (0.967, 1.015)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-0.04 (-0.20, 0.13)</w:t>
            </w:r>
          </w:p>
        </w:tc>
      </w:tr>
      <w:tr w:rsidR="00FE0D34" w:rsidTr="00FE0D34">
        <w:tc>
          <w:tcPr>
            <w:tcW w:w="881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tabs>
                <w:tab w:val="decimal" w:pos="40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-1.19 (-5.41, 3.02)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0.993 (0.963, 1.024)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-0.04 (-0.22, 0.14)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tabs>
                <w:tab w:val="decimal" w:pos="181"/>
                <w:tab w:val="decimal" w:pos="40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</w:p>
        </w:tc>
        <w:tc>
          <w:tcPr>
            <w:tcW w:w="785" w:type="pct"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</w:tr>
      <w:tr w:rsidR="00FE0D34" w:rsidTr="00FE0D34">
        <w:tc>
          <w:tcPr>
            <w:tcW w:w="881" w:type="pct"/>
            <w:vMerge w:val="restar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Availability of active-play equipment</w:t>
            </w:r>
          </w:p>
        </w:tc>
        <w:tc>
          <w:tcPr>
            <w:tcW w:w="1152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Parental engagement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3.79 (-0.17, 7.75)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1.036 (1.006, 1.067)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-0.12 (-0.31, 0.07)</w:t>
            </w:r>
          </w:p>
        </w:tc>
      </w:tr>
      <w:tr w:rsidR="00FE0D34" w:rsidTr="00FE0D34">
        <w:tc>
          <w:tcPr>
            <w:tcW w:w="881" w:type="pct"/>
            <w:vMerge/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0.47 (-4.23, 5.15)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1.019 (0.987, 1.051)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-0.20 (-0.44, 0.04)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tabs>
                <w:tab w:val="decimal" w:pos="181"/>
                <w:tab w:val="decimal" w:pos="40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</w:p>
        </w:tc>
        <w:tc>
          <w:tcPr>
            <w:tcW w:w="785" w:type="pct"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</w:tr>
      <w:tr w:rsidR="00FE0D34" w:rsidTr="00FE0D34">
        <w:tc>
          <w:tcPr>
            <w:tcW w:w="881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Traffic hazards</w:t>
            </w:r>
          </w:p>
        </w:tc>
        <w:tc>
          <w:tcPr>
            <w:tcW w:w="1152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Restrictions for safety concerns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-4.98 (-12.81, 2.84)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0.964 (0.910, 1.022)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0.20 (-0.13, 0.53)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0.20 (-8.44, 8.84)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0.967 (0.905, 1.033)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0.29 (-0.12, 0.69)</w:t>
            </w:r>
          </w:p>
        </w:tc>
      </w:tr>
      <w:tr w:rsidR="00FE0D34" w:rsidTr="00FE0D34">
        <w:tc>
          <w:tcPr>
            <w:tcW w:w="881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tabs>
                <w:tab w:val="decimal" w:pos="181"/>
                <w:tab w:val="decimal" w:pos="40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789" w:type="pct"/>
          </w:tcPr>
          <w:p w:rsidR="00FE0D34" w:rsidRDefault="00FE0D34">
            <w:pPr>
              <w:jc w:val="center"/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</w:p>
        </w:tc>
        <w:tc>
          <w:tcPr>
            <w:tcW w:w="785" w:type="pct"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</w:tr>
      <w:tr w:rsidR="00FE0D34" w:rsidTr="00FE0D34">
        <w:tc>
          <w:tcPr>
            <w:tcW w:w="88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Signs of physical and social disorder</w:t>
            </w:r>
          </w:p>
        </w:tc>
        <w:tc>
          <w:tcPr>
            <w:tcW w:w="1152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Restrictions for safety concerns</w:t>
            </w:r>
          </w:p>
        </w:tc>
        <w:tc>
          <w:tcPr>
            <w:tcW w:w="605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Weekday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0.50 (-6.38, 7.37)</w:t>
            </w:r>
          </w:p>
        </w:tc>
        <w:tc>
          <w:tcPr>
            <w:tcW w:w="789" w:type="pct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1.013 (0.958, 1.071)</w:t>
            </w:r>
          </w:p>
        </w:tc>
        <w:tc>
          <w:tcPr>
            <w:tcW w:w="785" w:type="pct"/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0.06 (-0.27, 0.40)</w:t>
            </w:r>
          </w:p>
        </w:tc>
      </w:tr>
      <w:tr w:rsidR="00FE0D34" w:rsidTr="00FE0D34">
        <w:tc>
          <w:tcPr>
            <w:tcW w:w="8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Weekend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tabs>
                <w:tab w:val="decimal" w:pos="181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4.98 (-3.47, 13.42)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rPr>
                <w:rFonts w:ascii="Times New Roman" w:hAnsi="Times New Roman" w:cs="Times New Roman"/>
                <w:bCs/>
                <w:sz w:val="22"/>
                <w:highlight w:val="yellow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1.019 (0.958, 1.083)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D34" w:rsidRDefault="00FE0D34">
            <w:pPr>
              <w:tabs>
                <w:tab w:val="decimal" w:pos="322"/>
              </w:tabs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0.54 (0.16, 0.92)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bookmarkEnd w:id="0"/>
    </w:tbl>
    <w:p w:rsidR="00FE0D34" w:rsidRDefault="00FE0D34" w:rsidP="00FE0D34">
      <w:pPr>
        <w:spacing w:after="120"/>
        <w:rPr>
          <w:rFonts w:ascii="Times New Roman" w:hAnsi="Times New Roman" w:cs="Times New Roman"/>
          <w:b/>
          <w:lang w:val="en-AU"/>
        </w:rPr>
      </w:pPr>
    </w:p>
    <w:p w:rsidR="00FE0D34" w:rsidRDefault="00FE0D34" w:rsidP="00FE0D34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/>
          <w:iCs/>
        </w:rPr>
        <w:t>Notes.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b</w:t>
      </w:r>
      <w:r>
        <w:rPr>
          <w:rFonts w:ascii="Times New Roman" w:hAnsi="Times New Roman" w:cs="Times New Roman"/>
          <w:bCs/>
        </w:rPr>
        <w:t xml:space="preserve">, estimate of </w:t>
      </w:r>
      <w:proofErr w:type="spellStart"/>
      <w:r>
        <w:rPr>
          <w:rFonts w:ascii="Times New Roman" w:hAnsi="Times New Roman" w:cs="Times New Roman"/>
          <w:bCs/>
        </w:rPr>
        <w:t>unstandardised</w:t>
      </w:r>
      <w:proofErr w:type="spellEnd"/>
      <w:r>
        <w:rPr>
          <w:rFonts w:ascii="Times New Roman" w:hAnsi="Times New Roman" w:cs="Times New Roman"/>
          <w:bCs/>
        </w:rPr>
        <w:t xml:space="preserve"> regression coefficient; </w:t>
      </w:r>
      <w:proofErr w:type="spellStart"/>
      <w:r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  <w:i/>
          <w:iCs/>
          <w:vertAlign w:val="superscript"/>
        </w:rPr>
        <w:t>b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exponentiated</w:t>
      </w:r>
      <w:proofErr w:type="spellEnd"/>
      <w:r>
        <w:rPr>
          <w:rFonts w:ascii="Times New Roman" w:hAnsi="Times New Roman" w:cs="Times New Roman"/>
          <w:bCs/>
        </w:rPr>
        <w:t xml:space="preserve"> estimate of </w:t>
      </w:r>
      <w:proofErr w:type="spellStart"/>
      <w:r>
        <w:rPr>
          <w:rFonts w:ascii="Times New Roman" w:hAnsi="Times New Roman" w:cs="Times New Roman"/>
          <w:bCs/>
        </w:rPr>
        <w:t>unstandardised</w:t>
      </w:r>
      <w:proofErr w:type="spellEnd"/>
      <w:r>
        <w:rPr>
          <w:rFonts w:ascii="Times New Roman" w:hAnsi="Times New Roman" w:cs="Times New Roman"/>
          <w:bCs/>
        </w:rPr>
        <w:t xml:space="preserve"> regression coefficient; CI, confidence interval; PA, physical activity; MVPA, moderate-to-vigorous physical activity. </w:t>
      </w:r>
      <w:proofErr w:type="gramStart"/>
      <w:r>
        <w:rPr>
          <w:rFonts w:ascii="Times New Roman" w:hAnsi="Times New Roman" w:cs="Times New Roman"/>
          <w:bCs/>
          <w:vertAlign w:val="superscript"/>
        </w:rPr>
        <w:t>*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p</w:t>
      </w:r>
      <w:r>
        <w:rPr>
          <w:rFonts w:ascii="Times New Roman" w:hAnsi="Times New Roman" w:cs="Times New Roman"/>
          <w:bCs/>
        </w:rPr>
        <w:t>&lt;.05.</w:t>
      </w:r>
      <w:proofErr w:type="gramEnd"/>
      <w:r>
        <w:rPr>
          <w:rFonts w:ascii="Times New Roman" w:hAnsi="Times New Roman" w:cs="Times New Roman"/>
          <w:bCs/>
        </w:rPr>
        <w:t xml:space="preserve"> All models were adjusted for socio-demographic characteristics. Models of total PA and MVPA were adjusted for average accelerometer wear time. Regression coefficients of </w:t>
      </w:r>
      <w:proofErr w:type="spellStart"/>
      <w:r>
        <w:rPr>
          <w:rFonts w:ascii="Times New Roman" w:hAnsi="Times New Roman" w:cs="Times New Roman"/>
          <w:bCs/>
        </w:rPr>
        <w:t>neighbourhood</w:t>
      </w:r>
      <w:proofErr w:type="spellEnd"/>
      <w:r>
        <w:rPr>
          <w:rFonts w:ascii="Times New Roman" w:hAnsi="Times New Roman" w:cs="Times New Roman"/>
          <w:bCs/>
        </w:rPr>
        <w:t xml:space="preserve"> environmental attributes moderated by other environmental attributes were not adjusted for PA-related parenting practices. </w:t>
      </w:r>
      <w:proofErr w:type="gramStart"/>
      <w:r>
        <w:rPr>
          <w:rFonts w:ascii="Times New Roman" w:hAnsi="Times New Roman" w:cs="Times New Roman"/>
          <w:bCs/>
          <w:vertAlign w:val="superscript"/>
        </w:rPr>
        <w:t>*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p</w:t>
      </w:r>
      <w:r>
        <w:rPr>
          <w:rFonts w:ascii="Times New Roman" w:hAnsi="Times New Roman" w:cs="Times New Roman"/>
          <w:bCs/>
        </w:rPr>
        <w:t xml:space="preserve">&lt;.05; </w:t>
      </w:r>
      <w:r>
        <w:rPr>
          <w:rFonts w:ascii="Times New Roman" w:hAnsi="Times New Roman" w:cs="Times New Roman"/>
          <w:bCs/>
          <w:vertAlign w:val="superscript"/>
        </w:rPr>
        <w:t>**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p</w:t>
      </w:r>
      <w:r>
        <w:rPr>
          <w:rFonts w:ascii="Times New Roman" w:hAnsi="Times New Roman" w:cs="Times New Roman"/>
          <w:bCs/>
        </w:rPr>
        <w:t>&lt;.01.</w:t>
      </w:r>
      <w:proofErr w:type="gramEnd"/>
    </w:p>
    <w:p w:rsidR="001E44A2" w:rsidRPr="00FE0D34" w:rsidRDefault="001E44A2" w:rsidP="00FE0D34"/>
    <w:sectPr w:rsidR="001E44A2" w:rsidRPr="00FE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1"/>
    <w:rsid w:val="0003437B"/>
    <w:rsid w:val="00085AF8"/>
    <w:rsid w:val="00093ACB"/>
    <w:rsid w:val="00121E9F"/>
    <w:rsid w:val="001367DB"/>
    <w:rsid w:val="001A2EF1"/>
    <w:rsid w:val="001E44A2"/>
    <w:rsid w:val="00216318"/>
    <w:rsid w:val="002533AA"/>
    <w:rsid w:val="00265CFC"/>
    <w:rsid w:val="00291350"/>
    <w:rsid w:val="00377F8D"/>
    <w:rsid w:val="003C16F6"/>
    <w:rsid w:val="003C7FC6"/>
    <w:rsid w:val="004761BA"/>
    <w:rsid w:val="00482CA0"/>
    <w:rsid w:val="004C686A"/>
    <w:rsid w:val="00507EF5"/>
    <w:rsid w:val="005161D1"/>
    <w:rsid w:val="0054093A"/>
    <w:rsid w:val="00567523"/>
    <w:rsid w:val="00590A77"/>
    <w:rsid w:val="005D1738"/>
    <w:rsid w:val="005D51DA"/>
    <w:rsid w:val="00656BEC"/>
    <w:rsid w:val="00686FE0"/>
    <w:rsid w:val="007239D9"/>
    <w:rsid w:val="00724A80"/>
    <w:rsid w:val="00811308"/>
    <w:rsid w:val="008263B3"/>
    <w:rsid w:val="00900EAC"/>
    <w:rsid w:val="009708C1"/>
    <w:rsid w:val="009967B0"/>
    <w:rsid w:val="00A12924"/>
    <w:rsid w:val="00A96A96"/>
    <w:rsid w:val="00AB4751"/>
    <w:rsid w:val="00AE4D58"/>
    <w:rsid w:val="00B179DF"/>
    <w:rsid w:val="00BD5A74"/>
    <w:rsid w:val="00C82E04"/>
    <w:rsid w:val="00CB057E"/>
    <w:rsid w:val="00D17B0A"/>
    <w:rsid w:val="00D8226A"/>
    <w:rsid w:val="00E22A7E"/>
    <w:rsid w:val="00EA0E34"/>
    <w:rsid w:val="00EE7DC2"/>
    <w:rsid w:val="00F14234"/>
    <w:rsid w:val="00F23692"/>
    <w:rsid w:val="00F516EA"/>
    <w:rsid w:val="00FD1F7C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8C1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8C1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2022-05-24T15:07:00Z</dcterms:created>
  <dcterms:modified xsi:type="dcterms:W3CDTF">2022-05-24T15:07:00Z</dcterms:modified>
</cp:coreProperties>
</file>