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8F62" w14:textId="28A3A1EB" w:rsidR="00E47C29" w:rsidRDefault="00AE7915" w:rsidP="00E47C29">
      <w:pPr>
        <w:spacing w:after="0" w:line="240" w:lineRule="auto"/>
        <w:ind w:firstLine="0"/>
      </w:pPr>
      <w:r>
        <w:rPr>
          <w:b/>
        </w:rPr>
        <w:t xml:space="preserve">Additional file </w:t>
      </w:r>
      <w:r w:rsidR="00E47C29">
        <w:rPr>
          <w:b/>
        </w:rPr>
        <w:t xml:space="preserve">7 Checklist </w:t>
      </w:r>
      <w:r w:rsidR="0015235F">
        <w:rPr>
          <w:b/>
        </w:rPr>
        <w:t>for planning a risk of bias assessment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237"/>
      </w:tblGrid>
      <w:tr w:rsidR="00E47C29" w14:paraId="45D9C2EA" w14:textId="77777777" w:rsidTr="000338CE">
        <w:tc>
          <w:tcPr>
            <w:tcW w:w="1689" w:type="dxa"/>
          </w:tcPr>
          <w:p w14:paraId="6FCA7698" w14:textId="77777777" w:rsidR="00E47C29" w:rsidRDefault="00E47C29" w:rsidP="000338CE">
            <w:pPr>
              <w:ind w:firstLine="0"/>
              <w:rPr>
                <w:b/>
                <w:color w:val="FF0000"/>
              </w:rPr>
            </w:pPr>
            <w:r>
              <w:rPr>
                <w:b/>
              </w:rPr>
              <w:t>FOCUS</w:t>
            </w:r>
            <w:r>
              <w:rPr>
                <w:b/>
                <w:color w:val="FF0000"/>
              </w:rPr>
              <w:t xml:space="preserve"> </w:t>
            </w:r>
          </w:p>
          <w:p w14:paraId="453496CF" w14:textId="77777777" w:rsidR="00E47C29" w:rsidRDefault="00E47C29" w:rsidP="000338CE">
            <w:pPr>
              <w:ind w:firstLine="0"/>
            </w:pPr>
            <w:r>
              <w:rPr>
                <w:i/>
              </w:rPr>
              <w:t>The assessment should be appropriately FOCUSED</w:t>
            </w:r>
          </w:p>
        </w:tc>
        <w:tc>
          <w:tcPr>
            <w:tcW w:w="7237" w:type="dxa"/>
          </w:tcPr>
          <w:p w14:paraId="0D8A6B21" w14:textId="77777777" w:rsidR="00E47C29" w:rsidRPr="000E34A2" w:rsidRDefault="00E47C29" w:rsidP="000338CE">
            <w:pPr>
              <w:ind w:firstLine="0"/>
            </w:pPr>
            <w:r w:rsidRPr="000E34A2">
              <w:t>● The focus should be on internal validity (</w:t>
            </w:r>
            <w:proofErr w:type="gramStart"/>
            <w:r w:rsidRPr="000E34A2">
              <w:t>i.e.</w:t>
            </w:r>
            <w:proofErr w:type="gramEnd"/>
            <w:r w:rsidRPr="000E34A2">
              <w:t xml:space="preserve"> risk of bias)</w:t>
            </w:r>
          </w:p>
          <w:p w14:paraId="123C81FF" w14:textId="73B025C1" w:rsidR="00E47C29" w:rsidRPr="000E34A2" w:rsidRDefault="00E47C29" w:rsidP="000338CE">
            <w:pPr>
              <w:ind w:firstLine="0"/>
            </w:pPr>
            <w:r w:rsidRPr="000E34A2">
              <w:t xml:space="preserve">● If other “quality” constructs are assessed these should be separable from internal validity. For rationale see section </w:t>
            </w:r>
            <w:r w:rsidR="00901DBC" w:rsidRPr="000E34A2">
              <w:rPr>
                <w:i/>
                <w:iCs/>
              </w:rPr>
              <w:t>“Internal validity in relation to other study quality constructs”</w:t>
            </w:r>
            <w:r w:rsidRPr="000E34A2">
              <w:t xml:space="preserve"> </w:t>
            </w:r>
            <w:r w:rsidR="00B635E4" w:rsidRPr="000E34A2">
              <w:t>in the paper.</w:t>
            </w:r>
          </w:p>
          <w:p w14:paraId="3653BF2C" w14:textId="665EC741" w:rsidR="00E47C29" w:rsidRPr="000E34A2" w:rsidRDefault="00E47C29" w:rsidP="000338CE">
            <w:pPr>
              <w:ind w:firstLine="0"/>
            </w:pPr>
            <w:r w:rsidRPr="000E34A2">
              <w:t>● Consider any implications of (lack of) blinding/masking when assessing risks of bias (Box 2</w:t>
            </w:r>
            <w:r w:rsidR="00B635E4" w:rsidRPr="000E34A2">
              <w:t xml:space="preserve"> in the paper</w:t>
            </w:r>
            <w:r w:rsidRPr="000E34A2">
              <w:t>)</w:t>
            </w:r>
            <w:r w:rsidR="00B635E4" w:rsidRPr="000E34A2">
              <w:t>.</w:t>
            </w:r>
          </w:p>
        </w:tc>
      </w:tr>
      <w:tr w:rsidR="00E47C29" w14:paraId="368A45D4" w14:textId="77777777" w:rsidTr="000338CE">
        <w:tc>
          <w:tcPr>
            <w:tcW w:w="1689" w:type="dxa"/>
          </w:tcPr>
          <w:p w14:paraId="4E17733C" w14:textId="77777777" w:rsidR="00E47C29" w:rsidRDefault="00E47C29" w:rsidP="000338CE">
            <w:pPr>
              <w:ind w:firstLine="0"/>
              <w:rPr>
                <w:b/>
                <w:color w:val="FF0000"/>
              </w:rPr>
            </w:pPr>
            <w:r>
              <w:rPr>
                <w:b/>
              </w:rPr>
              <w:t>EXTENT</w:t>
            </w:r>
          </w:p>
          <w:p w14:paraId="74AC91AC" w14:textId="77777777" w:rsidR="00E47C29" w:rsidRDefault="00E47C29" w:rsidP="000338CE">
            <w:pPr>
              <w:ind w:firstLine="0"/>
              <w:rPr>
                <w:i/>
              </w:rPr>
            </w:pPr>
            <w:r>
              <w:rPr>
                <w:i/>
              </w:rPr>
              <w:t xml:space="preserve">The assessment should be EXTENSIVE </w:t>
            </w:r>
          </w:p>
          <w:p w14:paraId="1B5D5B43" w14:textId="77777777" w:rsidR="00E47C29" w:rsidRDefault="00E47C29" w:rsidP="000338CE">
            <w:pPr>
              <w:ind w:firstLine="0"/>
            </w:pPr>
          </w:p>
        </w:tc>
        <w:tc>
          <w:tcPr>
            <w:tcW w:w="7237" w:type="dxa"/>
          </w:tcPr>
          <w:p w14:paraId="6782E2D8" w14:textId="1A3ED5A3" w:rsidR="00E47C29" w:rsidRPr="000E34A2" w:rsidRDefault="00E47C29" w:rsidP="000338CE">
            <w:pPr>
              <w:ind w:firstLine="0"/>
            </w:pPr>
            <w:r w:rsidRPr="000E34A2">
              <w:t xml:space="preserve">● </w:t>
            </w:r>
            <w:proofErr w:type="spellStart"/>
            <w:r w:rsidRPr="000E34A2">
              <w:t>All important</w:t>
            </w:r>
            <w:proofErr w:type="spellEnd"/>
            <w:r w:rsidRPr="000E34A2">
              <w:t xml:space="preserve"> threats to internal validity (</w:t>
            </w:r>
            <w:proofErr w:type="gramStart"/>
            <w:r w:rsidRPr="000E34A2">
              <w:t>i.e.</w:t>
            </w:r>
            <w:proofErr w:type="gramEnd"/>
            <w:r w:rsidRPr="000E34A2">
              <w:t xml:space="preserve"> all domains of potential bias) that are relevant to the included study designs should be included (for the key domains of bias that should be assessed see section </w:t>
            </w:r>
            <w:r w:rsidR="00066236" w:rsidRPr="000E34A2">
              <w:rPr>
                <w:i/>
                <w:iCs/>
              </w:rPr>
              <w:t>“Types of bias and appraisal tools relevant to environmental studies”</w:t>
            </w:r>
            <w:r w:rsidR="00066236" w:rsidRPr="000E34A2">
              <w:t xml:space="preserve"> </w:t>
            </w:r>
            <w:r w:rsidRPr="000E34A2">
              <w:t xml:space="preserve">and Table </w:t>
            </w:r>
            <w:r w:rsidR="00C46B3B" w:rsidRPr="000E34A2">
              <w:t>2</w:t>
            </w:r>
            <w:r w:rsidR="00B635E4" w:rsidRPr="000E34A2">
              <w:t xml:space="preserve"> in the paper</w:t>
            </w:r>
            <w:r w:rsidRPr="000E34A2">
              <w:t>)</w:t>
            </w:r>
          </w:p>
          <w:p w14:paraId="23455994" w14:textId="2B32DB6A" w:rsidR="00E47C29" w:rsidRPr="000E34A2" w:rsidRDefault="00E47C29" w:rsidP="000338CE">
            <w:pPr>
              <w:ind w:firstLine="0"/>
            </w:pPr>
            <w:r w:rsidRPr="000E34A2">
              <w:t>● A clear rationale should be provided for the inclusion or exclusion of each bias domain (</w:t>
            </w:r>
            <w:proofErr w:type="gramStart"/>
            <w:r w:rsidRPr="000E34A2">
              <w:t>e.g.</w:t>
            </w:r>
            <w:proofErr w:type="gramEnd"/>
            <w:r w:rsidRPr="000E34A2">
              <w:t xml:space="preserve"> a robust stakeholder-informed decision making process to ensure that all confounders have been identified and/or use of an existing risk of bias instrument). If an existing instrument is used, evidence should be </w:t>
            </w:r>
            <w:proofErr w:type="gramStart"/>
            <w:r w:rsidRPr="000E34A2">
              <w:t>provided that</w:t>
            </w:r>
            <w:proofErr w:type="gramEnd"/>
            <w:r w:rsidRPr="000E34A2">
              <w:t xml:space="preserve"> it is fit for purpose. For examples of assessing fitness for purpose of existing instruments see </w:t>
            </w:r>
            <w:r w:rsidR="00AE7915">
              <w:t xml:space="preserve">Additional file </w:t>
            </w:r>
            <w:r w:rsidR="006A33EA" w:rsidRPr="000E34A2">
              <w:t>6</w:t>
            </w:r>
            <w:r w:rsidR="00B635E4" w:rsidRPr="000E34A2">
              <w:t>.</w:t>
            </w:r>
          </w:p>
        </w:tc>
      </w:tr>
      <w:tr w:rsidR="00E47C29" w14:paraId="170AC6E6" w14:textId="77777777" w:rsidTr="000338CE">
        <w:trPr>
          <w:trHeight w:val="4365"/>
        </w:trPr>
        <w:tc>
          <w:tcPr>
            <w:tcW w:w="1689" w:type="dxa"/>
          </w:tcPr>
          <w:p w14:paraId="71A59F4B" w14:textId="77777777" w:rsidR="00E47C29" w:rsidRDefault="00E47C29" w:rsidP="000338CE">
            <w:pPr>
              <w:ind w:firstLine="0"/>
              <w:rPr>
                <w:b/>
              </w:rPr>
            </w:pPr>
            <w:r>
              <w:rPr>
                <w:b/>
              </w:rPr>
              <w:t>APPLICATION</w:t>
            </w:r>
          </w:p>
          <w:p w14:paraId="79DCF2CF" w14:textId="77777777" w:rsidR="00E47C29" w:rsidRDefault="00E47C29" w:rsidP="000338CE">
            <w:pPr>
              <w:ind w:firstLine="0"/>
              <w:rPr>
                <w:i/>
              </w:rPr>
            </w:pPr>
            <w:r>
              <w:rPr>
                <w:i/>
              </w:rPr>
              <w:t>The assessment results should be APPLIED</w:t>
            </w:r>
          </w:p>
          <w:p w14:paraId="2C5BE510" w14:textId="77777777" w:rsidR="00E47C29" w:rsidRDefault="00E47C29" w:rsidP="000338CE">
            <w:pPr>
              <w:ind w:firstLine="0"/>
              <w:rPr>
                <w:color w:val="FF0000"/>
              </w:rPr>
            </w:pPr>
          </w:p>
          <w:p w14:paraId="5C6F6603" w14:textId="77777777" w:rsidR="00E47C29" w:rsidRDefault="00E47C29" w:rsidP="000338CE">
            <w:pPr>
              <w:ind w:firstLine="0"/>
              <w:rPr>
                <w:color w:val="FF0000"/>
              </w:rPr>
            </w:pPr>
          </w:p>
          <w:p w14:paraId="38A95AB4" w14:textId="77777777" w:rsidR="00E47C29" w:rsidRDefault="00E47C29" w:rsidP="000338CE">
            <w:pPr>
              <w:ind w:firstLine="0"/>
            </w:pPr>
          </w:p>
        </w:tc>
        <w:tc>
          <w:tcPr>
            <w:tcW w:w="7237" w:type="dxa"/>
          </w:tcPr>
          <w:p w14:paraId="54098E85" w14:textId="25717A79" w:rsidR="00E47C29" w:rsidRPr="000E34A2" w:rsidRDefault="00E47C29" w:rsidP="000338CE">
            <w:pPr>
              <w:ind w:firstLine="0"/>
            </w:pPr>
            <w:r w:rsidRPr="000E34A2">
              <w:t xml:space="preserve">● The output of critical appraisal should be appropriately structured, </w:t>
            </w:r>
            <w:proofErr w:type="gramStart"/>
            <w:r w:rsidRPr="000E34A2">
              <w:t>i.e.</w:t>
            </w:r>
            <w:proofErr w:type="gramEnd"/>
            <w:r w:rsidRPr="000E34A2">
              <w:t xml:space="preserve"> with clearly defined validity classes that are correctly interpreted and applied (</w:t>
            </w:r>
            <w:r w:rsidR="000E34A2">
              <w:t xml:space="preserve">see </w:t>
            </w:r>
            <w:r w:rsidR="00413A67" w:rsidRPr="000E34A2">
              <w:t xml:space="preserve">section </w:t>
            </w:r>
            <w:r w:rsidR="00413A67" w:rsidRPr="000E34A2">
              <w:rPr>
                <w:i/>
                <w:iCs/>
              </w:rPr>
              <w:t>“Develop a new risk of bias tool”</w:t>
            </w:r>
            <w:r w:rsidR="00413A67" w:rsidRPr="000E34A2">
              <w:t xml:space="preserve"> and </w:t>
            </w:r>
            <w:r w:rsidRPr="000E34A2">
              <w:t>Table 4</w:t>
            </w:r>
            <w:r w:rsidR="00797757" w:rsidRPr="000E34A2">
              <w:t xml:space="preserve"> in the paper</w:t>
            </w:r>
            <w:r w:rsidRPr="000E34A2">
              <w:t>) and a logical process for determining the overall validity (risk of bias) for each outcome (</w:t>
            </w:r>
            <w:r w:rsidR="00E010F8" w:rsidRPr="000E34A2">
              <w:t>Table 5 in the paper</w:t>
            </w:r>
            <w:r w:rsidRPr="000E34A2">
              <w:t xml:space="preserve">). </w:t>
            </w:r>
          </w:p>
          <w:p w14:paraId="0DAD6A13" w14:textId="34F1B31C" w:rsidR="00E47C29" w:rsidRPr="000E34A2" w:rsidRDefault="00E47C29" w:rsidP="000338CE">
            <w:pPr>
              <w:ind w:firstLine="0"/>
            </w:pPr>
            <w:r w:rsidRPr="000E34A2">
              <w:t xml:space="preserve">● Avoid using numerical scores that conflate </w:t>
            </w:r>
            <w:sdt>
              <w:sdtPr>
                <w:tag w:val="goog_rdk_66"/>
                <w:id w:val="-1385557264"/>
              </w:sdtPr>
              <w:sdtEndPr/>
              <w:sdtContent/>
            </w:sdt>
            <w:r w:rsidRPr="000E34A2">
              <w:t>quality constructs or imply that qualitative constructs have equal weight (</w:t>
            </w:r>
            <w:r w:rsidR="000E34A2">
              <w:t xml:space="preserve">see </w:t>
            </w:r>
            <w:r w:rsidRPr="000E34A2">
              <w:t>Box 3</w:t>
            </w:r>
            <w:r w:rsidR="00E010F8" w:rsidRPr="000E34A2">
              <w:t xml:space="preserve"> in the paper</w:t>
            </w:r>
            <w:r w:rsidRPr="000E34A2">
              <w:t>).</w:t>
            </w:r>
          </w:p>
          <w:p w14:paraId="50CB01A4" w14:textId="3F421D97" w:rsidR="00E47C29" w:rsidRPr="000E34A2" w:rsidRDefault="00E47C29" w:rsidP="000338CE">
            <w:pPr>
              <w:ind w:firstLine="0"/>
            </w:pPr>
            <w:r w:rsidRPr="000E34A2">
              <w:t>● The critical appraisal output should inform the data synthesis for each outcome included in the review, for both quantitative and narrative data syntheses, where conducted (</w:t>
            </w:r>
            <w:r w:rsidR="000E34A2">
              <w:t xml:space="preserve">see </w:t>
            </w:r>
            <w:r w:rsidR="00413A67" w:rsidRPr="000E34A2">
              <w:t xml:space="preserve">section </w:t>
            </w:r>
            <w:r w:rsidR="00413A67" w:rsidRPr="000E34A2">
              <w:rPr>
                <w:i/>
                <w:iCs/>
              </w:rPr>
              <w:t>“Apply”</w:t>
            </w:r>
            <w:r w:rsidR="00413A67" w:rsidRPr="000E34A2">
              <w:t xml:space="preserve"> and </w:t>
            </w:r>
            <w:r w:rsidRPr="000E34A2">
              <w:t>Table 7</w:t>
            </w:r>
            <w:r w:rsidR="00E010F8" w:rsidRPr="000E34A2">
              <w:t xml:space="preserve"> </w:t>
            </w:r>
            <w:r w:rsidR="00413A67" w:rsidRPr="000E34A2">
              <w:t>i</w:t>
            </w:r>
            <w:r w:rsidR="00E010F8" w:rsidRPr="000E34A2">
              <w:t>n the paper).</w:t>
            </w:r>
          </w:p>
        </w:tc>
      </w:tr>
      <w:tr w:rsidR="00E47C29" w14:paraId="051F7570" w14:textId="77777777" w:rsidTr="000338CE">
        <w:tc>
          <w:tcPr>
            <w:tcW w:w="1689" w:type="dxa"/>
          </w:tcPr>
          <w:p w14:paraId="137D22A0" w14:textId="77777777" w:rsidR="00E47C29" w:rsidRDefault="00E47C29" w:rsidP="000338C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TRANSPARENCY</w:t>
            </w:r>
          </w:p>
          <w:p w14:paraId="42A60906" w14:textId="77777777" w:rsidR="00E47C29" w:rsidRDefault="00E47C29" w:rsidP="000338CE">
            <w:pPr>
              <w:ind w:firstLine="0"/>
            </w:pPr>
          </w:p>
          <w:p w14:paraId="76B50E28" w14:textId="77777777" w:rsidR="00E47C29" w:rsidRDefault="00E47C29" w:rsidP="000338CE">
            <w:pPr>
              <w:ind w:firstLine="0"/>
            </w:pPr>
            <w:r>
              <w:rPr>
                <w:i/>
              </w:rPr>
              <w:t>The assessment should be fully TRANSPARENT</w:t>
            </w:r>
          </w:p>
        </w:tc>
        <w:tc>
          <w:tcPr>
            <w:tcW w:w="7237" w:type="dxa"/>
          </w:tcPr>
          <w:p w14:paraId="1AED12B7" w14:textId="730CC692" w:rsidR="00E47C29" w:rsidRPr="000E34A2" w:rsidRDefault="00E47C29" w:rsidP="000338CE">
            <w:pPr>
              <w:ind w:firstLine="0"/>
            </w:pPr>
            <w:r w:rsidRPr="000E34A2">
              <w:t>● The rationale for each judgement in the risk of bias assessment should be clearly documented for each outcome in each study (</w:t>
            </w:r>
            <w:r w:rsidR="000E34A2">
              <w:t xml:space="preserve">see </w:t>
            </w:r>
            <w:r w:rsidR="0075663A" w:rsidRPr="000E34A2">
              <w:t xml:space="preserve">section </w:t>
            </w:r>
            <w:r w:rsidR="003E67BA" w:rsidRPr="000E34A2">
              <w:rPr>
                <w:i/>
                <w:iCs/>
              </w:rPr>
              <w:t>“Report”</w:t>
            </w:r>
            <w:r w:rsidR="0075663A" w:rsidRPr="000E34A2">
              <w:t xml:space="preserve"> and Table 8 in the paper</w:t>
            </w:r>
            <w:r w:rsidRPr="000E34A2">
              <w:t>)</w:t>
            </w:r>
          </w:p>
          <w:p w14:paraId="13F3A577" w14:textId="304BAEF5" w:rsidR="00E47C29" w:rsidRPr="000E34A2" w:rsidRDefault="00E47C29" w:rsidP="000338CE">
            <w:pPr>
              <w:ind w:firstLine="0"/>
            </w:pPr>
            <w:r w:rsidRPr="000E34A2">
              <w:t xml:space="preserve">● The methods and results of all steps of the critical appraisal process should be clearly reported. For examples of transparency issues in CEE reviews see </w:t>
            </w:r>
            <w:r w:rsidR="00AE7915">
              <w:t xml:space="preserve">Additional file </w:t>
            </w:r>
            <w:r w:rsidRPr="000E34A2">
              <w:t>2.</w:t>
            </w:r>
          </w:p>
        </w:tc>
      </w:tr>
      <w:tr w:rsidR="00E47C29" w14:paraId="1D1683A4" w14:textId="77777777" w:rsidTr="000338CE">
        <w:tc>
          <w:tcPr>
            <w:tcW w:w="1689" w:type="dxa"/>
          </w:tcPr>
          <w:p w14:paraId="22E90DCD" w14:textId="77777777" w:rsidR="00E47C29" w:rsidRDefault="00E47C29" w:rsidP="000338CE">
            <w:pPr>
              <w:spacing w:line="288" w:lineRule="auto"/>
              <w:ind w:firstLine="0"/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14:paraId="61C32938" w14:textId="77777777" w:rsidR="00E47C29" w:rsidRDefault="00E47C29" w:rsidP="000338CE">
            <w:pPr>
              <w:spacing w:line="288" w:lineRule="auto"/>
              <w:ind w:firstLine="0"/>
            </w:pPr>
          </w:p>
          <w:p w14:paraId="17112895" w14:textId="77777777" w:rsidR="00E47C29" w:rsidRDefault="00E47C29" w:rsidP="000338CE">
            <w:pPr>
              <w:spacing w:line="288" w:lineRule="auto"/>
              <w:ind w:firstLine="0"/>
              <w:rPr>
                <w:i/>
              </w:rPr>
            </w:pPr>
            <w:r>
              <w:rPr>
                <w:i/>
              </w:rPr>
              <w:t xml:space="preserve">Key aspects of the methods required to mitigate against the review team introducing bias and other errors </w:t>
            </w:r>
          </w:p>
        </w:tc>
        <w:tc>
          <w:tcPr>
            <w:tcW w:w="7237" w:type="dxa"/>
          </w:tcPr>
          <w:p w14:paraId="084E8A70" w14:textId="77777777" w:rsidR="00E47C29" w:rsidRPr="000E34A2" w:rsidRDefault="00E47C29" w:rsidP="000338CE">
            <w:pPr>
              <w:ind w:firstLine="0"/>
            </w:pPr>
            <w:r w:rsidRPr="000E34A2">
              <w:t>● The critical appraisal should be based on the systematic review protocol, with any deviations clearly justified</w:t>
            </w:r>
          </w:p>
          <w:p w14:paraId="4821A7E7" w14:textId="0B0B3EA3" w:rsidR="00E47C29" w:rsidRPr="000E34A2" w:rsidRDefault="00E47C29" w:rsidP="000338CE">
            <w:pPr>
              <w:ind w:firstLine="0"/>
            </w:pPr>
            <w:r w:rsidRPr="000E34A2">
              <w:t>● Assessments should be conducted by at least 2 reviewers, with clear documentation of any disagreements and how these were resolved (</w:t>
            </w:r>
            <w:r w:rsidR="000E34A2">
              <w:t xml:space="preserve">see </w:t>
            </w:r>
            <w:r w:rsidRPr="000E34A2">
              <w:t xml:space="preserve">Table </w:t>
            </w:r>
            <w:r w:rsidR="0075663A" w:rsidRPr="000E34A2">
              <w:t>6 in the paper</w:t>
            </w:r>
            <w:r w:rsidRPr="000E34A2">
              <w:t>)</w:t>
            </w:r>
          </w:p>
          <w:p w14:paraId="4E33321E" w14:textId="387BF1A6" w:rsidR="00E47C29" w:rsidRPr="000E34A2" w:rsidRDefault="00E47C29" w:rsidP="000338CE">
            <w:pPr>
              <w:ind w:firstLine="0"/>
            </w:pPr>
            <w:r w:rsidRPr="000E34A2">
              <w:t>● The topic expertise composition and affiliations of the review team and any stakeholders advising the assessment should be specified and all participants in the review should be free from conflicts; authors or other contributors to studies included in the review should not critically appraise their own studies (</w:t>
            </w:r>
            <w:r w:rsidR="000E34A2">
              <w:t xml:space="preserve">see </w:t>
            </w:r>
            <w:r w:rsidRPr="000E34A2">
              <w:t xml:space="preserve">section </w:t>
            </w:r>
            <w:r w:rsidR="000E34A2" w:rsidRPr="000E34A2">
              <w:rPr>
                <w:i/>
                <w:iCs/>
              </w:rPr>
              <w:t>“Prepare the team”</w:t>
            </w:r>
            <w:r w:rsidR="0075663A" w:rsidRPr="000E34A2">
              <w:t xml:space="preserve"> in the paper</w:t>
            </w:r>
            <w:r w:rsidRPr="000E34A2">
              <w:t>)</w:t>
            </w:r>
          </w:p>
        </w:tc>
      </w:tr>
    </w:tbl>
    <w:p w14:paraId="4C360F68" w14:textId="2F96B4A2" w:rsidR="00F91DFE" w:rsidRDefault="00F91DFE"/>
    <w:p w14:paraId="439C67FE" w14:textId="624E5D81" w:rsidR="00A737CC" w:rsidRDefault="00A737CC"/>
    <w:p w14:paraId="7365FCB8" w14:textId="2A9D1D66" w:rsidR="00A737CC" w:rsidRDefault="00A737CC"/>
    <w:p w14:paraId="687DA3F3" w14:textId="37078F93" w:rsidR="00A737CC" w:rsidRDefault="00A737CC"/>
    <w:p w14:paraId="381BBC44" w14:textId="049C5A20" w:rsidR="00A737CC" w:rsidRDefault="00A737CC"/>
    <w:p w14:paraId="7D3A2D0D" w14:textId="77777777" w:rsidR="00A737CC" w:rsidRDefault="00A737CC"/>
    <w:p w14:paraId="212394CA" w14:textId="77777777" w:rsidR="00A737CC" w:rsidRDefault="00A737CC" w:rsidP="00A737CC">
      <w:pPr>
        <w:spacing w:after="0"/>
        <w:ind w:left="720" w:hanging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_________________________________________________________________________________</w:t>
      </w:r>
    </w:p>
    <w:p w14:paraId="6D0FC28D" w14:textId="1596F2FD" w:rsidR="00A737CC" w:rsidRDefault="00A737CC" w:rsidP="00A737CC">
      <w:pPr>
        <w:pStyle w:val="Header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Style w:val="fontstyle01"/>
          <w:rFonts w:ascii="Arial" w:hAnsi="Arial" w:cs="Arial"/>
          <w:color w:val="808080" w:themeColor="background1" w:themeShade="80"/>
          <w:sz w:val="18"/>
          <w:szCs w:val="18"/>
        </w:rPr>
        <w:t xml:space="preserve">This </w:t>
      </w:r>
      <w:r w:rsidR="00AE7915">
        <w:rPr>
          <w:rStyle w:val="fontstyle01"/>
          <w:rFonts w:ascii="Arial" w:hAnsi="Arial" w:cs="Arial"/>
          <w:color w:val="808080" w:themeColor="background1" w:themeShade="80"/>
          <w:sz w:val="18"/>
          <w:szCs w:val="18"/>
        </w:rPr>
        <w:t>additional file</w:t>
      </w:r>
      <w:r>
        <w:rPr>
          <w:rStyle w:val="fontstyle01"/>
          <w:rFonts w:ascii="Arial" w:hAnsi="Arial" w:cs="Arial"/>
          <w:color w:val="808080" w:themeColor="background1" w:themeShade="80"/>
          <w:sz w:val="18"/>
          <w:szCs w:val="18"/>
        </w:rPr>
        <w:t xml:space="preserve"> is part of the article</w:t>
      </w:r>
      <w:r>
        <w:rPr>
          <w:rStyle w:val="fontstyle01"/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Principles and framework for assessing the risk of bias for studies included in comparative quantitative environmental systematic reviews. </w:t>
      </w:r>
      <w:r>
        <w:rPr>
          <w:rStyle w:val="fontstyle01"/>
          <w:rFonts w:ascii="Arial" w:hAnsi="Arial" w:cs="Arial"/>
          <w:color w:val="808080" w:themeColor="background1" w:themeShade="80"/>
          <w:sz w:val="18"/>
          <w:szCs w:val="18"/>
        </w:rPr>
        <w:t>Environmental Evidence journal 2022.</w:t>
      </w:r>
    </w:p>
    <w:p w14:paraId="279D9A8B" w14:textId="77777777" w:rsidR="00A737CC" w:rsidRDefault="00A737CC"/>
    <w:sectPr w:rsidR="00A7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FE"/>
    <w:rsid w:val="00066236"/>
    <w:rsid w:val="000C5586"/>
    <w:rsid w:val="000E34A2"/>
    <w:rsid w:val="0015235F"/>
    <w:rsid w:val="00394681"/>
    <w:rsid w:val="003E67BA"/>
    <w:rsid w:val="00413A67"/>
    <w:rsid w:val="006A33EA"/>
    <w:rsid w:val="0075663A"/>
    <w:rsid w:val="00797757"/>
    <w:rsid w:val="00901DBC"/>
    <w:rsid w:val="0092016E"/>
    <w:rsid w:val="00A737CC"/>
    <w:rsid w:val="00AE7915"/>
    <w:rsid w:val="00B635E4"/>
    <w:rsid w:val="00C46B3B"/>
    <w:rsid w:val="00E010F8"/>
    <w:rsid w:val="00E47C29"/>
    <w:rsid w:val="00F91DFE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33BA"/>
  <w15:chartTrackingRefBased/>
  <w15:docId w15:val="{7ADD2F93-E3F2-4DEA-97D6-6412045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29"/>
    <w:pPr>
      <w:spacing w:after="240" w:line="360" w:lineRule="auto"/>
      <w:ind w:firstLine="284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29"/>
    <w:rPr>
      <w:rFonts w:ascii="Segoe UI" w:eastAsia="Calibr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737CC"/>
    <w:pPr>
      <w:tabs>
        <w:tab w:val="center" w:pos="4513"/>
        <w:tab w:val="right" w:pos="9026"/>
      </w:tabs>
      <w:spacing w:after="0"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7CC"/>
    <w:rPr>
      <w:rFonts w:ascii="Calibri" w:eastAsia="Calibri" w:hAnsi="Calibri" w:cs="Calibri"/>
      <w:lang w:eastAsia="en-GB"/>
    </w:rPr>
  </w:style>
  <w:style w:type="character" w:customStyle="1" w:styleId="fontstyle01">
    <w:name w:val="fontstyle01"/>
    <w:basedOn w:val="DefaultParagraphFont"/>
    <w:rsid w:val="00A737CC"/>
    <w:rPr>
      <w:rFonts w:ascii="Calibri-Light" w:hAnsi="Calibri-Light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Frampton</dc:creator>
  <cp:keywords/>
  <dc:description/>
  <cp:lastModifiedBy>Geoff Frampton</cp:lastModifiedBy>
  <cp:revision>18</cp:revision>
  <dcterms:created xsi:type="dcterms:W3CDTF">2021-10-05T19:09:00Z</dcterms:created>
  <dcterms:modified xsi:type="dcterms:W3CDTF">2022-03-13T18:43:00Z</dcterms:modified>
</cp:coreProperties>
</file>