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FD3C" w14:textId="6C63A4C9" w:rsidR="007E71AA" w:rsidRDefault="005F2BFB" w:rsidP="00E37781">
      <w:pPr>
        <w:ind w:left="-340"/>
        <w:rPr>
          <w:b/>
          <w:noProof/>
          <w:sz w:val="24"/>
        </w:rPr>
      </w:pPr>
      <w:r>
        <w:rPr>
          <w:b/>
          <w:noProof/>
          <w:sz w:val="24"/>
        </w:rPr>
        <w:t xml:space="preserve">Additional file </w:t>
      </w:r>
      <w:r w:rsidR="00C06119">
        <w:rPr>
          <w:b/>
          <w:noProof/>
          <w:sz w:val="24"/>
        </w:rPr>
        <w:t>6</w:t>
      </w:r>
      <w:r w:rsidR="00117F49" w:rsidRPr="00117F49">
        <w:rPr>
          <w:b/>
          <w:noProof/>
          <w:sz w:val="24"/>
        </w:rPr>
        <w:t xml:space="preserve"> Examples of critical appriasal instruments assessed for fitness</w:t>
      </w:r>
      <w:r w:rsidR="006B3DD8">
        <w:rPr>
          <w:b/>
          <w:noProof/>
          <w:sz w:val="24"/>
        </w:rPr>
        <w:t>-</w:t>
      </w:r>
      <w:r w:rsidR="00117F49" w:rsidRPr="00117F49">
        <w:rPr>
          <w:b/>
          <w:noProof/>
          <w:sz w:val="24"/>
        </w:rPr>
        <w:t>for</w:t>
      </w:r>
      <w:r w:rsidR="006B3DD8">
        <w:rPr>
          <w:b/>
          <w:noProof/>
          <w:sz w:val="24"/>
        </w:rPr>
        <w:t>-</w:t>
      </w:r>
      <w:r w:rsidR="00117F49" w:rsidRPr="00117F49">
        <w:rPr>
          <w:b/>
          <w:noProof/>
          <w:sz w:val="24"/>
        </w:rPr>
        <w:t>purpose against the FEAT principles</w:t>
      </w:r>
    </w:p>
    <w:tbl>
      <w:tblPr>
        <w:tblW w:w="14743" w:type="dxa"/>
        <w:tblInd w:w="-436" w:type="dxa"/>
        <w:tblLayout w:type="fixed"/>
        <w:tblCellMar>
          <w:left w:w="0" w:type="dxa"/>
          <w:right w:w="0" w:type="dxa"/>
        </w:tblCellMar>
        <w:tblLook w:val="0420" w:firstRow="1" w:lastRow="0" w:firstColumn="0" w:lastColumn="0" w:noHBand="0" w:noVBand="1"/>
      </w:tblPr>
      <w:tblGrid>
        <w:gridCol w:w="1844"/>
        <w:gridCol w:w="2289"/>
        <w:gridCol w:w="3536"/>
        <w:gridCol w:w="3537"/>
        <w:gridCol w:w="3537"/>
      </w:tblGrid>
      <w:tr w:rsidR="00864FD9" w:rsidRPr="00EF2624" w14:paraId="192A2DB5" w14:textId="77777777" w:rsidTr="00E37781">
        <w:trPr>
          <w:trHeight w:val="618"/>
        </w:trPr>
        <w:tc>
          <w:tcPr>
            <w:tcW w:w="4133" w:type="dxa"/>
            <w:gridSpan w:val="2"/>
            <w:tcBorders>
              <w:top w:val="single" w:sz="8" w:space="0" w:color="7F7F7F"/>
              <w:left w:val="single" w:sz="8" w:space="0" w:color="7F7F7F"/>
              <w:bottom w:val="single" w:sz="4" w:space="0" w:color="auto"/>
              <w:right w:val="single" w:sz="8" w:space="0" w:color="7F7F7F"/>
            </w:tcBorders>
            <w:shd w:val="clear" w:color="auto" w:fill="F7CAAC" w:themeFill="accent2" w:themeFillTint="66"/>
            <w:tcMar>
              <w:top w:w="72" w:type="dxa"/>
              <w:left w:w="144" w:type="dxa"/>
              <w:bottom w:w="72" w:type="dxa"/>
              <w:right w:w="144" w:type="dxa"/>
            </w:tcMar>
            <w:vAlign w:val="center"/>
          </w:tcPr>
          <w:p w14:paraId="32D83DC5" w14:textId="17B88D77" w:rsidR="00864FD9" w:rsidRPr="00972AE8" w:rsidRDefault="00864FD9" w:rsidP="00EF2624">
            <w:pPr>
              <w:rPr>
                <w:b/>
                <w:bCs/>
                <w:color w:val="5C2A08"/>
                <w:sz w:val="26"/>
                <w:szCs w:val="26"/>
              </w:rPr>
            </w:pPr>
            <w:bookmarkStart w:id="0" w:name="_Hlk76717016"/>
            <w:r w:rsidRPr="00972AE8">
              <w:rPr>
                <w:b/>
                <w:bCs/>
                <w:color w:val="5C2A08"/>
                <w:sz w:val="26"/>
                <w:szCs w:val="26"/>
              </w:rPr>
              <w:t xml:space="preserve">FEAT principles as applicable to </w:t>
            </w:r>
            <w:r w:rsidR="009A36E9" w:rsidRPr="00972AE8">
              <w:rPr>
                <w:b/>
                <w:bCs/>
                <w:color w:val="5C2A08"/>
                <w:sz w:val="26"/>
                <w:szCs w:val="26"/>
              </w:rPr>
              <w:t>internal validity</w:t>
            </w:r>
          </w:p>
        </w:tc>
        <w:tc>
          <w:tcPr>
            <w:tcW w:w="10610" w:type="dxa"/>
            <w:gridSpan w:val="3"/>
            <w:tcBorders>
              <w:top w:val="single" w:sz="8" w:space="0" w:color="7F7F7F"/>
              <w:left w:val="single" w:sz="8" w:space="0" w:color="7F7F7F"/>
              <w:bottom w:val="single" w:sz="8" w:space="0" w:color="7F7F7F"/>
              <w:right w:val="single" w:sz="8" w:space="0" w:color="7F7F7F"/>
            </w:tcBorders>
            <w:shd w:val="clear" w:color="auto" w:fill="C5E0B3" w:themeFill="accent6" w:themeFillTint="66"/>
            <w:tcMar>
              <w:top w:w="72" w:type="dxa"/>
              <w:left w:w="144" w:type="dxa"/>
              <w:bottom w:w="72" w:type="dxa"/>
              <w:right w:w="144" w:type="dxa"/>
            </w:tcMar>
            <w:vAlign w:val="center"/>
          </w:tcPr>
          <w:p w14:paraId="098D9F6F" w14:textId="4CFFB2E0" w:rsidR="00864FD9" w:rsidRPr="00972AE8" w:rsidRDefault="00864FD9" w:rsidP="00864FD9">
            <w:pPr>
              <w:jc w:val="center"/>
              <w:rPr>
                <w:b/>
                <w:bCs/>
                <w:color w:val="385623" w:themeColor="accent6" w:themeShade="80"/>
                <w:sz w:val="26"/>
                <w:szCs w:val="26"/>
              </w:rPr>
            </w:pPr>
            <w:r w:rsidRPr="00972AE8">
              <w:rPr>
                <w:b/>
                <w:bCs/>
                <w:color w:val="385623" w:themeColor="accent6" w:themeShade="80"/>
                <w:sz w:val="26"/>
                <w:szCs w:val="26"/>
              </w:rPr>
              <w:t>Examples of risk of bias tools assessed against the FEAT principles</w:t>
            </w:r>
          </w:p>
        </w:tc>
      </w:tr>
      <w:tr w:rsidR="00864FD9" w:rsidRPr="00EF2624" w14:paraId="67497FFF" w14:textId="77777777" w:rsidTr="00E37781">
        <w:trPr>
          <w:trHeight w:val="618"/>
        </w:trPr>
        <w:tc>
          <w:tcPr>
            <w:tcW w:w="1844" w:type="dxa"/>
            <w:tcBorders>
              <w:top w:val="single" w:sz="4" w:space="0" w:color="auto"/>
              <w:left w:val="single" w:sz="4" w:space="0" w:color="auto"/>
              <w:bottom w:val="single" w:sz="4" w:space="0" w:color="auto"/>
              <w:right w:val="single" w:sz="8" w:space="0" w:color="7F7F7F"/>
            </w:tcBorders>
            <w:shd w:val="clear" w:color="auto" w:fill="F7CAAC" w:themeFill="accent2" w:themeFillTint="66"/>
            <w:tcMar>
              <w:top w:w="72" w:type="dxa"/>
              <w:left w:w="144" w:type="dxa"/>
              <w:bottom w:w="72" w:type="dxa"/>
              <w:right w:w="144" w:type="dxa"/>
            </w:tcMar>
            <w:vAlign w:val="bottom"/>
          </w:tcPr>
          <w:p w14:paraId="21274ABE" w14:textId="0A2301C2" w:rsidR="00864FD9" w:rsidRPr="00864FD9" w:rsidRDefault="00864FD9" w:rsidP="00864FD9">
            <w:pPr>
              <w:rPr>
                <w:b/>
                <w:i/>
                <w:sz w:val="24"/>
              </w:rPr>
            </w:pPr>
            <w:r w:rsidRPr="00864FD9">
              <w:rPr>
                <w:b/>
                <w:i/>
                <w:sz w:val="24"/>
              </w:rPr>
              <w:t>Principle</w:t>
            </w:r>
          </w:p>
        </w:tc>
        <w:tc>
          <w:tcPr>
            <w:tcW w:w="2289" w:type="dxa"/>
            <w:tcBorders>
              <w:top w:val="single" w:sz="4" w:space="0" w:color="auto"/>
              <w:left w:val="single" w:sz="8" w:space="0" w:color="7F7F7F"/>
              <w:bottom w:val="single" w:sz="4" w:space="0" w:color="auto"/>
              <w:right w:val="single" w:sz="4" w:space="0" w:color="auto"/>
            </w:tcBorders>
            <w:shd w:val="clear" w:color="auto" w:fill="F7CAAC" w:themeFill="accent2" w:themeFillTint="66"/>
            <w:vAlign w:val="bottom"/>
          </w:tcPr>
          <w:p w14:paraId="317A9B5F" w14:textId="763E0FEF" w:rsidR="00864FD9" w:rsidRPr="00EF2624" w:rsidRDefault="00864FD9" w:rsidP="00864FD9">
            <w:pPr>
              <w:rPr>
                <w:b/>
                <w:i/>
                <w:sz w:val="24"/>
              </w:rPr>
            </w:pPr>
            <w:r>
              <w:rPr>
                <w:b/>
                <w:i/>
                <w:sz w:val="24"/>
              </w:rPr>
              <w:t xml:space="preserve"> </w:t>
            </w:r>
            <w:r w:rsidRPr="00864FD9">
              <w:rPr>
                <w:b/>
                <w:i/>
                <w:sz w:val="24"/>
              </w:rPr>
              <w:t>Explanation</w:t>
            </w:r>
          </w:p>
        </w:tc>
        <w:tc>
          <w:tcPr>
            <w:tcW w:w="3536" w:type="dxa"/>
            <w:tcBorders>
              <w:top w:val="single" w:sz="8" w:space="0" w:color="7F7F7F"/>
              <w:left w:val="single" w:sz="4" w:space="0" w:color="auto"/>
              <w:bottom w:val="single" w:sz="8" w:space="0" w:color="7F7F7F"/>
              <w:right w:val="single" w:sz="8" w:space="0" w:color="7F7F7F"/>
            </w:tcBorders>
            <w:shd w:val="clear" w:color="auto" w:fill="C5E0B3" w:themeFill="accent6" w:themeFillTint="66"/>
            <w:tcMar>
              <w:top w:w="72" w:type="dxa"/>
              <w:left w:w="144" w:type="dxa"/>
              <w:bottom w:w="72" w:type="dxa"/>
              <w:right w:w="144" w:type="dxa"/>
            </w:tcMar>
            <w:vAlign w:val="bottom"/>
            <w:hideMark/>
          </w:tcPr>
          <w:p w14:paraId="5FBDA674" w14:textId="77777777" w:rsidR="00972AE8" w:rsidRDefault="00864FD9" w:rsidP="00E37781">
            <w:pPr>
              <w:jc w:val="center"/>
              <w:rPr>
                <w:b/>
                <w:bCs/>
                <w:sz w:val="24"/>
              </w:rPr>
            </w:pPr>
            <w:r w:rsidRPr="00EF2624">
              <w:rPr>
                <w:b/>
                <w:bCs/>
                <w:sz w:val="24"/>
              </w:rPr>
              <w:t>Newcastle Ottawa Scale</w:t>
            </w:r>
          </w:p>
          <w:p w14:paraId="7B8923A2" w14:textId="59A666AB" w:rsidR="00864FD9" w:rsidRPr="00EF2624" w:rsidRDefault="00972AE8" w:rsidP="00E37781">
            <w:pPr>
              <w:jc w:val="center"/>
              <w:rPr>
                <w:b/>
                <w:sz w:val="24"/>
              </w:rPr>
            </w:pPr>
            <w:r>
              <w:t xml:space="preserve"> </w:t>
            </w:r>
            <w:r>
              <w:rPr>
                <w:b/>
                <w:bCs/>
                <w:sz w:val="24"/>
              </w:rPr>
              <w:fldChar w:fldCharType="begin"/>
            </w:r>
            <w:r>
              <w:rPr>
                <w:b/>
                <w:bCs/>
                <w:sz w:val="24"/>
              </w:rPr>
              <w:instrText xml:space="preserve"> ADDIN EN.CITE &lt;EndNote&gt;&lt;Cite&gt;&lt;Author&gt;Wells&lt;/Author&gt;&lt;Year&gt;2009&lt;/Year&gt;&lt;RecNum&gt;90&lt;/RecNum&gt;&lt;DisplayText&gt;[1]&lt;/DisplayText&gt;&lt;record&gt;&lt;rec-number&gt;90&lt;/rec-number&gt;&lt;foreign-keys&gt;&lt;key app="EN" db-id="ztwwrt5080xtwlewxvlpwvaesa202awdxsdf" timestamp="1511203241"&gt;90&lt;/key&gt;&lt;/foreign-keys&gt;&lt;ref-type name="Report"&gt;27&lt;/ref-type&gt;&lt;contributors&gt;&lt;authors&gt;&lt;author&gt;Wells,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meta-analyses&lt;/title&gt;&lt;/titles&gt;&lt;dates&gt;&lt;year&gt;2009&lt;/year&gt;&lt;/dates&gt;&lt;pub-location&gt;Ottawa, Canada&lt;/pub-location&gt;&lt;publisher&gt;University of Ottawa&lt;/publisher&gt;&lt;urls&gt;&lt;related-urls&gt;&lt;url&gt;https://www.medicine.mcgill.ca/rtamblyn/Readings/The%20Newcastle%20-%20Scale%20for%20assessing%20the%20quality%20of%20nonrandomised%20studies%20in%20meta-analyses.pdf&lt;/url&gt;&lt;/related-urls&gt;&lt;/urls&gt;&lt;/record&gt;&lt;/Cite&gt;&lt;/EndNote&gt;</w:instrText>
            </w:r>
            <w:r>
              <w:rPr>
                <w:b/>
                <w:bCs/>
                <w:sz w:val="24"/>
              </w:rPr>
              <w:fldChar w:fldCharType="separate"/>
            </w:r>
            <w:r>
              <w:rPr>
                <w:b/>
                <w:bCs/>
                <w:noProof/>
                <w:sz w:val="24"/>
              </w:rPr>
              <w:t>[1]</w:t>
            </w:r>
            <w:r>
              <w:rPr>
                <w:b/>
                <w:bCs/>
                <w:sz w:val="24"/>
              </w:rPr>
              <w:fldChar w:fldCharType="end"/>
            </w:r>
          </w:p>
        </w:tc>
        <w:tc>
          <w:tcPr>
            <w:tcW w:w="3537" w:type="dxa"/>
            <w:tcBorders>
              <w:top w:val="single" w:sz="8" w:space="0" w:color="7F7F7F"/>
              <w:left w:val="single" w:sz="8" w:space="0" w:color="7F7F7F"/>
              <w:bottom w:val="single" w:sz="8" w:space="0" w:color="7F7F7F"/>
              <w:right w:val="single" w:sz="8" w:space="0" w:color="7F7F7F"/>
            </w:tcBorders>
            <w:shd w:val="clear" w:color="auto" w:fill="C5E0B3" w:themeFill="accent6" w:themeFillTint="66"/>
            <w:tcMar>
              <w:top w:w="72" w:type="dxa"/>
              <w:left w:w="144" w:type="dxa"/>
              <w:bottom w:w="72" w:type="dxa"/>
              <w:right w:w="144" w:type="dxa"/>
            </w:tcMar>
            <w:vAlign w:val="bottom"/>
            <w:hideMark/>
          </w:tcPr>
          <w:p w14:paraId="5728EC25" w14:textId="217F90AC" w:rsidR="00864FD9" w:rsidRPr="00EF2624" w:rsidRDefault="00864FD9" w:rsidP="00E37781">
            <w:pPr>
              <w:jc w:val="center"/>
              <w:rPr>
                <w:b/>
                <w:sz w:val="24"/>
              </w:rPr>
            </w:pPr>
            <w:r w:rsidRPr="00EF2624">
              <w:rPr>
                <w:b/>
                <w:bCs/>
                <w:sz w:val="24"/>
              </w:rPr>
              <w:t>Joanna Briggs Institute critical appraisal tool for cohort studies</w:t>
            </w:r>
            <w:r w:rsidR="00972AE8">
              <w:t xml:space="preserve"> </w:t>
            </w:r>
            <w:r w:rsidR="00972AE8">
              <w:rPr>
                <w:b/>
                <w:bCs/>
                <w:sz w:val="24"/>
              </w:rPr>
              <w:fldChar w:fldCharType="begin"/>
            </w:r>
            <w:r w:rsidR="00972AE8">
              <w:rPr>
                <w:b/>
                <w:bCs/>
                <w:sz w:val="24"/>
              </w:rPr>
              <w:instrText xml:space="preserve"> ADDIN EN.CITE &lt;EndNote&gt;&lt;Cite&gt;&lt;Author&gt;Joanna Briggs Institute&lt;/Author&gt;&lt;Year&gt;2017&lt;/Year&gt;&lt;RecNum&gt;194&lt;/RecNum&gt;&lt;DisplayText&gt;[2]&lt;/DisplayText&gt;&lt;record&gt;&lt;rec-number&gt;194&lt;/rec-number&gt;&lt;foreign-keys&gt;&lt;key app="EN" db-id="ztwwrt5080xtwlewxvlpwvaesa202awdxsdf" timestamp="1563661004"&gt;194&lt;/key&gt;&lt;/foreign-keys&gt;&lt;ref-type name="Report"&gt;27&lt;/ref-type&gt;&lt;contributors&gt;&lt;authors&gt;&lt;author&gt;Joanna Briggs Institute,&lt;/author&gt;&lt;/authors&gt;&lt;tertiary-authors&gt;&lt;author&gt;Joanna Briggs Institute&lt;/author&gt;&lt;/tertiary-authors&gt;&lt;/contributors&gt;&lt;titles&gt;&lt;title&gt;Checklist for cohort studies&lt;/title&gt;&lt;/titles&gt;&lt;pages&gt;1-7&lt;/pages&gt;&lt;dates&gt;&lt;year&gt;2017&lt;/year&gt;&lt;/dates&gt;&lt;urls&gt;&lt;related-urls&gt;&lt;url&gt;https://joannabriggs.org/sites/default/files/2019-05/JBI_Critical_Appraisal-Checklist_for_Cohort_Studies2017_0.pdf&lt;/url&gt;&lt;/related-urls&gt;&lt;/urls&gt;&lt;/record&gt;&lt;/Cite&gt;&lt;/EndNote&gt;</w:instrText>
            </w:r>
            <w:r w:rsidR="00972AE8">
              <w:rPr>
                <w:b/>
                <w:bCs/>
                <w:sz w:val="24"/>
              </w:rPr>
              <w:fldChar w:fldCharType="separate"/>
            </w:r>
            <w:r w:rsidR="00972AE8">
              <w:rPr>
                <w:b/>
                <w:bCs/>
                <w:noProof/>
                <w:sz w:val="24"/>
              </w:rPr>
              <w:t>[2]</w:t>
            </w:r>
            <w:r w:rsidR="00972AE8">
              <w:rPr>
                <w:b/>
                <w:bCs/>
                <w:sz w:val="24"/>
              </w:rPr>
              <w:fldChar w:fldCharType="end"/>
            </w:r>
          </w:p>
        </w:tc>
        <w:tc>
          <w:tcPr>
            <w:tcW w:w="3537" w:type="dxa"/>
            <w:tcBorders>
              <w:top w:val="single" w:sz="8" w:space="0" w:color="7F7F7F"/>
              <w:left w:val="single" w:sz="8" w:space="0" w:color="7F7F7F"/>
              <w:bottom w:val="single" w:sz="8" w:space="0" w:color="7F7F7F"/>
              <w:right w:val="single" w:sz="8" w:space="0" w:color="7F7F7F"/>
            </w:tcBorders>
            <w:shd w:val="clear" w:color="auto" w:fill="C5E0B3" w:themeFill="accent6" w:themeFillTint="66"/>
            <w:tcMar>
              <w:top w:w="72" w:type="dxa"/>
              <w:left w:w="144" w:type="dxa"/>
              <w:bottom w:w="72" w:type="dxa"/>
              <w:right w:w="144" w:type="dxa"/>
            </w:tcMar>
            <w:vAlign w:val="bottom"/>
            <w:hideMark/>
          </w:tcPr>
          <w:p w14:paraId="6BA97A7D" w14:textId="77777777" w:rsidR="00972AE8" w:rsidRDefault="00864FD9" w:rsidP="00972AE8">
            <w:pPr>
              <w:jc w:val="center"/>
              <w:rPr>
                <w:b/>
                <w:bCs/>
                <w:sz w:val="24"/>
              </w:rPr>
            </w:pPr>
            <w:r w:rsidRPr="00EF2624">
              <w:rPr>
                <w:b/>
                <w:bCs/>
                <w:sz w:val="24"/>
              </w:rPr>
              <w:t>OHAT Risk of Bias tool</w:t>
            </w:r>
          </w:p>
          <w:p w14:paraId="57F82FAA" w14:textId="4ADF1806" w:rsidR="00864FD9" w:rsidRPr="00EF2624" w:rsidRDefault="00972AE8" w:rsidP="00972AE8">
            <w:pPr>
              <w:jc w:val="center"/>
              <w:rPr>
                <w:b/>
                <w:bCs/>
                <w:sz w:val="24"/>
              </w:rPr>
            </w:pPr>
            <w:r>
              <w:t xml:space="preserve"> </w:t>
            </w:r>
            <w:r>
              <w:rPr>
                <w:b/>
                <w:bCs/>
                <w:sz w:val="24"/>
              </w:rPr>
              <w:fldChar w:fldCharType="begin"/>
            </w:r>
            <w:r>
              <w:rPr>
                <w:b/>
                <w:bCs/>
                <w:sz w:val="24"/>
              </w:rPr>
              <w:instrText xml:space="preserve"> ADDIN EN.CITE &lt;EndNote&gt;&lt;Cite&gt;&lt;Author&gt;OHAT (Office of Health Assessment and Translation)&lt;/Author&gt;&lt;Year&gt;2015&lt;/Year&gt;&lt;RecNum&gt;16&lt;/RecNum&gt;&lt;DisplayText&gt;[3]&lt;/DisplayText&gt;&lt;record&gt;&lt;rec-number&gt;16&lt;/rec-number&gt;&lt;foreign-keys&gt;&lt;key app="EN" db-id="ztwwrt5080xtwlewxvlpwvaesa202awdxsdf" timestamp="1510754550"&gt;16&lt;/key&gt;&lt;/foreign-keys&gt;&lt;ref-type name="Report"&gt;27&lt;/ref-type&gt;&lt;contributors&gt;&lt;authors&gt;&lt;author&gt;OHAT (Office of Health Assessment and Translation),&lt;/author&gt;&lt;/authors&gt;&lt;tertiary-authors&gt;&lt;author&gt;National Toxicology Program, US Department of Health and Human Services&lt;/author&gt;&lt;/tertiary-authors&gt;&lt;/contributors&gt;&lt;titles&gt;&lt;title&gt;Handbook for conducting a literature-based health assessment using OHAT approach for systematic review and evidence integration&lt;/title&gt;&lt;/titles&gt;&lt;pages&gt;1-94&lt;/pages&gt;&lt;dates&gt;&lt;year&gt;2015&lt;/year&gt;&lt;/dates&gt;&lt;urls&gt;&lt;/urls&gt;&lt;/record&gt;&lt;/Cite&gt;&lt;/EndNote&gt;</w:instrText>
            </w:r>
            <w:r>
              <w:rPr>
                <w:b/>
                <w:bCs/>
                <w:sz w:val="24"/>
              </w:rPr>
              <w:fldChar w:fldCharType="separate"/>
            </w:r>
            <w:r>
              <w:rPr>
                <w:b/>
                <w:bCs/>
                <w:noProof/>
                <w:sz w:val="24"/>
              </w:rPr>
              <w:t>[3]</w:t>
            </w:r>
            <w:r>
              <w:rPr>
                <w:b/>
                <w:bCs/>
                <w:sz w:val="24"/>
              </w:rPr>
              <w:fldChar w:fldCharType="end"/>
            </w:r>
          </w:p>
        </w:tc>
      </w:tr>
      <w:tr w:rsidR="00864FD9" w:rsidRPr="00EF2624" w14:paraId="46FAB01C" w14:textId="77777777" w:rsidTr="00E37781">
        <w:trPr>
          <w:trHeight w:val="1711"/>
        </w:trPr>
        <w:tc>
          <w:tcPr>
            <w:tcW w:w="1844" w:type="dxa"/>
            <w:tcBorders>
              <w:top w:val="single" w:sz="4" w:space="0" w:color="auto"/>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09C0416B" w14:textId="0D7A53E4" w:rsidR="00864FD9" w:rsidRPr="00EF2624" w:rsidRDefault="00E37781" w:rsidP="00EF2624">
            <w:pPr>
              <w:rPr>
                <w:b/>
              </w:rPr>
            </w:pPr>
            <w:r>
              <w:rPr>
                <w:b/>
                <w:bCs/>
              </w:rPr>
              <w:t>FOCUSED</w:t>
            </w:r>
          </w:p>
        </w:tc>
        <w:tc>
          <w:tcPr>
            <w:tcW w:w="2289" w:type="dxa"/>
            <w:tcBorders>
              <w:top w:val="single" w:sz="4" w:space="0" w:color="auto"/>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4CECF953" w14:textId="77777777" w:rsidR="00864FD9" w:rsidRPr="00EF2624" w:rsidRDefault="00864FD9" w:rsidP="00EF2624">
            <w:r w:rsidRPr="00EF2624">
              <w:t xml:space="preserve">Critical appraisal should be directed at the internal validity of the included studies, assessed as risk of bias. </w:t>
            </w:r>
          </w:p>
        </w:tc>
        <w:tc>
          <w:tcPr>
            <w:tcW w:w="3536"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5810E5EE" w14:textId="165A5EC2" w:rsidR="00864FD9" w:rsidRPr="00EF2624" w:rsidRDefault="00864FD9" w:rsidP="00EF2624">
            <w:r w:rsidRPr="00EF2624">
              <w:t xml:space="preserve">Does target internal validity, the potential for systematic error in the results of </w:t>
            </w:r>
            <w:r w:rsidR="00335CB4">
              <w:t>case-control and cohort studies</w:t>
            </w:r>
            <w:r w:rsidR="000E4076">
              <w:t>.</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1B51D18D" w14:textId="42388E4C" w:rsidR="00864FD9" w:rsidRPr="00EF2624" w:rsidRDefault="00864FD9" w:rsidP="00EF2624">
            <w:r w:rsidRPr="00EF2624">
              <w:t xml:space="preserve">Does target internal validity, the potential for systematic error in the results of a </w:t>
            </w:r>
            <w:r w:rsidR="000E4076">
              <w:t xml:space="preserve">cohort </w:t>
            </w:r>
            <w:r w:rsidRPr="00EF2624">
              <w:t>study.</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2CE0CBE4" w14:textId="19F01A88" w:rsidR="00864FD9" w:rsidRPr="00EF2624" w:rsidRDefault="00864FD9" w:rsidP="00EF2624">
            <w:r w:rsidRPr="00EF2624">
              <w:t xml:space="preserve">Does target internal validity, the potential for systematic error in the results of </w:t>
            </w:r>
            <w:r w:rsidR="002265A0">
              <w:t xml:space="preserve">human controlled trials, experimental animal studies, </w:t>
            </w:r>
            <w:r w:rsidR="005445D2">
              <w:t>cohort studies, case-control studies, cross-sectional</w:t>
            </w:r>
            <w:r w:rsidR="00117E7D">
              <w:t xml:space="preserve"> </w:t>
            </w:r>
            <w:proofErr w:type="gramStart"/>
            <w:r w:rsidR="005445D2">
              <w:t>studies</w:t>
            </w:r>
            <w:proofErr w:type="gramEnd"/>
            <w:r w:rsidR="005445D2">
              <w:t xml:space="preserve"> and case series.</w:t>
            </w:r>
          </w:p>
        </w:tc>
      </w:tr>
      <w:tr w:rsidR="00864FD9" w:rsidRPr="00EF2624" w14:paraId="0B94D1BD" w14:textId="77777777" w:rsidTr="00E37781">
        <w:trPr>
          <w:trHeight w:val="2391"/>
        </w:trPr>
        <w:tc>
          <w:tcPr>
            <w:tcW w:w="1844" w:type="dxa"/>
            <w:tcBorders>
              <w:top w:val="single" w:sz="8" w:space="0" w:color="7F7F7F"/>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1A430A8D" w14:textId="359AB578" w:rsidR="00864FD9" w:rsidRPr="00EF2624" w:rsidRDefault="00E37781" w:rsidP="00EF2624">
            <w:pPr>
              <w:rPr>
                <w:b/>
              </w:rPr>
            </w:pPr>
            <w:r>
              <w:rPr>
                <w:b/>
                <w:bCs/>
              </w:rPr>
              <w:t>EXTENSIVE</w:t>
            </w:r>
          </w:p>
        </w:tc>
        <w:tc>
          <w:tcPr>
            <w:tcW w:w="2289" w:type="dxa"/>
            <w:tcBorders>
              <w:top w:val="single" w:sz="8" w:space="0" w:color="7F7F7F"/>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0F13E105" w14:textId="75437632" w:rsidR="00864FD9" w:rsidRPr="00EF2624" w:rsidRDefault="00864FD9" w:rsidP="00EF2624">
            <w:r w:rsidRPr="00EF2624">
              <w:t xml:space="preserve">For a </w:t>
            </w:r>
            <w:r w:rsidR="00F210E1">
              <w:t>review</w:t>
            </w:r>
            <w:r w:rsidRPr="00EF2624">
              <w:t xml:space="preserve"> that includes randomised studies, key elements of study design which threaten internal validity include random allocation of subjects to exposure and control arms, blinding of investigators, and selective reporting of results.</w:t>
            </w:r>
          </w:p>
        </w:tc>
        <w:tc>
          <w:tcPr>
            <w:tcW w:w="3536"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542C77BB" w14:textId="77777777" w:rsidR="00864FD9" w:rsidRPr="00EF2624" w:rsidRDefault="00864FD9" w:rsidP="00EF2624">
            <w:r w:rsidRPr="00EF2624">
              <w:t xml:space="preserve">Does not cover </w:t>
            </w:r>
            <w:proofErr w:type="gramStart"/>
            <w:r w:rsidRPr="00EF2624">
              <w:t>all of</w:t>
            </w:r>
            <w:proofErr w:type="gramEnd"/>
            <w:r w:rsidRPr="00EF2624">
              <w:t xml:space="preserve"> the important threats to the internal validity of a study. For example, selective reporting is not assessed.</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48FA2BA2" w14:textId="38E2AADF" w:rsidR="00864FD9" w:rsidRPr="00EF2624" w:rsidRDefault="00864FD9" w:rsidP="00EF2624">
            <w:r w:rsidRPr="00EF2624">
              <w:t xml:space="preserve">Does not cover </w:t>
            </w:r>
            <w:proofErr w:type="gramStart"/>
            <w:r w:rsidRPr="00EF2624">
              <w:t>all of</w:t>
            </w:r>
            <w:proofErr w:type="gramEnd"/>
            <w:r w:rsidRPr="00EF2624">
              <w:t xml:space="preserve"> the important threats to the internal validity of a </w:t>
            </w:r>
            <w:r w:rsidR="000E4076">
              <w:t xml:space="preserve">cohort </w:t>
            </w:r>
            <w:r w:rsidRPr="00EF2624">
              <w:t>study. For example, selective reporting and blinding of investigators (an aspect of performance bias) is not assessed.</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66AA94B8" w14:textId="191455D3" w:rsidR="00864FD9" w:rsidRDefault="00864FD9" w:rsidP="00EF2624">
            <w:r w:rsidRPr="00EF2624">
              <w:t xml:space="preserve">Covers </w:t>
            </w:r>
            <w:proofErr w:type="gramStart"/>
            <w:r w:rsidRPr="00EF2624">
              <w:t>all of</w:t>
            </w:r>
            <w:proofErr w:type="gramEnd"/>
            <w:r w:rsidRPr="00EF2624">
              <w:t xml:space="preserve"> the important threats to the internal validity of a</w:t>
            </w:r>
            <w:r w:rsidR="005445D2">
              <w:t xml:space="preserve"> </w:t>
            </w:r>
            <w:r w:rsidRPr="00EF2624">
              <w:t xml:space="preserve">study. Explains why financial conflicts of interest </w:t>
            </w:r>
            <w:proofErr w:type="gramStart"/>
            <w:r w:rsidRPr="00EF2624">
              <w:t>are not an explicit domain</w:t>
            </w:r>
            <w:proofErr w:type="gramEnd"/>
            <w:r w:rsidRPr="00EF2624">
              <w:t xml:space="preserve"> and indicates how they should be handled.</w:t>
            </w:r>
          </w:p>
          <w:p w14:paraId="72C25C34" w14:textId="77777777" w:rsidR="005445D2" w:rsidRDefault="005445D2" w:rsidP="00EF2624"/>
          <w:p w14:paraId="4068B281" w14:textId="391842AB" w:rsidR="005445D2" w:rsidRPr="00EF2624" w:rsidRDefault="005445D2" w:rsidP="00EF2624"/>
        </w:tc>
      </w:tr>
      <w:tr w:rsidR="00864FD9" w:rsidRPr="00EF2624" w14:paraId="1CF449CD" w14:textId="77777777" w:rsidTr="00E37781">
        <w:trPr>
          <w:trHeight w:val="2844"/>
        </w:trPr>
        <w:tc>
          <w:tcPr>
            <w:tcW w:w="1844" w:type="dxa"/>
            <w:tcBorders>
              <w:top w:val="single" w:sz="8" w:space="0" w:color="7F7F7F"/>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673EEF16" w14:textId="4B5BD39D" w:rsidR="00864FD9" w:rsidRPr="00EF2624" w:rsidRDefault="00E37781" w:rsidP="00EF2624">
            <w:pPr>
              <w:rPr>
                <w:b/>
              </w:rPr>
            </w:pPr>
            <w:r>
              <w:rPr>
                <w:b/>
                <w:bCs/>
              </w:rPr>
              <w:lastRenderedPageBreak/>
              <w:t>APPLIED</w:t>
            </w:r>
          </w:p>
        </w:tc>
        <w:tc>
          <w:tcPr>
            <w:tcW w:w="2289" w:type="dxa"/>
            <w:tcBorders>
              <w:top w:val="single" w:sz="8" w:space="0" w:color="7F7F7F"/>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3304F442" w14:textId="77777777" w:rsidR="00864FD9" w:rsidRPr="00EF2624" w:rsidRDefault="00864FD9" w:rsidP="00EF2624">
            <w:r w:rsidRPr="00EF2624">
              <w:t>Reviewers should use a prespecified appraisal tool to make qualitative judgements about risk of bias for each domain of internal validity, unless quantitative judgements can be supported by good empirical evidence. Reviewers should be trained in use of the tool, with judgements made in duplicate.</w:t>
            </w:r>
          </w:p>
        </w:tc>
        <w:tc>
          <w:tcPr>
            <w:tcW w:w="3536"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16815538" w14:textId="77777777" w:rsidR="00864FD9" w:rsidRPr="00EF2624" w:rsidRDefault="00864FD9" w:rsidP="00EF2624">
            <w:r w:rsidRPr="00EF2624">
              <w:t xml:space="preserve">Is a checklist of tightly-defined </w:t>
            </w:r>
            <w:proofErr w:type="gramStart"/>
            <w:r w:rsidRPr="00EF2624">
              <w:t>criteria.</w:t>
            </w:r>
            <w:proofErr w:type="gramEnd"/>
            <w:r w:rsidRPr="00EF2624">
              <w:t xml:space="preserve"> Equivalent methods to those prescribed are inappropriately downgraded. NOS also treats each shortcoming as equal regardless of whether </w:t>
            </w:r>
            <w:proofErr w:type="gramStart"/>
            <w:r w:rsidRPr="00EF2624">
              <w:t>e.g.</w:t>
            </w:r>
            <w:proofErr w:type="gramEnd"/>
            <w:r w:rsidRPr="00EF2624">
              <w:t xml:space="preserve"> lack of blinding might pose a greater threat to internal validity than differences in response rate to exposure surveys. The final rating is a total score, which can conceal from analysis important differences between studies.</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7AAF0D59" w14:textId="6DA77CF5" w:rsidR="00864FD9" w:rsidRPr="00EF2624" w:rsidRDefault="00864FD9" w:rsidP="00EF2624">
            <w:r w:rsidRPr="00EF2624">
              <w:t xml:space="preserve">Is a checklist of criteria but is not intended to generate a </w:t>
            </w:r>
            <w:r w:rsidR="000E4076">
              <w:t xml:space="preserve">validity </w:t>
            </w:r>
            <w:proofErr w:type="gramStart"/>
            <w:r w:rsidR="000E4076">
              <w:t>classification</w:t>
            </w:r>
            <w:r w:rsidRPr="00EF2624">
              <w:t>.</w:t>
            </w:r>
            <w:proofErr w:type="gramEnd"/>
            <w:r w:rsidRPr="00EF2624">
              <w:t xml:space="preserve"> Does not consistently differentiate whether an element of study design was merely </w:t>
            </w:r>
            <w:r w:rsidR="000E4076">
              <w:t>implemented or</w:t>
            </w:r>
            <w:r w:rsidRPr="00EF2624">
              <w:t xml:space="preserve"> was </w:t>
            </w:r>
            <w:r w:rsidR="000E4076">
              <w:t>implemented</w:t>
            </w:r>
            <w:r w:rsidRPr="00EF2624">
              <w:t xml:space="preserve"> in a way which reduces threats to internal validity. It produces a series of yes/no/unclear answers to the checklist, but it is not clear how these answers should be interpreted when it comes to their impact on the internal validity of a </w:t>
            </w:r>
            <w:r w:rsidR="000E4076">
              <w:t xml:space="preserve">cohort </w:t>
            </w:r>
            <w:r w:rsidRPr="00EF2624">
              <w:t>study.</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289FFE87" w14:textId="77777777" w:rsidR="00864FD9" w:rsidRPr="00EF2624" w:rsidRDefault="00864FD9" w:rsidP="00EF2624">
            <w:r w:rsidRPr="00EF2624">
              <w:t>Presents a series of questions about approaches taken to minimise risk of bias in each appraisal domain, eliciting judgements of high / probably high / probably low / low risk of bias. Based on judgements for key bias domains, studies are assigned to one of three tiers of internal validity. The tiers are used for subgroup analysis and are incorporated into a GRADE-based approach to determining certainty in results of the systematic review.</w:t>
            </w:r>
          </w:p>
        </w:tc>
      </w:tr>
      <w:tr w:rsidR="00864FD9" w:rsidRPr="00EF2624" w14:paraId="143BF2A8" w14:textId="77777777" w:rsidTr="00E37781">
        <w:trPr>
          <w:trHeight w:val="1937"/>
        </w:trPr>
        <w:tc>
          <w:tcPr>
            <w:tcW w:w="1844" w:type="dxa"/>
            <w:tcBorders>
              <w:top w:val="single" w:sz="8" w:space="0" w:color="7F7F7F"/>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62BFFF42" w14:textId="47FCA04C" w:rsidR="00864FD9" w:rsidRPr="00EF2624" w:rsidRDefault="00E37781" w:rsidP="00EF2624">
            <w:pPr>
              <w:rPr>
                <w:b/>
              </w:rPr>
            </w:pPr>
            <w:r>
              <w:rPr>
                <w:b/>
                <w:bCs/>
              </w:rPr>
              <w:t>TRANSPARENT</w:t>
            </w:r>
          </w:p>
        </w:tc>
        <w:tc>
          <w:tcPr>
            <w:tcW w:w="2289" w:type="dxa"/>
            <w:tcBorders>
              <w:top w:val="single" w:sz="8" w:space="0" w:color="7F7F7F"/>
              <w:left w:val="single" w:sz="8" w:space="0" w:color="7F7F7F"/>
              <w:bottom w:val="single" w:sz="8" w:space="0" w:color="7F7F7F"/>
              <w:right w:val="single" w:sz="8" w:space="0" w:color="7F7F7F"/>
            </w:tcBorders>
            <w:shd w:val="clear" w:color="auto" w:fill="FBE4D5" w:themeFill="accent2" w:themeFillTint="33"/>
            <w:tcMar>
              <w:top w:w="72" w:type="dxa"/>
              <w:left w:w="144" w:type="dxa"/>
              <w:bottom w:w="72" w:type="dxa"/>
              <w:right w:w="144" w:type="dxa"/>
            </w:tcMar>
            <w:hideMark/>
          </w:tcPr>
          <w:p w14:paraId="5E4223C8" w14:textId="77777777" w:rsidR="00864FD9" w:rsidRPr="00EF2624" w:rsidRDefault="00864FD9" w:rsidP="00EF2624">
            <w:r w:rsidRPr="00EF2624">
              <w:t>Reviewers should record in an appraisal report for every included study their reasoning for each risk of bias judgement, quoting as justification relevant text from the study documentation.</w:t>
            </w:r>
          </w:p>
        </w:tc>
        <w:tc>
          <w:tcPr>
            <w:tcW w:w="3536"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4ADA7990" w14:textId="77777777" w:rsidR="00864FD9" w:rsidRPr="00EF2624" w:rsidRDefault="00864FD9" w:rsidP="00EF2624">
            <w:r w:rsidRPr="00EF2624">
              <w:t>Does not ask for reviewers to give reasons for their judgements.</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3A76651A" w14:textId="77777777" w:rsidR="00864FD9" w:rsidRPr="00EF2624" w:rsidRDefault="00864FD9" w:rsidP="00EF2624">
            <w:r w:rsidRPr="00EF2624">
              <w:t>Does not ask for reviewers to give reasons for their judgements.</w:t>
            </w:r>
          </w:p>
        </w:tc>
        <w:tc>
          <w:tcPr>
            <w:tcW w:w="3537" w:type="dxa"/>
            <w:tcBorders>
              <w:top w:val="single" w:sz="8" w:space="0" w:color="7F7F7F"/>
              <w:left w:val="single" w:sz="8" w:space="0" w:color="7F7F7F"/>
              <w:bottom w:val="single" w:sz="8" w:space="0" w:color="7F7F7F"/>
              <w:right w:val="single" w:sz="8" w:space="0" w:color="7F7F7F"/>
            </w:tcBorders>
            <w:shd w:val="clear" w:color="auto" w:fill="E2EFD9" w:themeFill="accent6" w:themeFillTint="33"/>
            <w:tcMar>
              <w:top w:w="72" w:type="dxa"/>
              <w:left w:w="144" w:type="dxa"/>
              <w:bottom w:w="72" w:type="dxa"/>
              <w:right w:w="144" w:type="dxa"/>
            </w:tcMar>
            <w:hideMark/>
          </w:tcPr>
          <w:p w14:paraId="6B115D7A" w14:textId="77777777" w:rsidR="00864FD9" w:rsidRPr="00EF2624" w:rsidRDefault="00864FD9" w:rsidP="00EF2624">
            <w:r w:rsidRPr="00EF2624">
              <w:t>Asks reviewers to give reasons for their judgements and provide brief quotations from the text to support them.</w:t>
            </w:r>
          </w:p>
        </w:tc>
      </w:tr>
    </w:tbl>
    <w:p w14:paraId="7BB75C1D" w14:textId="77777777" w:rsidR="00EF2624" w:rsidRDefault="00EF2624">
      <w:pPr>
        <w:rPr>
          <w:b/>
          <w:sz w:val="24"/>
        </w:rPr>
      </w:pPr>
    </w:p>
    <w:p w14:paraId="2A9A0AB3" w14:textId="77777777" w:rsidR="00EF2624" w:rsidRDefault="00EF2624">
      <w:pPr>
        <w:rPr>
          <w:b/>
          <w:sz w:val="24"/>
        </w:rPr>
      </w:pPr>
    </w:p>
    <w:p w14:paraId="47BA019E" w14:textId="0784EBBF" w:rsidR="00117F49" w:rsidRPr="00B62A02" w:rsidRDefault="00B62A02">
      <w:pPr>
        <w:rPr>
          <w:b/>
          <w:sz w:val="24"/>
        </w:rPr>
      </w:pPr>
      <w:r w:rsidRPr="00B62A02">
        <w:rPr>
          <w:b/>
          <w:sz w:val="24"/>
        </w:rPr>
        <w:lastRenderedPageBreak/>
        <w:t>References</w:t>
      </w:r>
    </w:p>
    <w:bookmarkEnd w:id="0"/>
    <w:p w14:paraId="39734AB1" w14:textId="77777777" w:rsidR="00972AE8" w:rsidRPr="00972AE8" w:rsidRDefault="00972AE8" w:rsidP="00972AE8">
      <w:pPr>
        <w:pStyle w:val="EndNoteBibliography"/>
        <w:spacing w:after="0" w:line="360" w:lineRule="auto"/>
        <w:ind w:left="720" w:hanging="720"/>
      </w:pPr>
      <w:r>
        <w:fldChar w:fldCharType="begin"/>
      </w:r>
      <w:r>
        <w:instrText xml:space="preserve"> ADDIN EN.REFLIST </w:instrText>
      </w:r>
      <w:r>
        <w:fldChar w:fldCharType="separate"/>
      </w:r>
      <w:r w:rsidRPr="00972AE8">
        <w:t>1.</w:t>
      </w:r>
      <w:r w:rsidRPr="00972AE8">
        <w:tab/>
        <w:t>Wells G, Shea B, O'Connell D, Peterson J, Welch V, Losos M, et al. The Newcastle-Ottawa scale (NOS) for assessing the quality of nonrandomised studies in meta-analyses. Ottawa, Canada: University of Ottawa, 2009.</w:t>
      </w:r>
    </w:p>
    <w:p w14:paraId="073D4263" w14:textId="77777777" w:rsidR="00972AE8" w:rsidRPr="00972AE8" w:rsidRDefault="00972AE8" w:rsidP="00972AE8">
      <w:pPr>
        <w:pStyle w:val="EndNoteBibliography"/>
        <w:spacing w:after="0" w:line="360" w:lineRule="auto"/>
        <w:ind w:left="720" w:hanging="720"/>
      </w:pPr>
      <w:r w:rsidRPr="00972AE8">
        <w:t>2.</w:t>
      </w:r>
      <w:r w:rsidRPr="00972AE8">
        <w:tab/>
        <w:t>Joanna Briggs Institute. Checklist for cohort studies. 2017.</w:t>
      </w:r>
    </w:p>
    <w:p w14:paraId="3127B925" w14:textId="77777777" w:rsidR="00972AE8" w:rsidRPr="00972AE8" w:rsidRDefault="00972AE8" w:rsidP="00972AE8">
      <w:pPr>
        <w:pStyle w:val="EndNoteBibliography"/>
        <w:spacing w:after="0" w:line="360" w:lineRule="auto"/>
        <w:ind w:left="720" w:hanging="720"/>
      </w:pPr>
      <w:r w:rsidRPr="00972AE8">
        <w:t>3.</w:t>
      </w:r>
      <w:r w:rsidRPr="00972AE8">
        <w:tab/>
        <w:t>OHAT (Office of Health Assessment and Translation). Handbook for conducting a literature-based health assessment using OHAT approach for systematic review and evidence integration. 2015.</w:t>
      </w:r>
    </w:p>
    <w:p w14:paraId="23C14667" w14:textId="05E8A0FF" w:rsidR="00B62A02" w:rsidRDefault="00972AE8" w:rsidP="00972AE8">
      <w:pPr>
        <w:spacing w:after="0" w:line="360" w:lineRule="auto"/>
        <w:ind w:left="720" w:hanging="720"/>
      </w:pPr>
      <w:r>
        <w:fldChar w:fldCharType="end"/>
      </w:r>
    </w:p>
    <w:p w14:paraId="4874F895" w14:textId="12032E78" w:rsidR="00863E07" w:rsidRDefault="00863E07" w:rsidP="00972AE8">
      <w:pPr>
        <w:spacing w:after="0" w:line="360" w:lineRule="auto"/>
        <w:ind w:left="720" w:hanging="720"/>
      </w:pPr>
    </w:p>
    <w:p w14:paraId="1F1A66F2" w14:textId="52EC11FA" w:rsidR="00863E07" w:rsidRDefault="00863E07" w:rsidP="00972AE8">
      <w:pPr>
        <w:spacing w:after="0" w:line="360" w:lineRule="auto"/>
        <w:ind w:left="720" w:hanging="720"/>
      </w:pPr>
    </w:p>
    <w:p w14:paraId="457A8946" w14:textId="08F11A06" w:rsidR="00863E07" w:rsidRDefault="00863E07" w:rsidP="00972AE8">
      <w:pPr>
        <w:spacing w:after="0" w:line="360" w:lineRule="auto"/>
        <w:ind w:left="720" w:hanging="720"/>
      </w:pPr>
    </w:p>
    <w:p w14:paraId="2480189F" w14:textId="613D4754" w:rsidR="00863E07" w:rsidRDefault="00863E07" w:rsidP="00972AE8">
      <w:pPr>
        <w:spacing w:after="0" w:line="360" w:lineRule="auto"/>
        <w:ind w:left="720" w:hanging="720"/>
      </w:pPr>
    </w:p>
    <w:p w14:paraId="06E64ADE" w14:textId="77777777" w:rsidR="00863E07" w:rsidRDefault="00863E07" w:rsidP="00972AE8">
      <w:pPr>
        <w:spacing w:after="0" w:line="360" w:lineRule="auto"/>
        <w:ind w:left="720" w:hanging="720"/>
      </w:pPr>
    </w:p>
    <w:p w14:paraId="75E93883" w14:textId="0F29E1F8" w:rsidR="00863E07" w:rsidRDefault="00863E07" w:rsidP="00972AE8">
      <w:pPr>
        <w:spacing w:after="0" w:line="360" w:lineRule="auto"/>
        <w:ind w:left="720" w:hanging="720"/>
      </w:pPr>
    </w:p>
    <w:p w14:paraId="4C91AC9F" w14:textId="29613A38" w:rsidR="00863E07" w:rsidRPr="00863E07" w:rsidRDefault="00863E07" w:rsidP="00863E07">
      <w:pPr>
        <w:spacing w:after="0" w:line="360" w:lineRule="auto"/>
        <w:ind w:left="720" w:hanging="720"/>
        <w:rPr>
          <w:rFonts w:ascii="Arial" w:hAnsi="Arial" w:cs="Arial"/>
          <w:color w:val="808080" w:themeColor="background1" w:themeShade="80"/>
          <w:sz w:val="8"/>
          <w:szCs w:val="8"/>
        </w:rPr>
      </w:pPr>
      <w:r w:rsidRPr="00863E07">
        <w:rPr>
          <w:rFonts w:ascii="Arial" w:hAnsi="Arial" w:cs="Arial"/>
          <w:color w:val="808080" w:themeColor="background1" w:themeShade="80"/>
          <w:sz w:val="8"/>
          <w:szCs w:val="8"/>
        </w:rPr>
        <w:t>_________________________________________________________________________________</w:t>
      </w:r>
      <w:r>
        <w:rPr>
          <w:rFonts w:ascii="Arial" w:hAnsi="Arial" w:cs="Arial"/>
          <w:color w:val="808080" w:themeColor="background1" w:themeShade="80"/>
          <w:sz w:val="8"/>
          <w:szCs w:val="8"/>
        </w:rPr>
        <w:t>_________________________________________________________________________________________________________________________________________________________________________________________________________________________</w:t>
      </w:r>
    </w:p>
    <w:p w14:paraId="0B9824CF" w14:textId="7A8EEFD2" w:rsidR="00863E07" w:rsidRPr="00863E07" w:rsidRDefault="00863E07" w:rsidP="00863E07">
      <w:pPr>
        <w:pStyle w:val="Header"/>
        <w:rPr>
          <w:rFonts w:ascii="Arial" w:hAnsi="Arial" w:cs="Arial"/>
          <w:color w:val="808080" w:themeColor="background1" w:themeShade="80"/>
          <w:sz w:val="4"/>
          <w:szCs w:val="4"/>
        </w:rPr>
      </w:pPr>
      <w:r w:rsidRPr="00863E07">
        <w:rPr>
          <w:rStyle w:val="fontstyle01"/>
          <w:rFonts w:ascii="Arial" w:hAnsi="Arial" w:cs="Arial"/>
          <w:color w:val="808080" w:themeColor="background1" w:themeShade="80"/>
          <w:sz w:val="22"/>
          <w:szCs w:val="22"/>
        </w:rPr>
        <w:t xml:space="preserve">This </w:t>
      </w:r>
      <w:r w:rsidR="005F2BFB">
        <w:rPr>
          <w:rStyle w:val="fontstyle01"/>
          <w:rFonts w:ascii="Arial" w:hAnsi="Arial" w:cs="Arial"/>
          <w:color w:val="808080" w:themeColor="background1" w:themeShade="80"/>
          <w:sz w:val="22"/>
          <w:szCs w:val="22"/>
        </w:rPr>
        <w:t>additional file</w:t>
      </w:r>
      <w:r w:rsidRPr="00863E07">
        <w:rPr>
          <w:rStyle w:val="fontstyle01"/>
          <w:rFonts w:ascii="Arial" w:hAnsi="Arial" w:cs="Arial"/>
          <w:color w:val="808080" w:themeColor="background1" w:themeShade="80"/>
          <w:sz w:val="22"/>
          <w:szCs w:val="22"/>
        </w:rPr>
        <w:t xml:space="preserve"> is part of the article</w:t>
      </w:r>
      <w:r w:rsidRPr="00863E07">
        <w:rPr>
          <w:rStyle w:val="fontstyle01"/>
          <w:rFonts w:ascii="Arial" w:hAnsi="Arial" w:cs="Arial"/>
          <w:i/>
          <w:iCs/>
          <w:color w:val="808080" w:themeColor="background1" w:themeShade="80"/>
          <w:sz w:val="22"/>
          <w:szCs w:val="22"/>
        </w:rPr>
        <w:t xml:space="preserve"> Principles and framework for assessing the risk of bias for studies included in comparative quantitative environmental systematic reviews. </w:t>
      </w:r>
      <w:r w:rsidRPr="00863E07">
        <w:rPr>
          <w:rStyle w:val="fontstyle01"/>
          <w:rFonts w:ascii="Arial" w:hAnsi="Arial" w:cs="Arial"/>
          <w:color w:val="808080" w:themeColor="background1" w:themeShade="80"/>
          <w:sz w:val="22"/>
          <w:szCs w:val="22"/>
        </w:rPr>
        <w:t>Environmental Evidence journal 2022.</w:t>
      </w:r>
    </w:p>
    <w:p w14:paraId="54CE9B9E" w14:textId="77777777" w:rsidR="00863E07" w:rsidRDefault="00863E07" w:rsidP="00972AE8">
      <w:pPr>
        <w:spacing w:after="0" w:line="360" w:lineRule="auto"/>
        <w:ind w:left="720" w:hanging="720"/>
      </w:pPr>
    </w:p>
    <w:sectPr w:rsidR="00863E07" w:rsidSect="00EB461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8929" w14:textId="77777777" w:rsidR="00B62A02" w:rsidRDefault="00B62A02" w:rsidP="00B62A02">
      <w:pPr>
        <w:spacing w:after="0" w:line="240" w:lineRule="auto"/>
      </w:pPr>
      <w:r>
        <w:separator/>
      </w:r>
    </w:p>
  </w:endnote>
  <w:endnote w:type="continuationSeparator" w:id="0">
    <w:p w14:paraId="7C01C80D" w14:textId="77777777" w:rsidR="00B62A02" w:rsidRDefault="00B62A02" w:rsidP="00B6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96305"/>
      <w:docPartObj>
        <w:docPartGallery w:val="Page Numbers (Bottom of Page)"/>
        <w:docPartUnique/>
      </w:docPartObj>
    </w:sdtPr>
    <w:sdtEndPr>
      <w:rPr>
        <w:noProof/>
      </w:rPr>
    </w:sdtEndPr>
    <w:sdtContent>
      <w:p w14:paraId="5D712C8B" w14:textId="3741E2BD" w:rsidR="00B62A02" w:rsidRDefault="00B62A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20184" w14:textId="77777777" w:rsidR="00B62A02" w:rsidRDefault="00B6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DF6D" w14:textId="77777777" w:rsidR="00B62A02" w:rsidRDefault="00B62A02" w:rsidP="00B62A02">
      <w:pPr>
        <w:spacing w:after="0" w:line="240" w:lineRule="auto"/>
      </w:pPr>
      <w:r>
        <w:separator/>
      </w:r>
    </w:p>
  </w:footnote>
  <w:footnote w:type="continuationSeparator" w:id="0">
    <w:p w14:paraId="00DCC186" w14:textId="77777777" w:rsidR="00B62A02" w:rsidRDefault="00B62A02" w:rsidP="00B62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60273"/>
    <w:multiLevelType w:val="multilevel"/>
    <w:tmpl w:val="4C32858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7D49BD"/>
    <w:multiLevelType w:val="multilevel"/>
    <w:tmpl w:val="93B88956"/>
    <w:lvl w:ilvl="0">
      <w:start w:val="1"/>
      <w:numFmt w:val="decimal"/>
      <w:pStyle w:val="Heading1"/>
      <w:lvlText w:val="%1"/>
      <w:lvlJc w:val="left"/>
      <w:pPr>
        <w:ind w:left="432" w:hanging="432"/>
      </w:pPr>
    </w:lvl>
    <w:lvl w:ilvl="1">
      <w:start w:val="1"/>
      <w:numFmt w:val="decimal"/>
      <w:lvlText w:val="%1.%2"/>
      <w:lvlJc w:val="left"/>
      <w:pPr>
        <w:ind w:left="9" w:hanging="576"/>
      </w:pPr>
    </w:lvl>
    <w:lvl w:ilvl="2">
      <w:start w:val="1"/>
      <w:numFmt w:val="decimal"/>
      <w:lvlText w:val="%1.%2.%3"/>
      <w:lvlJc w:val="left"/>
      <w:pPr>
        <w:ind w:left="1712" w:hanging="720"/>
      </w:pPr>
    </w:lvl>
    <w:lvl w:ilvl="3">
      <w:start w:val="1"/>
      <w:numFmt w:val="decimal"/>
      <w:lvlText w:val="%1.%2.%3.%4"/>
      <w:lvlJc w:val="left"/>
      <w:pPr>
        <w:ind w:left="297" w:hanging="864"/>
      </w:pPr>
    </w:lvl>
    <w:lvl w:ilvl="4">
      <w:start w:val="1"/>
      <w:numFmt w:val="decimal"/>
      <w:lvlText w:val="%1.%2.%3.%4.%5"/>
      <w:lvlJc w:val="left"/>
      <w:pPr>
        <w:ind w:left="157" w:hanging="1008"/>
      </w:pPr>
    </w:lvl>
    <w:lvl w:ilvl="5">
      <w:start w:val="1"/>
      <w:numFmt w:val="decimal"/>
      <w:lvlText w:val="%1.%2.%3.%4.%5.%6"/>
      <w:lvlJc w:val="left"/>
      <w:pPr>
        <w:ind w:left="301" w:hanging="1152"/>
      </w:pPr>
    </w:lvl>
    <w:lvl w:ilvl="6">
      <w:start w:val="1"/>
      <w:numFmt w:val="decimal"/>
      <w:lvlText w:val="%1.%2.%3.%4.%5.%6.%7"/>
      <w:lvlJc w:val="left"/>
      <w:pPr>
        <w:ind w:left="445" w:hanging="1296"/>
      </w:pPr>
    </w:lvl>
    <w:lvl w:ilvl="7">
      <w:start w:val="1"/>
      <w:numFmt w:val="decimal"/>
      <w:lvlText w:val="%1.%2.%3.%4.%5.%6.%7.%8"/>
      <w:lvlJc w:val="left"/>
      <w:pPr>
        <w:ind w:left="589" w:hanging="1440"/>
      </w:pPr>
    </w:lvl>
    <w:lvl w:ilvl="8">
      <w:start w:val="1"/>
      <w:numFmt w:val="decimal"/>
      <w:lvlText w:val="%1.%2.%3.%4.%5.%6.%7.%8.%9"/>
      <w:lvlJc w:val="left"/>
      <w:pPr>
        <w:ind w:left="733"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wwrt5080xtwlewxvlpwvaesa202awdxsdf&quot;&gt;CEE CA references 1&lt;record-ids&gt;&lt;item&gt;16&lt;/item&gt;&lt;item&gt;90&lt;/item&gt;&lt;item&gt;194&lt;/item&gt;&lt;/record-ids&gt;&lt;/item&gt;&lt;/Libraries&gt;"/>
  </w:docVars>
  <w:rsids>
    <w:rsidRoot w:val="007F1EFD"/>
    <w:rsid w:val="000E4076"/>
    <w:rsid w:val="00117E7D"/>
    <w:rsid w:val="00117F49"/>
    <w:rsid w:val="002265A0"/>
    <w:rsid w:val="00335CB4"/>
    <w:rsid w:val="005445D2"/>
    <w:rsid w:val="00591240"/>
    <w:rsid w:val="005F2BFB"/>
    <w:rsid w:val="006B3DD8"/>
    <w:rsid w:val="007E4A44"/>
    <w:rsid w:val="007E71AA"/>
    <w:rsid w:val="007F1EFD"/>
    <w:rsid w:val="00863E07"/>
    <w:rsid w:val="00864FD9"/>
    <w:rsid w:val="00972AE8"/>
    <w:rsid w:val="009A36E9"/>
    <w:rsid w:val="00B62A02"/>
    <w:rsid w:val="00C06119"/>
    <w:rsid w:val="00E37781"/>
    <w:rsid w:val="00EA7F7E"/>
    <w:rsid w:val="00EB4612"/>
    <w:rsid w:val="00EF2624"/>
    <w:rsid w:val="00F2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F903"/>
  <w15:chartTrackingRefBased/>
  <w15:docId w15:val="{F2B101B9-1D00-42A5-BCAC-A16E7B90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1240"/>
    <w:pPr>
      <w:keepNext/>
      <w:numPr>
        <w:numId w:val="2"/>
      </w:numPr>
      <w:spacing w:before="240" w:after="60" w:line="36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591240"/>
    <w:pPr>
      <w:keepNext/>
      <w:keepLines/>
      <w:numPr>
        <w:ilvl w:val="1"/>
        <w:numId w:val="3"/>
      </w:numPr>
      <w:spacing w:after="0" w:line="360" w:lineRule="auto"/>
      <w:outlineLvl w:val="1"/>
    </w:pPr>
    <w:rPr>
      <w:rFonts w:ascii="Arial" w:eastAsia="Times New Roman" w:hAnsi="Arial"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4A44"/>
    <w:rPr>
      <w:rFonts w:ascii="Arial" w:eastAsia="Times New Roman" w:hAnsi="Arial"/>
      <w:b/>
      <w:bCs/>
      <w:kern w:val="32"/>
      <w:sz w:val="32"/>
      <w:szCs w:val="32"/>
    </w:rPr>
  </w:style>
  <w:style w:type="character" w:customStyle="1" w:styleId="Heading2Char">
    <w:name w:val="Heading 2 Char"/>
    <w:link w:val="Heading2"/>
    <w:uiPriority w:val="9"/>
    <w:rsid w:val="00591240"/>
    <w:rPr>
      <w:rFonts w:ascii="Arial" w:eastAsia="Times New Roman" w:hAnsi="Arial" w:cs="Times New Roman"/>
      <w:b/>
      <w:sz w:val="24"/>
      <w:szCs w:val="26"/>
    </w:rPr>
  </w:style>
  <w:style w:type="paragraph" w:styleId="BalloonText">
    <w:name w:val="Balloon Text"/>
    <w:basedOn w:val="Normal"/>
    <w:link w:val="BalloonTextChar"/>
    <w:uiPriority w:val="99"/>
    <w:semiHidden/>
    <w:unhideWhenUsed/>
    <w:rsid w:val="00EB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12"/>
    <w:rPr>
      <w:rFonts w:ascii="Segoe UI" w:hAnsi="Segoe UI" w:cs="Segoe UI"/>
      <w:sz w:val="18"/>
      <w:szCs w:val="18"/>
    </w:rPr>
  </w:style>
  <w:style w:type="character" w:styleId="Hyperlink">
    <w:name w:val="Hyperlink"/>
    <w:basedOn w:val="DefaultParagraphFont"/>
    <w:uiPriority w:val="99"/>
    <w:unhideWhenUsed/>
    <w:rsid w:val="00117F49"/>
    <w:rPr>
      <w:color w:val="0563C1" w:themeColor="hyperlink"/>
      <w:u w:val="single"/>
    </w:rPr>
  </w:style>
  <w:style w:type="character" w:styleId="UnresolvedMention">
    <w:name w:val="Unresolved Mention"/>
    <w:basedOn w:val="DefaultParagraphFont"/>
    <w:uiPriority w:val="99"/>
    <w:semiHidden/>
    <w:unhideWhenUsed/>
    <w:rsid w:val="00117F49"/>
    <w:rPr>
      <w:color w:val="605E5C"/>
      <w:shd w:val="clear" w:color="auto" w:fill="E1DFDD"/>
    </w:rPr>
  </w:style>
  <w:style w:type="character" w:styleId="FollowedHyperlink">
    <w:name w:val="FollowedHyperlink"/>
    <w:basedOn w:val="DefaultParagraphFont"/>
    <w:uiPriority w:val="99"/>
    <w:semiHidden/>
    <w:unhideWhenUsed/>
    <w:rsid w:val="00117F49"/>
    <w:rPr>
      <w:color w:val="954F72" w:themeColor="followedHyperlink"/>
      <w:u w:val="single"/>
    </w:rPr>
  </w:style>
  <w:style w:type="paragraph" w:styleId="Header">
    <w:name w:val="header"/>
    <w:basedOn w:val="Normal"/>
    <w:link w:val="HeaderChar"/>
    <w:uiPriority w:val="99"/>
    <w:unhideWhenUsed/>
    <w:rsid w:val="00B62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02"/>
  </w:style>
  <w:style w:type="paragraph" w:styleId="Footer">
    <w:name w:val="footer"/>
    <w:basedOn w:val="Normal"/>
    <w:link w:val="FooterChar"/>
    <w:uiPriority w:val="99"/>
    <w:unhideWhenUsed/>
    <w:rsid w:val="00B62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02"/>
  </w:style>
  <w:style w:type="paragraph" w:customStyle="1" w:styleId="EndNoteBibliographyTitle">
    <w:name w:val="EndNote Bibliography Title"/>
    <w:basedOn w:val="Normal"/>
    <w:link w:val="EndNoteBibliographyTitleChar"/>
    <w:rsid w:val="00972AE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72AE8"/>
    <w:rPr>
      <w:rFonts w:ascii="Calibri" w:hAnsi="Calibri" w:cs="Calibri"/>
      <w:noProof/>
      <w:lang w:val="en-US"/>
    </w:rPr>
  </w:style>
  <w:style w:type="paragraph" w:customStyle="1" w:styleId="EndNoteBibliography">
    <w:name w:val="EndNote Bibliography"/>
    <w:basedOn w:val="Normal"/>
    <w:link w:val="EndNoteBibliographyChar"/>
    <w:rsid w:val="00972AE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72AE8"/>
    <w:rPr>
      <w:rFonts w:ascii="Calibri" w:hAnsi="Calibri" w:cs="Calibri"/>
      <w:noProof/>
      <w:lang w:val="en-US"/>
    </w:rPr>
  </w:style>
  <w:style w:type="character" w:customStyle="1" w:styleId="fontstyle01">
    <w:name w:val="fontstyle01"/>
    <w:basedOn w:val="DefaultParagraphFont"/>
    <w:rsid w:val="00863E07"/>
    <w:rPr>
      <w:rFonts w:ascii="Calibri-Light" w:hAnsi="Calibri-Light" w:hint="default"/>
      <w:b w:val="0"/>
      <w:bCs w:val="0"/>
      <w:i w:val="0"/>
      <w:iCs w:val="0"/>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6707">
      <w:bodyDiv w:val="1"/>
      <w:marLeft w:val="0"/>
      <w:marRight w:val="0"/>
      <w:marTop w:val="0"/>
      <w:marBottom w:val="0"/>
      <w:divBdr>
        <w:top w:val="none" w:sz="0" w:space="0" w:color="auto"/>
        <w:left w:val="none" w:sz="0" w:space="0" w:color="auto"/>
        <w:bottom w:val="none" w:sz="0" w:space="0" w:color="auto"/>
        <w:right w:val="none" w:sz="0" w:space="0" w:color="auto"/>
      </w:divBdr>
    </w:div>
    <w:div w:id="1290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Frampton</dc:creator>
  <cp:keywords/>
  <dc:description/>
  <cp:lastModifiedBy>Geoff Frampton</cp:lastModifiedBy>
  <cp:revision>16</cp:revision>
  <dcterms:created xsi:type="dcterms:W3CDTF">2021-02-08T15:29:00Z</dcterms:created>
  <dcterms:modified xsi:type="dcterms:W3CDTF">2022-03-13T18:41:00Z</dcterms:modified>
</cp:coreProperties>
</file>