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BF4" w14:textId="25CE0FDE" w:rsidR="00EB0334" w:rsidRPr="00EB0334" w:rsidRDefault="00EB0334" w:rsidP="00EB0334">
      <w:pPr>
        <w:pStyle w:val="Heading1"/>
        <w:spacing w:before="0" w:line="480" w:lineRule="auto"/>
        <w:rPr>
          <w:rFonts w:ascii="Georgia" w:hAnsi="Georgia" w:cs="Times New Roman"/>
          <w:b/>
          <w:bCs/>
          <w:color w:val="auto"/>
        </w:rPr>
      </w:pPr>
      <w:r>
        <w:rPr>
          <w:rFonts w:ascii="Georgia" w:hAnsi="Georgia" w:cs="Times New Roman"/>
          <w:b/>
          <w:bCs/>
          <w:color w:val="auto"/>
        </w:rPr>
        <w:t>Supplementary Material</w:t>
      </w:r>
      <w:bookmarkStart w:id="0" w:name="_Toc76236125"/>
      <w:bookmarkStart w:id="1" w:name="_Toc76673705"/>
    </w:p>
    <w:p w14:paraId="52D289DC" w14:textId="58A97AA9" w:rsidR="00EB0334" w:rsidRDefault="00EB0334" w:rsidP="00A734AA">
      <w:pPr>
        <w:pStyle w:val="Heading2"/>
        <w:rPr>
          <w:rFonts w:ascii="Georgia" w:hAnsi="Georgia"/>
          <w:b/>
          <w:bCs/>
          <w:color w:val="auto"/>
          <w:sz w:val="24"/>
          <w:szCs w:val="24"/>
        </w:rPr>
      </w:pPr>
      <w:r w:rsidRPr="00172FA3">
        <w:rPr>
          <w:rFonts w:ascii="Georgia" w:hAnsi="Georgia" w:cs="Times New Roman"/>
          <w:noProof/>
          <w:sz w:val="24"/>
          <w:szCs w:val="24"/>
        </w:rPr>
        <w:drawing>
          <wp:inline distT="0" distB="0" distL="0" distR="0" wp14:anchorId="78D38394" wp14:editId="656BAAF7">
            <wp:extent cx="5086350" cy="3152775"/>
            <wp:effectExtent l="0" t="0" r="0" b="9525"/>
            <wp:docPr id="34" name="Chart 34">
              <a:extLst xmlns:a="http://schemas.openxmlformats.org/drawingml/2006/main">
                <a:ext uri="{FF2B5EF4-FFF2-40B4-BE49-F238E27FC236}">
                  <a16:creationId xmlns:a16="http://schemas.microsoft.com/office/drawing/2014/main" id="{00000000-0008-0000-0000-0000A3FF7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2E3A59F" w14:textId="6D438858" w:rsidR="00A734AA" w:rsidRPr="00BF60A1" w:rsidRDefault="00A734AA" w:rsidP="00A734AA">
      <w:pPr>
        <w:pStyle w:val="Heading2"/>
        <w:rPr>
          <w:rFonts w:ascii="Georgia" w:hAnsi="Georgia"/>
          <w:b/>
          <w:bCs/>
          <w:color w:val="auto"/>
          <w:sz w:val="24"/>
          <w:szCs w:val="24"/>
        </w:rPr>
      </w:pPr>
      <w:r w:rsidRPr="00BF60A1">
        <w:rPr>
          <w:rFonts w:ascii="Georgia" w:hAnsi="Georgia"/>
          <w:b/>
          <w:bCs/>
          <w:color w:val="auto"/>
          <w:sz w:val="24"/>
          <w:szCs w:val="24"/>
        </w:rPr>
        <w:t>Figure S1. ELISA screening of phages with native and denatured RAD51A1 proteins.</w:t>
      </w:r>
    </w:p>
    <w:p w14:paraId="0255A234" w14:textId="77777777" w:rsidR="00A734AA" w:rsidRPr="00BF60A1" w:rsidRDefault="00A734AA" w:rsidP="00A734AA">
      <w:pPr>
        <w:spacing w:line="480" w:lineRule="auto"/>
        <w:rPr>
          <w:rFonts w:ascii="Georgia" w:hAnsi="Georgia"/>
          <w:sz w:val="24"/>
          <w:szCs w:val="24"/>
        </w:rPr>
      </w:pPr>
      <w:r w:rsidRPr="00BF60A1">
        <w:rPr>
          <w:rFonts w:ascii="Georgia" w:hAnsi="Georgia"/>
          <w:sz w:val="24"/>
          <w:szCs w:val="24"/>
        </w:rPr>
        <w:t xml:space="preserve">Wells with an OD450 1.5-fold or more above the BSA control were coded as positive. Phages 4, 5, 6, 7, 14, 15, 16, 19, 20, 21, 22 and 23 were positive against both native and denatured protein. Phages 9, 10, 13, and 17 were positive against denatured protein only. </w:t>
      </w:r>
      <w:bookmarkEnd w:id="0"/>
      <w:bookmarkEnd w:id="1"/>
    </w:p>
    <w:p w14:paraId="75D1824D" w14:textId="2F06F564" w:rsidR="00EB0334" w:rsidRDefault="00EB0334" w:rsidP="00A734AA">
      <w:pPr>
        <w:pStyle w:val="Heading2"/>
        <w:rPr>
          <w:rFonts w:ascii="Georgia" w:hAnsi="Georgia"/>
          <w:b/>
          <w:bCs/>
          <w:color w:val="auto"/>
          <w:sz w:val="24"/>
          <w:szCs w:val="24"/>
        </w:rPr>
      </w:pPr>
      <w:bookmarkStart w:id="2" w:name="_Toc76236126"/>
      <w:bookmarkStart w:id="3" w:name="_Toc76673706"/>
      <w:r w:rsidRPr="00172FA3">
        <w:rPr>
          <w:rFonts w:ascii="Georgia" w:hAnsi="Georgia" w:cs="Times New Roman"/>
          <w:noProof/>
          <w:sz w:val="24"/>
          <w:szCs w:val="24"/>
        </w:rPr>
        <w:lastRenderedPageBreak/>
        <w:drawing>
          <wp:inline distT="0" distB="0" distL="0" distR="0" wp14:anchorId="3900BE71" wp14:editId="43E5133E">
            <wp:extent cx="5486400" cy="3438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9" r="9888" b="46727"/>
                    <a:stretch/>
                  </pic:blipFill>
                  <pic:spPr bwMode="auto">
                    <a:xfrm>
                      <a:off x="0" y="0"/>
                      <a:ext cx="5486400" cy="3438144"/>
                    </a:xfrm>
                    <a:prstGeom prst="rect">
                      <a:avLst/>
                    </a:prstGeom>
                    <a:noFill/>
                    <a:ln>
                      <a:noFill/>
                    </a:ln>
                    <a:extLst>
                      <a:ext uri="{53640926-AAD7-44D8-BBD7-CCE9431645EC}">
                        <a14:shadowObscured xmlns:a14="http://schemas.microsoft.com/office/drawing/2010/main"/>
                      </a:ext>
                    </a:extLst>
                  </pic:spPr>
                </pic:pic>
              </a:graphicData>
            </a:graphic>
          </wp:inline>
        </w:drawing>
      </w:r>
    </w:p>
    <w:p w14:paraId="2A3C4569" w14:textId="71FF9A5B" w:rsidR="00A734AA" w:rsidRPr="00BF60A1" w:rsidRDefault="00A734AA" w:rsidP="00A734AA">
      <w:pPr>
        <w:pStyle w:val="Heading2"/>
        <w:rPr>
          <w:rFonts w:ascii="Georgia" w:hAnsi="Georgia"/>
          <w:b/>
          <w:bCs/>
          <w:color w:val="auto"/>
          <w:sz w:val="24"/>
          <w:szCs w:val="24"/>
        </w:rPr>
      </w:pPr>
      <w:r w:rsidRPr="00BF60A1">
        <w:rPr>
          <w:rFonts w:ascii="Georgia" w:hAnsi="Georgia"/>
          <w:b/>
          <w:bCs/>
          <w:color w:val="auto"/>
          <w:sz w:val="24"/>
          <w:szCs w:val="24"/>
        </w:rPr>
        <w:t xml:space="preserve">Figure S2. Phage dot blotting with native RAD51A1. </w:t>
      </w:r>
    </w:p>
    <w:p w14:paraId="653FA08A" w14:textId="77777777" w:rsidR="00A734AA" w:rsidRPr="00BF60A1" w:rsidRDefault="00A734AA" w:rsidP="00A734AA">
      <w:pPr>
        <w:spacing w:line="480" w:lineRule="auto"/>
        <w:rPr>
          <w:rFonts w:ascii="Georgia" w:hAnsi="Georgia" w:cs="Times New Roman"/>
          <w:sz w:val="24"/>
          <w:szCs w:val="24"/>
        </w:rPr>
      </w:pPr>
      <w:r w:rsidRPr="00BF60A1">
        <w:rPr>
          <w:rFonts w:ascii="Georgia" w:hAnsi="Georgia"/>
          <w:sz w:val="24"/>
          <w:szCs w:val="24"/>
        </w:rPr>
        <w:t xml:space="preserve">(1) supernatant (2) pellet (3) flow-through (4) first elution and (5) second elution. Phages 5,8,13,14, and 20 bound to the protein supernatant, protein pellet, flow-through, as well as the first elution. This could be due to RAD51A1 present in these stages of the purification process, or </w:t>
      </w:r>
      <w:proofErr w:type="gramStart"/>
      <w:r w:rsidRPr="00BF60A1">
        <w:rPr>
          <w:rFonts w:ascii="Georgia" w:hAnsi="Georgia"/>
          <w:sz w:val="24"/>
          <w:szCs w:val="24"/>
        </w:rPr>
        <w:t>due to the fact that</w:t>
      </w:r>
      <w:proofErr w:type="gramEnd"/>
      <w:r w:rsidRPr="00BF60A1">
        <w:rPr>
          <w:rFonts w:ascii="Georgia" w:hAnsi="Georgia"/>
          <w:sz w:val="24"/>
          <w:szCs w:val="24"/>
        </w:rPr>
        <w:t xml:space="preserve"> the earlier stages of the purification process would contain </w:t>
      </w:r>
      <w:r w:rsidRPr="00BF60A1">
        <w:rPr>
          <w:rFonts w:ascii="Georgia" w:hAnsi="Georgia"/>
          <w:i/>
          <w:iCs/>
          <w:sz w:val="24"/>
          <w:szCs w:val="24"/>
        </w:rPr>
        <w:t>E. coli</w:t>
      </w:r>
      <w:r w:rsidRPr="00BF60A1">
        <w:rPr>
          <w:rFonts w:ascii="Georgia" w:hAnsi="Georgia"/>
          <w:sz w:val="24"/>
          <w:szCs w:val="24"/>
        </w:rPr>
        <w:t xml:space="preserve"> host proteins and these phages which live in </w:t>
      </w:r>
      <w:r w:rsidRPr="00BF60A1">
        <w:rPr>
          <w:rFonts w:ascii="Georgia" w:hAnsi="Georgia"/>
          <w:i/>
          <w:iCs/>
          <w:sz w:val="24"/>
          <w:szCs w:val="24"/>
        </w:rPr>
        <w:t>E. coli</w:t>
      </w:r>
      <w:r w:rsidRPr="00BF60A1">
        <w:rPr>
          <w:rFonts w:ascii="Georgia" w:hAnsi="Georgia"/>
          <w:sz w:val="24"/>
          <w:szCs w:val="24"/>
        </w:rPr>
        <w:t xml:space="preserve"> may interact </w:t>
      </w:r>
      <w:r w:rsidRPr="00BF60A1">
        <w:rPr>
          <w:rFonts w:ascii="Georgia" w:hAnsi="Georgia"/>
          <w:i/>
          <w:iCs/>
          <w:sz w:val="24"/>
          <w:szCs w:val="24"/>
        </w:rPr>
        <w:t>with E. coli</w:t>
      </w:r>
      <w:r w:rsidRPr="00BF60A1">
        <w:rPr>
          <w:rFonts w:ascii="Georgia" w:hAnsi="Georgia"/>
          <w:sz w:val="24"/>
          <w:szCs w:val="24"/>
        </w:rPr>
        <w:t xml:space="preserve"> proteins. High imidazole concentration may have inhibited localization of the protein on the membrane in the second elution, resulting in false negatives.</w:t>
      </w:r>
      <w:bookmarkStart w:id="4" w:name="_Hlk76321673"/>
      <w:bookmarkEnd w:id="2"/>
      <w:bookmarkEnd w:id="3"/>
    </w:p>
    <w:p w14:paraId="54A82C98" w14:textId="77777777" w:rsidR="00374DDF" w:rsidRDefault="00374DDF" w:rsidP="00A734AA">
      <w:pPr>
        <w:pStyle w:val="Heading2"/>
        <w:spacing w:before="0" w:line="240" w:lineRule="auto"/>
        <w:rPr>
          <w:rStyle w:val="Heading3Char"/>
          <w:rFonts w:ascii="Georgia" w:eastAsiaTheme="minorHAnsi" w:hAnsi="Georgia" w:cs="Times New Roman"/>
          <w:b/>
          <w:bCs/>
          <w:color w:val="auto"/>
        </w:rPr>
      </w:pPr>
    </w:p>
    <w:p w14:paraId="54FEC558" w14:textId="07B5631E" w:rsidR="00A734AA" w:rsidRPr="00BF60A1" w:rsidRDefault="00A734AA" w:rsidP="00A734AA">
      <w:pPr>
        <w:pStyle w:val="Heading2"/>
        <w:spacing w:before="0" w:line="240" w:lineRule="auto"/>
        <w:rPr>
          <w:rFonts w:ascii="Georgia" w:eastAsia="Calibri" w:hAnsi="Georgia" w:cs="Times New Roman"/>
          <w:b/>
          <w:bCs/>
          <w:color w:val="auto"/>
          <w:sz w:val="24"/>
          <w:szCs w:val="24"/>
        </w:rPr>
      </w:pPr>
      <w:r w:rsidRPr="00BF60A1">
        <w:rPr>
          <w:rStyle w:val="Heading3Char"/>
          <w:rFonts w:ascii="Georgia" w:eastAsiaTheme="minorHAnsi" w:hAnsi="Georgia" w:cs="Times New Roman"/>
          <w:b/>
          <w:bCs/>
          <w:color w:val="auto"/>
        </w:rPr>
        <w:t>Table S1. Proteins from non-maize species with alignments to selected phage peptides in Table 1</w:t>
      </w:r>
    </w:p>
    <w:tbl>
      <w:tblPr>
        <w:tblW w:w="8640" w:type="dxa"/>
        <w:tblLayout w:type="fixed"/>
        <w:tblLook w:val="04A0" w:firstRow="1" w:lastRow="0" w:firstColumn="1" w:lastColumn="0" w:noHBand="0" w:noVBand="1"/>
      </w:tblPr>
      <w:tblGrid>
        <w:gridCol w:w="1705"/>
        <w:gridCol w:w="1340"/>
        <w:gridCol w:w="1344"/>
        <w:gridCol w:w="1111"/>
        <w:gridCol w:w="1570"/>
        <w:gridCol w:w="1570"/>
      </w:tblGrid>
      <w:tr w:rsidR="00A734AA" w:rsidRPr="00BF60A1" w14:paraId="3630556E" w14:textId="77777777" w:rsidTr="009229CA">
        <w:tc>
          <w:tcPr>
            <w:tcW w:w="17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E59A6F"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b/>
                <w:bCs/>
                <w:sz w:val="24"/>
                <w:szCs w:val="24"/>
              </w:rPr>
              <w:t>Phage peptide #</w:t>
            </w:r>
          </w:p>
        </w:tc>
        <w:tc>
          <w:tcPr>
            <w:tcW w:w="13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626985" w14:textId="77777777" w:rsidR="00A734AA" w:rsidRPr="00BF60A1" w:rsidRDefault="00A734AA" w:rsidP="009229CA">
            <w:pPr>
              <w:spacing w:after="0" w:line="240" w:lineRule="auto"/>
              <w:rPr>
                <w:rFonts w:ascii="Georgia" w:hAnsi="Georgia" w:cs="Times New Roman"/>
                <w:b/>
                <w:bCs/>
                <w:sz w:val="24"/>
                <w:szCs w:val="24"/>
              </w:rPr>
            </w:pPr>
            <w:r w:rsidRPr="00BF60A1">
              <w:rPr>
                <w:rFonts w:ascii="Georgia" w:eastAsia="Times New Roman" w:hAnsi="Georgia" w:cs="Times New Roman"/>
                <w:b/>
                <w:bCs/>
                <w:sz w:val="24"/>
                <w:szCs w:val="24"/>
              </w:rPr>
              <w:t>Aligned protein annotation</w:t>
            </w:r>
          </w:p>
        </w:tc>
        <w:tc>
          <w:tcPr>
            <w:tcW w:w="13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76DAF3" w14:textId="77777777" w:rsidR="00A734AA" w:rsidRPr="00BF60A1" w:rsidRDefault="00A734AA" w:rsidP="009229CA">
            <w:pPr>
              <w:tabs>
                <w:tab w:val="left" w:pos="1230"/>
              </w:tabs>
              <w:spacing w:after="0" w:line="240" w:lineRule="auto"/>
              <w:rPr>
                <w:rFonts w:ascii="Georgia" w:hAnsi="Georgia" w:cs="Times New Roman"/>
                <w:b/>
                <w:bCs/>
                <w:sz w:val="24"/>
                <w:szCs w:val="24"/>
              </w:rPr>
            </w:pPr>
            <w:r w:rsidRPr="00BF60A1">
              <w:rPr>
                <w:rFonts w:ascii="Georgia" w:eastAsia="Times New Roman" w:hAnsi="Georgia" w:cs="Times New Roman"/>
                <w:b/>
                <w:bCs/>
                <w:sz w:val="24"/>
                <w:szCs w:val="24"/>
              </w:rPr>
              <w:t>E-value</w:t>
            </w:r>
            <w:r w:rsidRPr="00BF60A1">
              <w:rPr>
                <w:rFonts w:ascii="Georgia" w:eastAsia="Times New Roman" w:hAnsi="Georgia" w:cs="Times New Roman"/>
                <w:b/>
                <w:bCs/>
                <w:sz w:val="24"/>
                <w:szCs w:val="24"/>
              </w:rPr>
              <w:tab/>
            </w:r>
          </w:p>
        </w:tc>
        <w:tc>
          <w:tcPr>
            <w:tcW w:w="1111" w:type="dxa"/>
            <w:tcBorders>
              <w:top w:val="single" w:sz="4" w:space="0" w:color="auto"/>
              <w:left w:val="single" w:sz="4" w:space="0" w:color="auto"/>
              <w:bottom w:val="single" w:sz="4" w:space="0" w:color="auto"/>
              <w:right w:val="single" w:sz="4" w:space="0" w:color="auto"/>
            </w:tcBorders>
            <w:shd w:val="clear" w:color="auto" w:fill="E7E6E6" w:themeFill="background2"/>
          </w:tcPr>
          <w:p w14:paraId="73BA68A0" w14:textId="77777777" w:rsidR="00A734AA" w:rsidRPr="00BF60A1" w:rsidRDefault="00A734AA" w:rsidP="009229CA">
            <w:pPr>
              <w:spacing w:after="0" w:line="240" w:lineRule="auto"/>
              <w:rPr>
                <w:rFonts w:ascii="Georgia" w:eastAsia="Times New Roman" w:hAnsi="Georgia" w:cs="Times New Roman"/>
                <w:b/>
                <w:bCs/>
                <w:sz w:val="24"/>
                <w:szCs w:val="24"/>
              </w:rPr>
            </w:pPr>
            <w:r w:rsidRPr="00BF60A1">
              <w:rPr>
                <w:rFonts w:ascii="Georgia" w:eastAsia="Times New Roman" w:hAnsi="Georgia" w:cs="Times New Roman"/>
                <w:b/>
                <w:bCs/>
                <w:sz w:val="24"/>
                <w:szCs w:val="24"/>
              </w:rPr>
              <w:t>Query cover</w:t>
            </w:r>
          </w:p>
        </w:tc>
        <w:tc>
          <w:tcPr>
            <w:tcW w:w="1570" w:type="dxa"/>
            <w:tcBorders>
              <w:top w:val="single" w:sz="4" w:space="0" w:color="auto"/>
              <w:left w:val="single" w:sz="4" w:space="0" w:color="auto"/>
              <w:bottom w:val="single" w:sz="4" w:space="0" w:color="auto"/>
              <w:right w:val="single" w:sz="4" w:space="0" w:color="auto"/>
            </w:tcBorders>
            <w:shd w:val="clear" w:color="auto" w:fill="E7E6E6" w:themeFill="background2"/>
          </w:tcPr>
          <w:p w14:paraId="514CC5D9" w14:textId="77777777" w:rsidR="00A734AA" w:rsidRPr="00BF60A1" w:rsidRDefault="00A734AA" w:rsidP="009229CA">
            <w:pPr>
              <w:spacing w:after="0" w:line="240" w:lineRule="auto"/>
              <w:rPr>
                <w:rFonts w:ascii="Georgia" w:eastAsia="Times New Roman" w:hAnsi="Georgia" w:cs="Times New Roman"/>
                <w:b/>
                <w:bCs/>
                <w:sz w:val="24"/>
                <w:szCs w:val="24"/>
              </w:rPr>
            </w:pPr>
            <w:r w:rsidRPr="00BF60A1">
              <w:rPr>
                <w:rFonts w:ascii="Georgia" w:eastAsia="Times New Roman" w:hAnsi="Georgia" w:cs="Times New Roman"/>
                <w:b/>
                <w:bCs/>
                <w:sz w:val="24"/>
                <w:szCs w:val="24"/>
              </w:rPr>
              <w:t>Percent identity</w:t>
            </w:r>
          </w:p>
        </w:tc>
        <w:tc>
          <w:tcPr>
            <w:tcW w:w="15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4EFC43" w14:textId="77777777" w:rsidR="00A734AA" w:rsidRPr="00BF60A1" w:rsidRDefault="00A734AA" w:rsidP="009229CA">
            <w:pPr>
              <w:spacing w:after="0" w:line="240" w:lineRule="auto"/>
              <w:rPr>
                <w:rFonts w:ascii="Georgia" w:hAnsi="Georgia" w:cs="Times New Roman"/>
                <w:b/>
                <w:bCs/>
                <w:sz w:val="24"/>
                <w:szCs w:val="24"/>
              </w:rPr>
            </w:pPr>
            <w:r w:rsidRPr="00BF60A1">
              <w:rPr>
                <w:rFonts w:ascii="Georgia" w:eastAsia="Times New Roman" w:hAnsi="Georgia" w:cs="Times New Roman"/>
                <w:b/>
                <w:bCs/>
                <w:sz w:val="24"/>
                <w:szCs w:val="24"/>
              </w:rPr>
              <w:t>NCBI accession</w:t>
            </w:r>
          </w:p>
        </w:tc>
      </w:tr>
      <w:tr w:rsidR="00A734AA" w:rsidRPr="00BF60A1" w14:paraId="09F7BDD6"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774A348D" w14:textId="77777777" w:rsidR="00A734AA" w:rsidRPr="00BF60A1" w:rsidRDefault="00A734AA" w:rsidP="009229CA">
            <w:pPr>
              <w:spacing w:after="0" w:line="240" w:lineRule="auto"/>
              <w:rPr>
                <w:rFonts w:ascii="Georgia" w:hAnsi="Georgia" w:cs="Times New Roman"/>
                <w:sz w:val="24"/>
                <w:szCs w:val="24"/>
              </w:rPr>
            </w:pPr>
            <w:bookmarkStart w:id="5" w:name="_Hlk523862921"/>
            <w:r w:rsidRPr="00BF60A1">
              <w:rPr>
                <w:rFonts w:ascii="Georgia" w:hAnsi="Georgia" w:cs="Times New Roman"/>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14:paraId="74CEEC05" w14:textId="77777777" w:rsidR="00A734AA" w:rsidRPr="00BF60A1" w:rsidRDefault="00A734AA" w:rsidP="009229CA">
            <w:pPr>
              <w:spacing w:after="0" w:line="240" w:lineRule="auto"/>
              <w:rPr>
                <w:rFonts w:ascii="Georgia" w:hAnsi="Georgia" w:cs="Times New Roman"/>
                <w:sz w:val="24"/>
                <w:szCs w:val="24"/>
              </w:rPr>
            </w:pPr>
            <w:proofErr w:type="spellStart"/>
            <w:r w:rsidRPr="00BF60A1">
              <w:rPr>
                <w:rFonts w:ascii="Georgia" w:hAnsi="Georgia" w:cs="Times New Roman"/>
                <w:sz w:val="24"/>
                <w:szCs w:val="24"/>
              </w:rPr>
              <w:t>TonB</w:t>
            </w:r>
            <w:proofErr w:type="spellEnd"/>
            <w:r w:rsidRPr="00BF60A1">
              <w:rPr>
                <w:rFonts w:ascii="Georgia" w:hAnsi="Georgia" w:cs="Times New Roman"/>
                <w:sz w:val="24"/>
                <w:szCs w:val="24"/>
              </w:rPr>
              <w:t>-dependent receptor [</w:t>
            </w:r>
            <w:r w:rsidRPr="00BF60A1">
              <w:rPr>
                <w:rFonts w:ascii="Georgia" w:hAnsi="Georgia" w:cs="Times New Roman"/>
                <w:i/>
                <w:iCs/>
                <w:sz w:val="24"/>
                <w:szCs w:val="24"/>
              </w:rPr>
              <w:t>Acinetob</w:t>
            </w:r>
            <w:r w:rsidRPr="00BF60A1">
              <w:rPr>
                <w:rFonts w:ascii="Georgia" w:hAnsi="Georgia" w:cs="Times New Roman"/>
                <w:i/>
                <w:iCs/>
                <w:sz w:val="24"/>
                <w:szCs w:val="24"/>
              </w:rPr>
              <w:lastRenderedPageBreak/>
              <w:t xml:space="preserve">acter </w:t>
            </w:r>
            <w:proofErr w:type="spellStart"/>
            <w:r w:rsidRPr="00BF60A1">
              <w:rPr>
                <w:rFonts w:ascii="Georgia" w:hAnsi="Georgia" w:cs="Times New Roman"/>
                <w:i/>
                <w:iCs/>
                <w:sz w:val="24"/>
                <w:szCs w:val="24"/>
              </w:rPr>
              <w:t>baumannii</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4141841C"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lastRenderedPageBreak/>
              <w:t>7.4</w:t>
            </w:r>
          </w:p>
        </w:tc>
        <w:tc>
          <w:tcPr>
            <w:tcW w:w="1111" w:type="dxa"/>
            <w:tcBorders>
              <w:top w:val="single" w:sz="4" w:space="0" w:color="auto"/>
              <w:left w:val="single" w:sz="4" w:space="0" w:color="auto"/>
              <w:bottom w:val="single" w:sz="4" w:space="0" w:color="auto"/>
              <w:right w:val="single" w:sz="4" w:space="0" w:color="auto"/>
            </w:tcBorders>
          </w:tcPr>
          <w:p w14:paraId="09760F9A"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76%</w:t>
            </w:r>
          </w:p>
        </w:tc>
        <w:tc>
          <w:tcPr>
            <w:tcW w:w="1570" w:type="dxa"/>
            <w:tcBorders>
              <w:top w:val="single" w:sz="4" w:space="0" w:color="auto"/>
              <w:left w:val="single" w:sz="4" w:space="0" w:color="auto"/>
              <w:bottom w:val="single" w:sz="4" w:space="0" w:color="auto"/>
              <w:right w:val="single" w:sz="4" w:space="0" w:color="auto"/>
            </w:tcBorders>
          </w:tcPr>
          <w:p w14:paraId="114129DD"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89%</w:t>
            </w:r>
          </w:p>
        </w:tc>
        <w:tc>
          <w:tcPr>
            <w:tcW w:w="1570" w:type="dxa"/>
            <w:tcBorders>
              <w:top w:val="single" w:sz="4" w:space="0" w:color="auto"/>
              <w:left w:val="single" w:sz="4" w:space="0" w:color="auto"/>
              <w:bottom w:val="single" w:sz="4" w:space="0" w:color="auto"/>
              <w:right w:val="single" w:sz="4" w:space="0" w:color="auto"/>
            </w:tcBorders>
            <w:hideMark/>
          </w:tcPr>
          <w:p w14:paraId="0BEFCF7E" w14:textId="77777777" w:rsidR="00A734AA" w:rsidRPr="00BF60A1" w:rsidRDefault="00374DDF" w:rsidP="009229CA">
            <w:pPr>
              <w:spacing w:after="0" w:line="240" w:lineRule="auto"/>
              <w:rPr>
                <w:rFonts w:ascii="Georgia" w:hAnsi="Georgia" w:cs="Times New Roman"/>
                <w:sz w:val="24"/>
                <w:szCs w:val="24"/>
              </w:rPr>
            </w:pPr>
            <w:hyperlink r:id="rId6" w:tgtFrame="lnkMK69ECW401R" w:tooltip="Show report for WP_000045372.1" w:history="1">
              <w:r w:rsidR="00A734AA" w:rsidRPr="00BF60A1">
                <w:rPr>
                  <w:rStyle w:val="Hyperlink"/>
                  <w:rFonts w:ascii="Georgia" w:hAnsi="Georgia" w:cs="Times New Roman"/>
                  <w:sz w:val="24"/>
                  <w:szCs w:val="24"/>
                </w:rPr>
                <w:t>WP_000045372.1</w:t>
              </w:r>
            </w:hyperlink>
          </w:p>
        </w:tc>
      </w:tr>
      <w:bookmarkEnd w:id="5"/>
      <w:tr w:rsidR="00A734AA" w:rsidRPr="00BF60A1" w14:paraId="39C89D47"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003A82E7"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t>3</w:t>
            </w:r>
          </w:p>
        </w:tc>
        <w:tc>
          <w:tcPr>
            <w:tcW w:w="1340" w:type="dxa"/>
            <w:tcBorders>
              <w:top w:val="single" w:sz="4" w:space="0" w:color="auto"/>
              <w:left w:val="single" w:sz="4" w:space="0" w:color="auto"/>
              <w:bottom w:val="single" w:sz="4" w:space="0" w:color="auto"/>
              <w:right w:val="single" w:sz="4" w:space="0" w:color="auto"/>
            </w:tcBorders>
            <w:hideMark/>
          </w:tcPr>
          <w:p w14:paraId="5FBC8852"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hypothetical protein AZI85_05800 [</w:t>
            </w:r>
            <w:proofErr w:type="spellStart"/>
            <w:r w:rsidRPr="00BF60A1">
              <w:rPr>
                <w:rFonts w:ascii="Georgia" w:hAnsi="Georgia" w:cs="Times New Roman"/>
                <w:i/>
                <w:iCs/>
                <w:sz w:val="24"/>
                <w:szCs w:val="24"/>
              </w:rPr>
              <w:t>Bdellovibrio</w:t>
            </w:r>
            <w:proofErr w:type="spellEnd"/>
            <w:r w:rsidRPr="00BF60A1">
              <w:rPr>
                <w:rFonts w:ascii="Georgia" w:hAnsi="Georgia" w:cs="Times New Roman"/>
                <w:i/>
                <w:iCs/>
                <w:sz w:val="24"/>
                <w:szCs w:val="24"/>
              </w:rPr>
              <w:t xml:space="preserve"> </w:t>
            </w:r>
            <w:proofErr w:type="spellStart"/>
            <w:r w:rsidRPr="00BF60A1">
              <w:rPr>
                <w:rFonts w:ascii="Georgia" w:hAnsi="Georgia" w:cs="Times New Roman"/>
                <w:i/>
                <w:iCs/>
                <w:sz w:val="24"/>
                <w:szCs w:val="24"/>
              </w:rPr>
              <w:t>bacteriovorus</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5EC698AA"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1.1</w:t>
            </w:r>
          </w:p>
        </w:tc>
        <w:tc>
          <w:tcPr>
            <w:tcW w:w="1111" w:type="dxa"/>
            <w:tcBorders>
              <w:top w:val="single" w:sz="4" w:space="0" w:color="auto"/>
              <w:left w:val="single" w:sz="4" w:space="0" w:color="auto"/>
              <w:bottom w:val="single" w:sz="4" w:space="0" w:color="auto"/>
              <w:right w:val="single" w:sz="4" w:space="0" w:color="auto"/>
            </w:tcBorders>
          </w:tcPr>
          <w:p w14:paraId="03DBA90C"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75%</w:t>
            </w:r>
          </w:p>
        </w:tc>
        <w:tc>
          <w:tcPr>
            <w:tcW w:w="1570" w:type="dxa"/>
            <w:tcBorders>
              <w:top w:val="single" w:sz="4" w:space="0" w:color="auto"/>
              <w:left w:val="single" w:sz="4" w:space="0" w:color="auto"/>
              <w:bottom w:val="single" w:sz="4" w:space="0" w:color="auto"/>
              <w:right w:val="single" w:sz="4" w:space="0" w:color="auto"/>
            </w:tcBorders>
          </w:tcPr>
          <w:p w14:paraId="1CF0EB6E"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83%</w:t>
            </w:r>
          </w:p>
        </w:tc>
        <w:tc>
          <w:tcPr>
            <w:tcW w:w="1570" w:type="dxa"/>
            <w:tcBorders>
              <w:top w:val="single" w:sz="4" w:space="0" w:color="auto"/>
              <w:left w:val="single" w:sz="4" w:space="0" w:color="auto"/>
              <w:bottom w:val="single" w:sz="4" w:space="0" w:color="auto"/>
              <w:right w:val="single" w:sz="4" w:space="0" w:color="auto"/>
            </w:tcBorders>
            <w:hideMark/>
          </w:tcPr>
          <w:p w14:paraId="6184AC08" w14:textId="77777777" w:rsidR="00A734AA" w:rsidRPr="00BF60A1" w:rsidRDefault="00374DDF" w:rsidP="009229CA">
            <w:pPr>
              <w:spacing w:after="0" w:line="240" w:lineRule="auto"/>
              <w:rPr>
                <w:rFonts w:ascii="Georgia" w:hAnsi="Georgia" w:cs="Times New Roman"/>
                <w:sz w:val="24"/>
                <w:szCs w:val="24"/>
              </w:rPr>
            </w:pPr>
            <w:hyperlink r:id="rId7" w:tgtFrame="lnkMK6AKJTE01R" w:tooltip="Show report for KYG61739.1" w:history="1">
              <w:r w:rsidR="00A734AA" w:rsidRPr="00BF60A1">
                <w:rPr>
                  <w:rStyle w:val="Hyperlink"/>
                  <w:rFonts w:ascii="Georgia" w:hAnsi="Georgia" w:cs="Times New Roman"/>
                  <w:sz w:val="24"/>
                  <w:szCs w:val="24"/>
                </w:rPr>
                <w:t>KYG61739.1</w:t>
              </w:r>
            </w:hyperlink>
          </w:p>
        </w:tc>
      </w:tr>
      <w:tr w:rsidR="00A734AA" w:rsidRPr="00BF60A1" w14:paraId="46DD6B01"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6046759F"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t>4</w:t>
            </w:r>
          </w:p>
        </w:tc>
        <w:tc>
          <w:tcPr>
            <w:tcW w:w="1340" w:type="dxa"/>
            <w:tcBorders>
              <w:top w:val="single" w:sz="4" w:space="0" w:color="auto"/>
              <w:left w:val="single" w:sz="4" w:space="0" w:color="auto"/>
              <w:bottom w:val="single" w:sz="4" w:space="0" w:color="auto"/>
              <w:right w:val="single" w:sz="4" w:space="0" w:color="auto"/>
            </w:tcBorders>
            <w:hideMark/>
          </w:tcPr>
          <w:p w14:paraId="0A1B43E2"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PREDICTED: leucine-rich repeat-containing protein 19 isoform X3 [</w:t>
            </w:r>
            <w:proofErr w:type="spellStart"/>
            <w:r w:rsidRPr="00BF60A1">
              <w:rPr>
                <w:rFonts w:ascii="Georgia" w:hAnsi="Georgia" w:cs="Times New Roman"/>
                <w:i/>
                <w:iCs/>
                <w:sz w:val="24"/>
                <w:szCs w:val="24"/>
              </w:rPr>
              <w:t>Poecilia</w:t>
            </w:r>
            <w:proofErr w:type="spellEnd"/>
            <w:r w:rsidRPr="00BF60A1">
              <w:rPr>
                <w:rFonts w:ascii="Georgia" w:hAnsi="Georgia" w:cs="Times New Roman"/>
                <w:i/>
                <w:iCs/>
                <w:sz w:val="24"/>
                <w:szCs w:val="24"/>
              </w:rPr>
              <w:t xml:space="preserve"> </w:t>
            </w:r>
            <w:proofErr w:type="spellStart"/>
            <w:r w:rsidRPr="00BF60A1">
              <w:rPr>
                <w:rFonts w:ascii="Georgia" w:hAnsi="Georgia" w:cs="Times New Roman"/>
                <w:i/>
                <w:iCs/>
                <w:sz w:val="24"/>
                <w:szCs w:val="24"/>
              </w:rPr>
              <w:t>formosa</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5307F6E3"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2.2</w:t>
            </w:r>
          </w:p>
        </w:tc>
        <w:tc>
          <w:tcPr>
            <w:tcW w:w="1111" w:type="dxa"/>
            <w:tcBorders>
              <w:top w:val="single" w:sz="4" w:space="0" w:color="auto"/>
              <w:left w:val="single" w:sz="4" w:space="0" w:color="auto"/>
              <w:bottom w:val="single" w:sz="4" w:space="0" w:color="auto"/>
              <w:right w:val="single" w:sz="4" w:space="0" w:color="auto"/>
            </w:tcBorders>
          </w:tcPr>
          <w:p w14:paraId="73974EBC"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81%</w:t>
            </w:r>
          </w:p>
        </w:tc>
        <w:tc>
          <w:tcPr>
            <w:tcW w:w="1570" w:type="dxa"/>
            <w:tcBorders>
              <w:top w:val="single" w:sz="4" w:space="0" w:color="auto"/>
              <w:left w:val="single" w:sz="4" w:space="0" w:color="auto"/>
              <w:bottom w:val="single" w:sz="4" w:space="0" w:color="auto"/>
              <w:right w:val="single" w:sz="4" w:space="0" w:color="auto"/>
            </w:tcBorders>
          </w:tcPr>
          <w:p w14:paraId="0EB46E32"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55%</w:t>
            </w:r>
          </w:p>
        </w:tc>
        <w:tc>
          <w:tcPr>
            <w:tcW w:w="1570" w:type="dxa"/>
            <w:tcBorders>
              <w:top w:val="single" w:sz="4" w:space="0" w:color="auto"/>
              <w:left w:val="single" w:sz="4" w:space="0" w:color="auto"/>
              <w:bottom w:val="single" w:sz="4" w:space="0" w:color="auto"/>
              <w:right w:val="single" w:sz="4" w:space="0" w:color="auto"/>
            </w:tcBorders>
            <w:hideMark/>
          </w:tcPr>
          <w:p w14:paraId="3AF43D38" w14:textId="77777777" w:rsidR="00A734AA" w:rsidRPr="00BF60A1" w:rsidRDefault="00374DDF" w:rsidP="009229CA">
            <w:pPr>
              <w:spacing w:after="0" w:line="240" w:lineRule="auto"/>
              <w:rPr>
                <w:rFonts w:ascii="Georgia" w:hAnsi="Georgia" w:cs="Times New Roman"/>
                <w:sz w:val="24"/>
                <w:szCs w:val="24"/>
              </w:rPr>
            </w:pPr>
            <w:hyperlink r:id="rId8" w:tgtFrame="lnkMK6B6FVU01R" w:tooltip="Show report for XP_016531137.1" w:history="1">
              <w:r w:rsidR="00A734AA" w:rsidRPr="00BF60A1">
                <w:rPr>
                  <w:rStyle w:val="Hyperlink"/>
                  <w:rFonts w:ascii="Georgia" w:hAnsi="Georgia" w:cs="Times New Roman"/>
                  <w:sz w:val="24"/>
                  <w:szCs w:val="24"/>
                </w:rPr>
                <w:t>XP_016531137.1</w:t>
              </w:r>
            </w:hyperlink>
          </w:p>
        </w:tc>
      </w:tr>
      <w:tr w:rsidR="00A734AA" w:rsidRPr="00BF60A1" w14:paraId="0F909858"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375EE127"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t>8</w:t>
            </w:r>
          </w:p>
        </w:tc>
        <w:tc>
          <w:tcPr>
            <w:tcW w:w="1340" w:type="dxa"/>
            <w:tcBorders>
              <w:top w:val="single" w:sz="4" w:space="0" w:color="auto"/>
              <w:left w:val="single" w:sz="4" w:space="0" w:color="auto"/>
              <w:bottom w:val="single" w:sz="4" w:space="0" w:color="auto"/>
              <w:right w:val="single" w:sz="4" w:space="0" w:color="auto"/>
            </w:tcBorders>
            <w:hideMark/>
          </w:tcPr>
          <w:p w14:paraId="4DF05C33"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FAD-dependent oxidoreductase [</w:t>
            </w:r>
            <w:proofErr w:type="spellStart"/>
            <w:r w:rsidRPr="00BF60A1">
              <w:rPr>
                <w:rFonts w:ascii="Georgia" w:hAnsi="Georgia" w:cs="Times New Roman"/>
                <w:i/>
                <w:iCs/>
                <w:sz w:val="24"/>
                <w:szCs w:val="24"/>
              </w:rPr>
              <w:t>Amycolatopsis</w:t>
            </w:r>
            <w:proofErr w:type="spellEnd"/>
            <w:r w:rsidRPr="00BF60A1">
              <w:rPr>
                <w:rFonts w:ascii="Georgia" w:hAnsi="Georgia" w:cs="Times New Roman"/>
                <w:i/>
                <w:iCs/>
                <w:sz w:val="24"/>
                <w:szCs w:val="24"/>
              </w:rPr>
              <w:t xml:space="preserve"> </w:t>
            </w:r>
            <w:proofErr w:type="spellStart"/>
            <w:r w:rsidRPr="00BF60A1">
              <w:rPr>
                <w:rFonts w:ascii="Georgia" w:hAnsi="Georgia" w:cs="Times New Roman"/>
                <w:i/>
                <w:iCs/>
                <w:sz w:val="24"/>
                <w:szCs w:val="24"/>
              </w:rPr>
              <w:t>rubida</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190DF1DD"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4.4</w:t>
            </w:r>
          </w:p>
        </w:tc>
        <w:tc>
          <w:tcPr>
            <w:tcW w:w="1111" w:type="dxa"/>
            <w:tcBorders>
              <w:top w:val="single" w:sz="4" w:space="0" w:color="auto"/>
              <w:left w:val="single" w:sz="4" w:space="0" w:color="auto"/>
              <w:bottom w:val="single" w:sz="4" w:space="0" w:color="auto"/>
              <w:right w:val="single" w:sz="4" w:space="0" w:color="auto"/>
            </w:tcBorders>
          </w:tcPr>
          <w:p w14:paraId="47045CE3"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72%</w:t>
            </w:r>
          </w:p>
        </w:tc>
        <w:tc>
          <w:tcPr>
            <w:tcW w:w="1570" w:type="dxa"/>
            <w:tcBorders>
              <w:top w:val="single" w:sz="4" w:space="0" w:color="auto"/>
              <w:left w:val="single" w:sz="4" w:space="0" w:color="auto"/>
              <w:bottom w:val="single" w:sz="4" w:space="0" w:color="auto"/>
              <w:right w:val="single" w:sz="4" w:space="0" w:color="auto"/>
            </w:tcBorders>
          </w:tcPr>
          <w:p w14:paraId="0D6C53C0"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53%</w:t>
            </w:r>
          </w:p>
        </w:tc>
        <w:tc>
          <w:tcPr>
            <w:tcW w:w="1570" w:type="dxa"/>
            <w:tcBorders>
              <w:top w:val="single" w:sz="4" w:space="0" w:color="auto"/>
              <w:left w:val="single" w:sz="4" w:space="0" w:color="auto"/>
              <w:bottom w:val="single" w:sz="4" w:space="0" w:color="auto"/>
              <w:right w:val="single" w:sz="4" w:space="0" w:color="auto"/>
            </w:tcBorders>
            <w:hideMark/>
          </w:tcPr>
          <w:p w14:paraId="0FD593B7" w14:textId="77777777" w:rsidR="00A734AA" w:rsidRPr="00BF60A1" w:rsidRDefault="00374DDF" w:rsidP="009229CA">
            <w:pPr>
              <w:spacing w:after="0" w:line="240" w:lineRule="auto"/>
              <w:rPr>
                <w:rFonts w:ascii="Georgia" w:hAnsi="Georgia" w:cs="Times New Roman"/>
                <w:sz w:val="24"/>
                <w:szCs w:val="24"/>
              </w:rPr>
            </w:pPr>
            <w:hyperlink r:id="rId9" w:tgtFrame="lnkMK6E2MJS014" w:tooltip="Show report for WP_093572896.1" w:history="1">
              <w:r w:rsidR="00A734AA" w:rsidRPr="00BF60A1">
                <w:rPr>
                  <w:rStyle w:val="Hyperlink"/>
                  <w:rFonts w:ascii="Georgia" w:hAnsi="Georgia" w:cs="Times New Roman"/>
                  <w:sz w:val="24"/>
                  <w:szCs w:val="24"/>
                </w:rPr>
                <w:t>WP_093572896.1</w:t>
              </w:r>
            </w:hyperlink>
          </w:p>
        </w:tc>
      </w:tr>
      <w:tr w:rsidR="00A734AA" w:rsidRPr="00BF60A1" w14:paraId="782590BC"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393118AC"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t>9</w:t>
            </w:r>
          </w:p>
        </w:tc>
        <w:tc>
          <w:tcPr>
            <w:tcW w:w="1340" w:type="dxa"/>
            <w:tcBorders>
              <w:top w:val="single" w:sz="4" w:space="0" w:color="auto"/>
              <w:left w:val="single" w:sz="4" w:space="0" w:color="auto"/>
              <w:bottom w:val="single" w:sz="4" w:space="0" w:color="auto"/>
              <w:right w:val="single" w:sz="4" w:space="0" w:color="auto"/>
            </w:tcBorders>
            <w:hideMark/>
          </w:tcPr>
          <w:p w14:paraId="2B8C5ADF"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enterochelin esterase [</w:t>
            </w:r>
            <w:proofErr w:type="spellStart"/>
            <w:r w:rsidRPr="00BF60A1">
              <w:rPr>
                <w:rFonts w:ascii="Georgia" w:hAnsi="Georgia" w:cs="Times New Roman"/>
                <w:i/>
                <w:iCs/>
                <w:sz w:val="24"/>
                <w:szCs w:val="24"/>
              </w:rPr>
              <w:t>Marinomonas</w:t>
            </w:r>
            <w:proofErr w:type="spellEnd"/>
            <w:r w:rsidRPr="00BF60A1">
              <w:rPr>
                <w:rFonts w:ascii="Georgia" w:hAnsi="Georgia" w:cs="Times New Roman"/>
                <w:i/>
                <w:iCs/>
                <w:sz w:val="24"/>
                <w:szCs w:val="24"/>
              </w:rPr>
              <w:t xml:space="preserve"> </w:t>
            </w:r>
            <w:proofErr w:type="spellStart"/>
            <w:r w:rsidRPr="00BF60A1">
              <w:rPr>
                <w:rFonts w:ascii="Georgia" w:hAnsi="Georgia" w:cs="Times New Roman"/>
                <w:i/>
                <w:iCs/>
                <w:sz w:val="24"/>
                <w:szCs w:val="24"/>
              </w:rPr>
              <w:t>mediterranea</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4286F56D"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2.2</w:t>
            </w:r>
          </w:p>
        </w:tc>
        <w:tc>
          <w:tcPr>
            <w:tcW w:w="1111" w:type="dxa"/>
            <w:tcBorders>
              <w:top w:val="single" w:sz="4" w:space="0" w:color="auto"/>
              <w:left w:val="single" w:sz="4" w:space="0" w:color="auto"/>
              <w:bottom w:val="single" w:sz="4" w:space="0" w:color="auto"/>
              <w:right w:val="single" w:sz="4" w:space="0" w:color="auto"/>
            </w:tcBorders>
          </w:tcPr>
          <w:p w14:paraId="4E823D53"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81%</w:t>
            </w:r>
          </w:p>
        </w:tc>
        <w:tc>
          <w:tcPr>
            <w:tcW w:w="1570" w:type="dxa"/>
            <w:tcBorders>
              <w:top w:val="single" w:sz="4" w:space="0" w:color="auto"/>
              <w:left w:val="single" w:sz="4" w:space="0" w:color="auto"/>
              <w:bottom w:val="single" w:sz="4" w:space="0" w:color="auto"/>
              <w:right w:val="single" w:sz="4" w:space="0" w:color="auto"/>
            </w:tcBorders>
          </w:tcPr>
          <w:p w14:paraId="7577741D"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44%</w:t>
            </w:r>
          </w:p>
        </w:tc>
        <w:tc>
          <w:tcPr>
            <w:tcW w:w="1570" w:type="dxa"/>
            <w:tcBorders>
              <w:top w:val="single" w:sz="4" w:space="0" w:color="auto"/>
              <w:left w:val="single" w:sz="4" w:space="0" w:color="auto"/>
              <w:bottom w:val="single" w:sz="4" w:space="0" w:color="auto"/>
              <w:right w:val="single" w:sz="4" w:space="0" w:color="auto"/>
            </w:tcBorders>
            <w:hideMark/>
          </w:tcPr>
          <w:p w14:paraId="02AE6A02" w14:textId="77777777" w:rsidR="00A734AA" w:rsidRPr="00BF60A1" w:rsidRDefault="00374DDF" w:rsidP="009229CA">
            <w:pPr>
              <w:spacing w:after="0" w:line="240" w:lineRule="auto"/>
              <w:rPr>
                <w:rFonts w:ascii="Georgia" w:hAnsi="Georgia" w:cs="Times New Roman"/>
                <w:sz w:val="24"/>
                <w:szCs w:val="24"/>
              </w:rPr>
            </w:pPr>
            <w:hyperlink r:id="rId10" w:tgtFrame="lnkMK6EY42Y014" w:tooltip="Show report for WP_013660532.1" w:history="1">
              <w:r w:rsidR="00A734AA" w:rsidRPr="00BF60A1">
                <w:rPr>
                  <w:rStyle w:val="Hyperlink"/>
                  <w:rFonts w:ascii="Georgia" w:hAnsi="Georgia" w:cs="Times New Roman"/>
                  <w:sz w:val="24"/>
                  <w:szCs w:val="24"/>
                </w:rPr>
                <w:t>WP_013660532.1</w:t>
              </w:r>
            </w:hyperlink>
          </w:p>
        </w:tc>
      </w:tr>
      <w:tr w:rsidR="00A734AA" w:rsidRPr="00BF60A1" w14:paraId="331B71F0"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542E7D7A"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t>10</w:t>
            </w:r>
          </w:p>
        </w:tc>
        <w:tc>
          <w:tcPr>
            <w:tcW w:w="1340" w:type="dxa"/>
            <w:tcBorders>
              <w:top w:val="single" w:sz="4" w:space="0" w:color="auto"/>
              <w:left w:val="single" w:sz="4" w:space="0" w:color="auto"/>
              <w:bottom w:val="single" w:sz="4" w:space="0" w:color="auto"/>
              <w:right w:val="single" w:sz="4" w:space="0" w:color="auto"/>
            </w:tcBorders>
            <w:hideMark/>
          </w:tcPr>
          <w:p w14:paraId="16908192"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ABC transporter, integral membrane type 1 [</w:t>
            </w:r>
            <w:r w:rsidRPr="00BF60A1">
              <w:rPr>
                <w:rFonts w:ascii="Georgia" w:hAnsi="Georgia" w:cs="Times New Roman"/>
                <w:i/>
                <w:iCs/>
                <w:sz w:val="24"/>
                <w:szCs w:val="24"/>
              </w:rPr>
              <w:t xml:space="preserve">Penicillium </w:t>
            </w:r>
            <w:proofErr w:type="spellStart"/>
            <w:r w:rsidRPr="00BF60A1">
              <w:rPr>
                <w:rFonts w:ascii="Georgia" w:hAnsi="Georgia" w:cs="Times New Roman"/>
                <w:i/>
                <w:iCs/>
                <w:sz w:val="24"/>
                <w:szCs w:val="24"/>
              </w:rPr>
              <w:t>occitanis</w:t>
            </w:r>
            <w:proofErr w:type="spellEnd"/>
            <w:r w:rsidRPr="00BF60A1">
              <w:rPr>
                <w:rFonts w:ascii="Georgia" w:hAnsi="Georgia"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14:paraId="40C7861F"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1.6</w:t>
            </w:r>
          </w:p>
        </w:tc>
        <w:tc>
          <w:tcPr>
            <w:tcW w:w="1111" w:type="dxa"/>
            <w:tcBorders>
              <w:top w:val="single" w:sz="4" w:space="0" w:color="auto"/>
              <w:left w:val="single" w:sz="4" w:space="0" w:color="auto"/>
              <w:bottom w:val="single" w:sz="4" w:space="0" w:color="auto"/>
              <w:right w:val="single" w:sz="4" w:space="0" w:color="auto"/>
            </w:tcBorders>
          </w:tcPr>
          <w:p w14:paraId="41712310"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93%</w:t>
            </w:r>
          </w:p>
        </w:tc>
        <w:tc>
          <w:tcPr>
            <w:tcW w:w="1570" w:type="dxa"/>
            <w:tcBorders>
              <w:top w:val="single" w:sz="4" w:space="0" w:color="auto"/>
              <w:left w:val="single" w:sz="4" w:space="0" w:color="auto"/>
              <w:bottom w:val="single" w:sz="4" w:space="0" w:color="auto"/>
              <w:right w:val="single" w:sz="4" w:space="0" w:color="auto"/>
            </w:tcBorders>
          </w:tcPr>
          <w:p w14:paraId="2C5AE173"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65%</w:t>
            </w:r>
          </w:p>
        </w:tc>
        <w:tc>
          <w:tcPr>
            <w:tcW w:w="1570" w:type="dxa"/>
            <w:tcBorders>
              <w:top w:val="single" w:sz="4" w:space="0" w:color="auto"/>
              <w:left w:val="single" w:sz="4" w:space="0" w:color="auto"/>
              <w:bottom w:val="single" w:sz="4" w:space="0" w:color="auto"/>
              <w:right w:val="single" w:sz="4" w:space="0" w:color="auto"/>
            </w:tcBorders>
            <w:hideMark/>
          </w:tcPr>
          <w:p w14:paraId="3587BAF1" w14:textId="77777777" w:rsidR="00A734AA" w:rsidRPr="00BF60A1" w:rsidRDefault="00374DDF" w:rsidP="009229CA">
            <w:pPr>
              <w:spacing w:after="0" w:line="240" w:lineRule="auto"/>
              <w:rPr>
                <w:rFonts w:ascii="Georgia" w:hAnsi="Georgia" w:cs="Times New Roman"/>
                <w:sz w:val="24"/>
                <w:szCs w:val="24"/>
              </w:rPr>
            </w:pPr>
            <w:hyperlink r:id="rId11" w:tgtFrame="lnkMK6FJJ24015" w:tooltip="Show report for PCH08546.1" w:history="1">
              <w:r w:rsidR="00A734AA" w:rsidRPr="00BF60A1">
                <w:rPr>
                  <w:rStyle w:val="Hyperlink"/>
                  <w:rFonts w:ascii="Georgia" w:hAnsi="Georgia" w:cs="Times New Roman"/>
                  <w:sz w:val="24"/>
                  <w:szCs w:val="24"/>
                </w:rPr>
                <w:t>PCH08546.1</w:t>
              </w:r>
            </w:hyperlink>
          </w:p>
        </w:tc>
      </w:tr>
      <w:tr w:rsidR="00A734AA" w:rsidRPr="00BF60A1" w14:paraId="7DBA31E0" w14:textId="77777777" w:rsidTr="009229CA">
        <w:tc>
          <w:tcPr>
            <w:tcW w:w="1705" w:type="dxa"/>
            <w:tcBorders>
              <w:top w:val="single" w:sz="4" w:space="0" w:color="auto"/>
              <w:left w:val="single" w:sz="4" w:space="0" w:color="auto"/>
              <w:bottom w:val="single" w:sz="4" w:space="0" w:color="auto"/>
              <w:right w:val="single" w:sz="4" w:space="0" w:color="auto"/>
            </w:tcBorders>
            <w:hideMark/>
          </w:tcPr>
          <w:p w14:paraId="3EEEDB7B" w14:textId="77777777" w:rsidR="00A734AA" w:rsidRPr="00BF60A1" w:rsidRDefault="00A734AA" w:rsidP="009229CA">
            <w:pPr>
              <w:spacing w:after="0" w:line="240" w:lineRule="auto"/>
              <w:rPr>
                <w:rFonts w:ascii="Georgia" w:hAnsi="Georgia" w:cs="Times New Roman"/>
                <w:sz w:val="24"/>
                <w:szCs w:val="24"/>
              </w:rPr>
            </w:pPr>
            <w:r w:rsidRPr="00BF60A1">
              <w:rPr>
                <w:rFonts w:ascii="Georgia" w:eastAsia="Times New Roman" w:hAnsi="Georgia" w:cs="Times New Roman"/>
                <w:sz w:val="24"/>
                <w:szCs w:val="24"/>
              </w:rPr>
              <w:lastRenderedPageBreak/>
              <w:t>11</w:t>
            </w:r>
          </w:p>
        </w:tc>
        <w:tc>
          <w:tcPr>
            <w:tcW w:w="1340" w:type="dxa"/>
            <w:tcBorders>
              <w:top w:val="single" w:sz="4" w:space="0" w:color="auto"/>
              <w:left w:val="single" w:sz="4" w:space="0" w:color="auto"/>
              <w:bottom w:val="single" w:sz="4" w:space="0" w:color="auto"/>
              <w:right w:val="single" w:sz="4" w:space="0" w:color="auto"/>
            </w:tcBorders>
            <w:hideMark/>
          </w:tcPr>
          <w:p w14:paraId="6C66C89C" w14:textId="77777777" w:rsidR="00A734AA" w:rsidRPr="00BF60A1" w:rsidRDefault="00A734AA" w:rsidP="009229CA">
            <w:pPr>
              <w:spacing w:after="0" w:line="240" w:lineRule="auto"/>
              <w:rPr>
                <w:rFonts w:ascii="Georgia" w:hAnsi="Georgia" w:cs="Times New Roman"/>
                <w:sz w:val="24"/>
                <w:szCs w:val="24"/>
              </w:rPr>
            </w:pPr>
            <w:proofErr w:type="spellStart"/>
            <w:r w:rsidRPr="00BF60A1">
              <w:rPr>
                <w:rFonts w:ascii="Georgia" w:hAnsi="Georgia" w:cs="Times New Roman"/>
                <w:sz w:val="24"/>
                <w:szCs w:val="24"/>
                <w:lang w:val="it-IT"/>
              </w:rPr>
              <w:t>structural</w:t>
            </w:r>
            <w:proofErr w:type="spellEnd"/>
            <w:r w:rsidRPr="00BF60A1">
              <w:rPr>
                <w:rFonts w:ascii="Georgia" w:hAnsi="Georgia" w:cs="Times New Roman"/>
                <w:sz w:val="24"/>
                <w:szCs w:val="24"/>
                <w:lang w:val="it-IT"/>
              </w:rPr>
              <w:t xml:space="preserve"> </w:t>
            </w:r>
            <w:proofErr w:type="spellStart"/>
            <w:r w:rsidRPr="00BF60A1">
              <w:rPr>
                <w:rFonts w:ascii="Georgia" w:hAnsi="Georgia" w:cs="Times New Roman"/>
                <w:sz w:val="24"/>
                <w:szCs w:val="24"/>
                <w:lang w:val="it-IT"/>
              </w:rPr>
              <w:t>protein</w:t>
            </w:r>
            <w:proofErr w:type="spellEnd"/>
            <w:r w:rsidRPr="00BF60A1">
              <w:rPr>
                <w:rFonts w:ascii="Georgia" w:hAnsi="Georgia" w:cs="Times New Roman"/>
                <w:sz w:val="24"/>
                <w:szCs w:val="24"/>
                <w:lang w:val="it-IT"/>
              </w:rPr>
              <w:t xml:space="preserve"> [</w:t>
            </w:r>
            <w:r w:rsidRPr="00BF60A1">
              <w:rPr>
                <w:rFonts w:ascii="Georgia" w:hAnsi="Georgia" w:cs="Times New Roman"/>
                <w:i/>
                <w:iCs/>
                <w:sz w:val="24"/>
                <w:szCs w:val="24"/>
                <w:lang w:val="it-IT"/>
              </w:rPr>
              <w:t>Escherichia virus M13</w:t>
            </w:r>
            <w:r w:rsidRPr="00BF60A1">
              <w:rPr>
                <w:rFonts w:ascii="Georgia" w:hAnsi="Georgia" w:cs="Times New Roman"/>
                <w:sz w:val="24"/>
                <w:szCs w:val="24"/>
                <w:lang w:val="it-IT"/>
              </w:rPr>
              <w:t>]</w:t>
            </w:r>
          </w:p>
        </w:tc>
        <w:tc>
          <w:tcPr>
            <w:tcW w:w="1344" w:type="dxa"/>
            <w:tcBorders>
              <w:top w:val="single" w:sz="4" w:space="0" w:color="auto"/>
              <w:left w:val="single" w:sz="4" w:space="0" w:color="auto"/>
              <w:bottom w:val="single" w:sz="4" w:space="0" w:color="auto"/>
              <w:right w:val="single" w:sz="4" w:space="0" w:color="auto"/>
            </w:tcBorders>
            <w:hideMark/>
          </w:tcPr>
          <w:p w14:paraId="3E2AFB16"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3e-07</w:t>
            </w:r>
          </w:p>
        </w:tc>
        <w:tc>
          <w:tcPr>
            <w:tcW w:w="1111" w:type="dxa"/>
            <w:tcBorders>
              <w:top w:val="single" w:sz="4" w:space="0" w:color="auto"/>
              <w:left w:val="single" w:sz="4" w:space="0" w:color="auto"/>
              <w:bottom w:val="single" w:sz="4" w:space="0" w:color="auto"/>
              <w:right w:val="single" w:sz="4" w:space="0" w:color="auto"/>
            </w:tcBorders>
          </w:tcPr>
          <w:p w14:paraId="11EF62EC"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100%</w:t>
            </w:r>
          </w:p>
        </w:tc>
        <w:tc>
          <w:tcPr>
            <w:tcW w:w="1570" w:type="dxa"/>
            <w:tcBorders>
              <w:top w:val="single" w:sz="4" w:space="0" w:color="auto"/>
              <w:left w:val="single" w:sz="4" w:space="0" w:color="auto"/>
              <w:bottom w:val="single" w:sz="4" w:space="0" w:color="auto"/>
              <w:right w:val="single" w:sz="4" w:space="0" w:color="auto"/>
            </w:tcBorders>
          </w:tcPr>
          <w:p w14:paraId="27B2A8BD" w14:textId="77777777" w:rsidR="00A734AA" w:rsidRPr="00BF60A1" w:rsidRDefault="00A734AA" w:rsidP="009229CA">
            <w:pPr>
              <w:spacing w:after="0" w:line="240" w:lineRule="auto"/>
              <w:rPr>
                <w:rFonts w:ascii="Georgia" w:hAnsi="Georgia" w:cs="Times New Roman"/>
                <w:sz w:val="24"/>
                <w:szCs w:val="24"/>
              </w:rPr>
            </w:pPr>
            <w:r w:rsidRPr="00BF60A1">
              <w:rPr>
                <w:rFonts w:ascii="Georgia" w:hAnsi="Georgia" w:cs="Times New Roman"/>
                <w:sz w:val="24"/>
                <w:szCs w:val="24"/>
              </w:rPr>
              <w:t>100%</w:t>
            </w:r>
          </w:p>
        </w:tc>
        <w:tc>
          <w:tcPr>
            <w:tcW w:w="1570" w:type="dxa"/>
            <w:tcBorders>
              <w:top w:val="single" w:sz="4" w:space="0" w:color="auto"/>
              <w:left w:val="single" w:sz="4" w:space="0" w:color="auto"/>
              <w:bottom w:val="single" w:sz="4" w:space="0" w:color="auto"/>
              <w:right w:val="single" w:sz="4" w:space="0" w:color="auto"/>
            </w:tcBorders>
            <w:hideMark/>
          </w:tcPr>
          <w:p w14:paraId="0C002C8F" w14:textId="77777777" w:rsidR="00A734AA" w:rsidRPr="00BF60A1" w:rsidRDefault="00374DDF" w:rsidP="009229CA">
            <w:pPr>
              <w:spacing w:after="0" w:line="240" w:lineRule="auto"/>
              <w:rPr>
                <w:rFonts w:ascii="Georgia" w:hAnsi="Georgia" w:cs="Times New Roman"/>
                <w:sz w:val="24"/>
                <w:szCs w:val="24"/>
              </w:rPr>
            </w:pPr>
            <w:hyperlink r:id="rId12" w:tgtFrame="lnkMK6G5V3S014" w:tooltip="Show report for NP_510890.1" w:history="1">
              <w:r w:rsidR="00A734AA" w:rsidRPr="00BF60A1">
                <w:rPr>
                  <w:rStyle w:val="Hyperlink"/>
                  <w:rFonts w:ascii="Georgia" w:hAnsi="Georgia" w:cs="Times New Roman"/>
                  <w:sz w:val="24"/>
                  <w:szCs w:val="24"/>
                </w:rPr>
                <w:t>NP_510890.1</w:t>
              </w:r>
            </w:hyperlink>
          </w:p>
        </w:tc>
      </w:tr>
    </w:tbl>
    <w:bookmarkEnd w:id="4"/>
    <w:p w14:paraId="6B186CF6" w14:textId="4ABBEC72" w:rsidR="00A734AA" w:rsidRDefault="00A734AA" w:rsidP="00A734AA">
      <w:pPr>
        <w:spacing w:after="0" w:line="240" w:lineRule="auto"/>
        <w:rPr>
          <w:rFonts w:ascii="Georgia" w:hAnsi="Georgia" w:cs="Times New Roman"/>
          <w:sz w:val="24"/>
          <w:szCs w:val="24"/>
        </w:rPr>
      </w:pPr>
      <w:r w:rsidRPr="00BF60A1">
        <w:rPr>
          <w:rFonts w:ascii="Georgia" w:eastAsia="Calibri" w:hAnsi="Georgia" w:cs="Times New Roman"/>
          <w:sz w:val="24"/>
          <w:szCs w:val="24"/>
        </w:rPr>
        <w:t xml:space="preserve">A cutoff E-value of 8 was used. </w:t>
      </w:r>
      <w:r w:rsidRPr="00BF60A1">
        <w:rPr>
          <w:rFonts w:ascii="Georgia" w:hAnsi="Georgia" w:cs="Times New Roman"/>
          <w:sz w:val="24"/>
          <w:szCs w:val="24"/>
        </w:rPr>
        <w:t xml:space="preserve">The strongest alignment is a perfect match between </w:t>
      </w:r>
      <w:r w:rsidRPr="00BF60A1">
        <w:rPr>
          <w:rFonts w:ascii="Georgia" w:eastAsia="Calibri" w:hAnsi="Georgia" w:cs="Times New Roman"/>
          <w:sz w:val="24"/>
          <w:szCs w:val="24"/>
        </w:rPr>
        <w:t xml:space="preserve">phage peptide #11 </w:t>
      </w:r>
      <w:r w:rsidRPr="00BF60A1">
        <w:rPr>
          <w:rFonts w:ascii="Georgia" w:hAnsi="Georgia" w:cs="Times New Roman"/>
          <w:sz w:val="24"/>
          <w:szCs w:val="24"/>
        </w:rPr>
        <w:t xml:space="preserve">and a structural protein of </w:t>
      </w:r>
      <w:r w:rsidRPr="00BF60A1">
        <w:rPr>
          <w:rFonts w:ascii="Georgia" w:hAnsi="Georgia" w:cs="Times New Roman"/>
          <w:i/>
          <w:iCs/>
          <w:sz w:val="24"/>
          <w:szCs w:val="24"/>
        </w:rPr>
        <w:t>Escherichia</w:t>
      </w:r>
      <w:r w:rsidRPr="00BF60A1">
        <w:rPr>
          <w:rFonts w:ascii="Georgia" w:hAnsi="Georgia" w:cs="Times New Roman"/>
          <w:sz w:val="24"/>
          <w:szCs w:val="24"/>
        </w:rPr>
        <w:t xml:space="preserve"> virus M13, a suspected false positive.</w:t>
      </w:r>
    </w:p>
    <w:p w14:paraId="266A9C32" w14:textId="62F6E847" w:rsidR="00374DDF" w:rsidRDefault="00374DDF" w:rsidP="00A734AA">
      <w:pPr>
        <w:spacing w:after="0" w:line="240" w:lineRule="auto"/>
        <w:rPr>
          <w:rFonts w:ascii="Georgia" w:hAnsi="Georgia" w:cs="Times New Roman"/>
          <w:sz w:val="24"/>
          <w:szCs w:val="24"/>
        </w:rPr>
      </w:pPr>
    </w:p>
    <w:p w14:paraId="3539DBE3" w14:textId="77777777" w:rsidR="00374DDF" w:rsidRPr="00BF60A1" w:rsidRDefault="00374DDF" w:rsidP="00A734AA">
      <w:pPr>
        <w:spacing w:after="0" w:line="240" w:lineRule="auto"/>
        <w:rPr>
          <w:rStyle w:val="Heading3Char"/>
          <w:rFonts w:ascii="Georgia" w:eastAsia="Calibri" w:hAnsi="Georgia" w:cs="Times New Roman"/>
          <w:color w:val="auto"/>
        </w:rPr>
      </w:pPr>
    </w:p>
    <w:p w14:paraId="23190CAF" w14:textId="6AB0F59C" w:rsidR="00A734AA" w:rsidRPr="00BF60A1" w:rsidRDefault="00EB0334" w:rsidP="00A734AA">
      <w:pPr>
        <w:spacing w:after="0" w:line="480" w:lineRule="auto"/>
        <w:rPr>
          <w:rStyle w:val="Heading3Char"/>
          <w:rFonts w:ascii="Georgia" w:eastAsiaTheme="minorHAnsi" w:hAnsi="Georgia" w:cs="Times New Roman"/>
          <w:b/>
          <w:bCs/>
          <w:color w:val="auto"/>
        </w:rPr>
      </w:pPr>
      <w:r w:rsidRPr="00172FA3">
        <w:rPr>
          <w:rFonts w:ascii="Georgia" w:hAnsi="Georgia" w:cs="Times New Roman"/>
          <w:noProof/>
          <w:sz w:val="24"/>
          <w:szCs w:val="24"/>
        </w:rPr>
        <w:drawing>
          <wp:inline distT="0" distB="0" distL="0" distR="0" wp14:anchorId="21CB4AE0" wp14:editId="2D75C951">
            <wp:extent cx="5486400" cy="3364992"/>
            <wp:effectExtent l="0" t="0" r="0" b="6985"/>
            <wp:docPr id="13" name="Picture 1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indoo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64992"/>
                    </a:xfrm>
                    <a:prstGeom prst="rect">
                      <a:avLst/>
                    </a:prstGeom>
                    <a:noFill/>
                  </pic:spPr>
                </pic:pic>
              </a:graphicData>
            </a:graphic>
          </wp:inline>
        </w:drawing>
      </w:r>
    </w:p>
    <w:p w14:paraId="13085E08" w14:textId="77777777" w:rsidR="00A734AA" w:rsidRPr="00BF60A1" w:rsidRDefault="00A734AA" w:rsidP="00A734AA">
      <w:pPr>
        <w:pStyle w:val="Heading2"/>
        <w:rPr>
          <w:rFonts w:ascii="Georgia" w:hAnsi="Georgia"/>
          <w:b/>
          <w:bCs/>
          <w:color w:val="auto"/>
          <w:sz w:val="24"/>
          <w:szCs w:val="24"/>
        </w:rPr>
      </w:pPr>
      <w:bookmarkStart w:id="6" w:name="_Toc76236127"/>
      <w:bookmarkStart w:id="7" w:name="_Toc76673620"/>
      <w:r w:rsidRPr="00BF60A1">
        <w:rPr>
          <w:rFonts w:ascii="Georgia" w:hAnsi="Georgia"/>
          <w:b/>
          <w:bCs/>
          <w:color w:val="auto"/>
          <w:sz w:val="24"/>
          <w:szCs w:val="24"/>
        </w:rPr>
        <w:t>Figure S3. Dot blotting of 32 synthesized peptides with RAD51A1 on nitrocellulose.</w:t>
      </w:r>
    </w:p>
    <w:p w14:paraId="430C252F" w14:textId="77777777" w:rsidR="00A734AA" w:rsidRDefault="00A734AA" w:rsidP="00A734AA">
      <w:pPr>
        <w:spacing w:line="480" w:lineRule="auto"/>
        <w:rPr>
          <w:rFonts w:ascii="Georgia" w:hAnsi="Georgia"/>
          <w:sz w:val="24"/>
          <w:szCs w:val="24"/>
        </w:rPr>
      </w:pPr>
      <w:r w:rsidRPr="00BF60A1">
        <w:rPr>
          <w:rFonts w:ascii="Georgia" w:hAnsi="Georgia"/>
          <w:b/>
          <w:bCs/>
          <w:sz w:val="24"/>
          <w:szCs w:val="24"/>
        </w:rPr>
        <w:t xml:space="preserve"> </w:t>
      </w:r>
      <w:r w:rsidRPr="00BF60A1">
        <w:rPr>
          <w:rFonts w:ascii="Georgia" w:hAnsi="Georgia"/>
          <w:sz w:val="24"/>
          <w:szCs w:val="24"/>
        </w:rPr>
        <w:t>Amino acid sequences of all 32 peptides are listed in Table 3. Some peptides were blotted twice. Peptides 1, 2, 3, 7, 8, 11, 12, 15, 18, 19, 20, 25, 30, and 31 bound to RAD51A1. These 14 peptides are listed in Table 4</w:t>
      </w:r>
      <w:r w:rsidRPr="00BF60A1">
        <w:rPr>
          <w:rFonts w:ascii="Georgia" w:hAnsi="Georgia"/>
          <w:b/>
          <w:bCs/>
          <w:sz w:val="24"/>
          <w:szCs w:val="24"/>
        </w:rPr>
        <w:t>.</w:t>
      </w:r>
      <w:bookmarkEnd w:id="6"/>
      <w:bookmarkEnd w:id="7"/>
      <w:r w:rsidRPr="00BF60A1">
        <w:rPr>
          <w:rFonts w:ascii="Georgia" w:hAnsi="Georgia"/>
          <w:b/>
          <w:bCs/>
          <w:sz w:val="24"/>
          <w:szCs w:val="24"/>
        </w:rPr>
        <w:t xml:space="preserve"> </w:t>
      </w:r>
      <w:r w:rsidRPr="00BF60A1">
        <w:rPr>
          <w:rFonts w:ascii="Georgia" w:hAnsi="Georgia"/>
          <w:sz w:val="24"/>
          <w:szCs w:val="24"/>
        </w:rPr>
        <w:t xml:space="preserve">Note: Two dot blotting experiments were conducted due to the availability of synthesized peptides, </w:t>
      </w:r>
      <w:proofErr w:type="spellStart"/>
      <w:r w:rsidRPr="00BF60A1">
        <w:rPr>
          <w:rFonts w:ascii="Georgia" w:hAnsi="Georgia"/>
          <w:sz w:val="24"/>
          <w:szCs w:val="24"/>
        </w:rPr>
        <w:t>GenScript</w:t>
      </w:r>
      <w:proofErr w:type="spellEnd"/>
      <w:r w:rsidRPr="00BF60A1">
        <w:rPr>
          <w:rFonts w:ascii="Georgia" w:hAnsi="Georgia"/>
          <w:sz w:val="24"/>
          <w:szCs w:val="24"/>
        </w:rPr>
        <w:t xml:space="preserve"> provided two batches of peptide products. </w:t>
      </w:r>
    </w:p>
    <w:p w14:paraId="16DE7808" w14:textId="77777777" w:rsidR="00CD7BC9" w:rsidRDefault="00CD7BC9"/>
    <w:sectPr w:rsidR="00CD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AA"/>
    <w:rsid w:val="00374DDF"/>
    <w:rsid w:val="00A734AA"/>
    <w:rsid w:val="00CD7BC9"/>
    <w:rsid w:val="00EB0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519F"/>
  <w15:chartTrackingRefBased/>
  <w15:docId w15:val="{11242851-B3E1-4810-A140-55A90249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AA"/>
    <w:rPr>
      <w:rFonts w:eastAsia="SimSun"/>
    </w:rPr>
  </w:style>
  <w:style w:type="paragraph" w:styleId="Heading1">
    <w:name w:val="heading 1"/>
    <w:basedOn w:val="Normal"/>
    <w:next w:val="Normal"/>
    <w:link w:val="Heading1Char"/>
    <w:uiPriority w:val="9"/>
    <w:qFormat/>
    <w:rsid w:val="00A73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4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4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4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4A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7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tein/XP_016531137.1?report=genbank&amp;log$=protalign&amp;blast_rank=1&amp;RID=MK6B6FVU01R"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ncbi.nlm.nih.gov/protein/KYG61739.1?report=genbank&amp;log$=protalign&amp;blast_rank=1&amp;RID=MK6AKJTE01R" TargetMode="External"/><Relationship Id="rId12" Type="http://schemas.openxmlformats.org/officeDocument/2006/relationships/hyperlink" Target="https://www.ncbi.nlm.nih.gov/protein/NP_510890.1?report=genbank&amp;log$=protalign&amp;blast_rank=1&amp;RID=MK6G5V3S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rotein/WP_000045372.1?report=genbank&amp;log$=protalign&amp;blast_rank=3&amp;RID=MK69ECW401R" TargetMode="External"/><Relationship Id="rId11" Type="http://schemas.openxmlformats.org/officeDocument/2006/relationships/hyperlink" Target="https://www.ncbi.nlm.nih.gov/protein/PCH08546.1?report=genbank&amp;log$=protalign&amp;blast_rank=5&amp;RID=MK6FJJ24015"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ncbi.nlm.nih.gov/protein/WP_013660532.1?report=genbank&amp;log$=protalign&amp;blast_rank=1&amp;RID=MK6EY42Y014" TargetMode="External"/><Relationship Id="rId4" Type="http://schemas.openxmlformats.org/officeDocument/2006/relationships/chart" Target="charts/chart1.xml"/><Relationship Id="rId9" Type="http://schemas.openxmlformats.org/officeDocument/2006/relationships/hyperlink" Target="https://www.ncbi.nlm.nih.gov/protein/WP_093572896.1?report=genbank&amp;log$=protalign&amp;blast_rank=2&amp;RID=MK6E2MJS014"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ir\Downloads\ELISA%20and%20protein%20expression%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b="1" i="0">
                <a:solidFill>
                  <a:srgbClr val="757575"/>
                </a:solidFill>
                <a:latin typeface="+mn-lt"/>
              </a:defRPr>
            </a:pPr>
            <a:r>
              <a:rPr lang="en-US" sz="1200" b="1" i="0">
                <a:solidFill>
                  <a:srgbClr val="757575"/>
                </a:solidFill>
                <a:latin typeface="+mn-lt"/>
              </a:rPr>
              <a:t>ELISA screen</a:t>
            </a:r>
            <a:r>
              <a:rPr lang="en-US" sz="1200" b="1" i="0" baseline="0">
                <a:solidFill>
                  <a:srgbClr val="757575"/>
                </a:solidFill>
                <a:latin typeface="+mn-lt"/>
              </a:rPr>
              <a:t> of phages against native and denatured RAD51</a:t>
            </a:r>
            <a:endParaRPr lang="en-US" sz="1200" b="1" i="0">
              <a:solidFill>
                <a:srgbClr val="757575"/>
              </a:solidFill>
              <a:latin typeface="+mn-lt"/>
            </a:endParaRPr>
          </a:p>
        </c:rich>
      </c:tx>
      <c:overlay val="0"/>
    </c:title>
    <c:autoTitleDeleted val="0"/>
    <c:plotArea>
      <c:layout/>
      <c:barChart>
        <c:barDir val="col"/>
        <c:grouping val="clustered"/>
        <c:varyColors val="1"/>
        <c:ser>
          <c:idx val="0"/>
          <c:order val="0"/>
          <c:tx>
            <c:v>Soluble</c:v>
          </c:tx>
          <c:spPr>
            <a:solidFill>
              <a:srgbClr val="4F81BD"/>
            </a:solidFill>
            <a:ln cmpd="sng">
              <a:solidFill>
                <a:srgbClr val="000000"/>
              </a:solidFill>
            </a:ln>
          </c:spPr>
          <c:invertIfNegative val="1"/>
          <c:cat>
            <c:numRef>
              <c:f>Sheet1!$B$2:$B$25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Sheet1!$C$2:$C$25</c:f>
              <c:numCache>
                <c:formatCode>General</c:formatCode>
                <c:ptCount val="24"/>
                <c:pt idx="0">
                  <c:v>0.40860000000000002</c:v>
                </c:pt>
                <c:pt idx="1">
                  <c:v>0.66639999999999999</c:v>
                </c:pt>
                <c:pt idx="2">
                  <c:v>0.28410000000000002</c:v>
                </c:pt>
                <c:pt idx="3">
                  <c:v>0.27089999999999997</c:v>
                </c:pt>
                <c:pt idx="4">
                  <c:v>0.32829999999999998</c:v>
                </c:pt>
                <c:pt idx="5">
                  <c:v>1.3593</c:v>
                </c:pt>
                <c:pt idx="6">
                  <c:v>0.42670000000000002</c:v>
                </c:pt>
                <c:pt idx="7">
                  <c:v>0.89600000000000002</c:v>
                </c:pt>
                <c:pt idx="8">
                  <c:v>0.1231</c:v>
                </c:pt>
                <c:pt idx="9">
                  <c:v>0.15010000000000001</c:v>
                </c:pt>
                <c:pt idx="10">
                  <c:v>0.27039999999999997</c:v>
                </c:pt>
                <c:pt idx="11">
                  <c:v>0.44080000000000003</c:v>
                </c:pt>
                <c:pt idx="12">
                  <c:v>0.1022</c:v>
                </c:pt>
                <c:pt idx="13">
                  <c:v>0.1963</c:v>
                </c:pt>
                <c:pt idx="14">
                  <c:v>0.2462</c:v>
                </c:pt>
                <c:pt idx="15">
                  <c:v>0.15340000000000001</c:v>
                </c:pt>
                <c:pt idx="16">
                  <c:v>0.19239999999999999</c:v>
                </c:pt>
                <c:pt idx="17">
                  <c:v>0.2099</c:v>
                </c:pt>
                <c:pt idx="18">
                  <c:v>0.41289999999999999</c:v>
                </c:pt>
                <c:pt idx="19">
                  <c:v>0.20899999999999999</c:v>
                </c:pt>
                <c:pt idx="20">
                  <c:v>0.30070000000000002</c:v>
                </c:pt>
                <c:pt idx="21">
                  <c:v>0.35959999999999998</c:v>
                </c:pt>
                <c:pt idx="22">
                  <c:v>0.45190000000000002</c:v>
                </c:pt>
                <c:pt idx="23">
                  <c:v>1.1148</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DC3E-459F-9A96-812F355294E1}"/>
            </c:ext>
          </c:extLst>
        </c:ser>
        <c:ser>
          <c:idx val="1"/>
          <c:order val="1"/>
          <c:tx>
            <c:v>Denatured</c:v>
          </c:tx>
          <c:spPr>
            <a:solidFill>
              <a:srgbClr val="C0504D"/>
            </a:solidFill>
            <a:ln cmpd="sng">
              <a:solidFill>
                <a:srgbClr val="000000"/>
              </a:solidFill>
            </a:ln>
          </c:spPr>
          <c:invertIfNegative val="1"/>
          <c:cat>
            <c:numRef>
              <c:f>Sheet1!$B$2:$B$25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Sheet1!$D$2:$D$25</c:f>
              <c:numCache>
                <c:formatCode>General</c:formatCode>
                <c:ptCount val="24"/>
                <c:pt idx="0">
                  <c:v>0.29559999999999997</c:v>
                </c:pt>
                <c:pt idx="1">
                  <c:v>0.48680000000000001</c:v>
                </c:pt>
                <c:pt idx="2">
                  <c:v>0.27379999999999999</c:v>
                </c:pt>
                <c:pt idx="3">
                  <c:v>0.4017</c:v>
                </c:pt>
                <c:pt idx="4">
                  <c:v>0.31280000000000002</c:v>
                </c:pt>
                <c:pt idx="5">
                  <c:v>0.48670000000000002</c:v>
                </c:pt>
                <c:pt idx="6">
                  <c:v>0.33079999999999998</c:v>
                </c:pt>
                <c:pt idx="7">
                  <c:v>0.94969999999999999</c:v>
                </c:pt>
                <c:pt idx="8">
                  <c:v>0.27450000000000002</c:v>
                </c:pt>
                <c:pt idx="9">
                  <c:v>0.31830000000000003</c:v>
                </c:pt>
                <c:pt idx="10">
                  <c:v>0.34499999999999997</c:v>
                </c:pt>
                <c:pt idx="11">
                  <c:v>0.61419999999999997</c:v>
                </c:pt>
                <c:pt idx="12">
                  <c:v>0.28410000000000002</c:v>
                </c:pt>
                <c:pt idx="13">
                  <c:v>0.27900000000000003</c:v>
                </c:pt>
                <c:pt idx="14">
                  <c:v>0.31080000000000002</c:v>
                </c:pt>
                <c:pt idx="15">
                  <c:v>0.20930000000000001</c:v>
                </c:pt>
                <c:pt idx="16">
                  <c:v>0.33889999999999998</c:v>
                </c:pt>
                <c:pt idx="17">
                  <c:v>0.29170000000000001</c:v>
                </c:pt>
                <c:pt idx="18">
                  <c:v>0.26190000000000002</c:v>
                </c:pt>
                <c:pt idx="19">
                  <c:v>0.30969999999999998</c:v>
                </c:pt>
                <c:pt idx="20">
                  <c:v>0.39550000000000002</c:v>
                </c:pt>
                <c:pt idx="21">
                  <c:v>0.4052</c:v>
                </c:pt>
                <c:pt idx="22">
                  <c:v>0.36549999999999999</c:v>
                </c:pt>
                <c:pt idx="23">
                  <c:v>1.109</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1-DC3E-459F-9A96-812F355294E1}"/>
            </c:ext>
          </c:extLst>
        </c:ser>
        <c:ser>
          <c:idx val="2"/>
          <c:order val="2"/>
          <c:tx>
            <c:v>BSA</c:v>
          </c:tx>
          <c:spPr>
            <a:solidFill>
              <a:srgbClr val="9BBB59"/>
            </a:solidFill>
            <a:ln cmpd="sng">
              <a:solidFill>
                <a:srgbClr val="000000"/>
              </a:solidFill>
            </a:ln>
          </c:spPr>
          <c:invertIfNegative val="1"/>
          <c:cat>
            <c:numRef>
              <c:f>Sheet1!$B$2:$B$25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Sheet1!$E$2:$E$25</c:f>
              <c:numCache>
                <c:formatCode>General</c:formatCode>
                <c:ptCount val="24"/>
                <c:pt idx="0">
                  <c:v>0.2356</c:v>
                </c:pt>
                <c:pt idx="1">
                  <c:v>0.63929999999999998</c:v>
                </c:pt>
                <c:pt idx="2">
                  <c:v>0.33679999999999999</c:v>
                </c:pt>
                <c:pt idx="3">
                  <c:v>0.156</c:v>
                </c:pt>
                <c:pt idx="4">
                  <c:v>0.1119</c:v>
                </c:pt>
                <c:pt idx="5">
                  <c:v>0.34200000000000003</c:v>
                </c:pt>
                <c:pt idx="6">
                  <c:v>0.1263</c:v>
                </c:pt>
                <c:pt idx="7">
                  <c:v>0.4864</c:v>
                </c:pt>
                <c:pt idx="8">
                  <c:v>0.13300000000000001</c:v>
                </c:pt>
                <c:pt idx="9">
                  <c:v>0.14130000000000001</c:v>
                </c:pt>
                <c:pt idx="10">
                  <c:v>0.32250000000000001</c:v>
                </c:pt>
                <c:pt idx="11">
                  <c:v>0.4103</c:v>
                </c:pt>
                <c:pt idx="12">
                  <c:v>0.1221</c:v>
                </c:pt>
                <c:pt idx="13">
                  <c:v>0.1095</c:v>
                </c:pt>
                <c:pt idx="14">
                  <c:v>4.5699999999999998E-2</c:v>
                </c:pt>
                <c:pt idx="15">
                  <c:v>9.4799999999999995E-2</c:v>
                </c:pt>
                <c:pt idx="16">
                  <c:v>0.17760000000000001</c:v>
                </c:pt>
                <c:pt idx="17">
                  <c:v>0.17510000000000001</c:v>
                </c:pt>
                <c:pt idx="18">
                  <c:v>5.21E-2</c:v>
                </c:pt>
                <c:pt idx="19">
                  <c:v>9.1499999999999998E-2</c:v>
                </c:pt>
                <c:pt idx="20">
                  <c:v>0.1386</c:v>
                </c:pt>
                <c:pt idx="21">
                  <c:v>0.1893</c:v>
                </c:pt>
                <c:pt idx="22">
                  <c:v>0.2261</c:v>
                </c:pt>
                <c:pt idx="23">
                  <c:v>1.0821000000000001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2-DC3E-459F-9A96-812F355294E1}"/>
            </c:ext>
          </c:extLst>
        </c:ser>
        <c:dLbls>
          <c:showLegendKey val="0"/>
          <c:showVal val="0"/>
          <c:showCatName val="0"/>
          <c:showSerName val="0"/>
          <c:showPercent val="0"/>
          <c:showBubbleSize val="0"/>
        </c:dLbls>
        <c:gapWidth val="150"/>
        <c:axId val="370753898"/>
        <c:axId val="1445702625"/>
      </c:barChart>
      <c:catAx>
        <c:axId val="370753898"/>
        <c:scaling>
          <c:orientation val="minMax"/>
        </c:scaling>
        <c:delete val="0"/>
        <c:axPos val="b"/>
        <c:title>
          <c:tx>
            <c:rich>
              <a:bodyPr/>
              <a:lstStyle/>
              <a:p>
                <a:pPr lvl="0">
                  <a:defRPr b="1" i="0">
                    <a:solidFill>
                      <a:srgbClr val="000000"/>
                    </a:solidFill>
                    <a:latin typeface="+mn-lt"/>
                  </a:defRPr>
                </a:pPr>
                <a:r>
                  <a:rPr lang="en-US" b="1" i="0">
                    <a:solidFill>
                      <a:srgbClr val="000000"/>
                    </a:solidFill>
                    <a:latin typeface="+mn-lt"/>
                  </a:rPr>
                  <a:t>Phage colony number</a:t>
                </a:r>
              </a:p>
            </c:rich>
          </c:tx>
          <c:overlay val="0"/>
        </c:title>
        <c:numFmt formatCode="General" sourceLinked="1"/>
        <c:majorTickMark val="out"/>
        <c:minorTickMark val="none"/>
        <c:tickLblPos val="nextTo"/>
        <c:txPr>
          <a:bodyPr/>
          <a:lstStyle/>
          <a:p>
            <a:pPr lvl="0">
              <a:defRPr b="0">
                <a:solidFill>
                  <a:srgbClr val="000000"/>
                </a:solidFill>
                <a:latin typeface="+mn-lt"/>
              </a:defRPr>
            </a:pPr>
            <a:endParaRPr lang="en-US"/>
          </a:p>
        </c:txPr>
        <c:crossAx val="1445702625"/>
        <c:crosses val="autoZero"/>
        <c:auto val="1"/>
        <c:lblAlgn val="ctr"/>
        <c:lblOffset val="100"/>
        <c:noMultiLvlLbl val="1"/>
      </c:catAx>
      <c:valAx>
        <c:axId val="1445702625"/>
        <c:scaling>
          <c:orientation val="minMax"/>
        </c:scaling>
        <c:delete val="0"/>
        <c:axPos val="l"/>
        <c:majorGridlines>
          <c:spPr>
            <a:ln>
              <a:solidFill>
                <a:srgbClr val="B7B7B7"/>
              </a:solidFill>
            </a:ln>
          </c:spPr>
        </c:majorGridlines>
        <c:title>
          <c:tx>
            <c:rich>
              <a:bodyPr/>
              <a:lstStyle/>
              <a:p>
                <a:pPr lvl="0">
                  <a:defRPr b="1" i="0">
                    <a:solidFill>
                      <a:srgbClr val="000000"/>
                    </a:solidFill>
                    <a:latin typeface="+mn-lt"/>
                  </a:defRPr>
                </a:pPr>
                <a:r>
                  <a:rPr lang="en-US" b="1" i="0">
                    <a:solidFill>
                      <a:srgbClr val="000000"/>
                    </a:solidFill>
                    <a:latin typeface="+mn-lt"/>
                  </a:rPr>
                  <a:t>OD</a:t>
                </a:r>
                <a:r>
                  <a:rPr lang="en-US" b="1" i="0" baseline="-25000">
                    <a:solidFill>
                      <a:srgbClr val="000000"/>
                    </a:solidFill>
                    <a:latin typeface="+mn-lt"/>
                  </a:rPr>
                  <a:t>450</a:t>
                </a:r>
              </a:p>
            </c:rich>
          </c:tx>
          <c:overlay val="0"/>
        </c:title>
        <c:numFmt formatCode="General" sourceLinked="1"/>
        <c:majorTickMark val="out"/>
        <c:minorTickMark val="none"/>
        <c:tickLblPos val="nextTo"/>
        <c:spPr>
          <a:ln/>
        </c:spPr>
        <c:txPr>
          <a:bodyPr/>
          <a:lstStyle/>
          <a:p>
            <a:pPr lvl="0">
              <a:defRPr b="0">
                <a:solidFill>
                  <a:srgbClr val="000000"/>
                </a:solidFill>
                <a:latin typeface="+mn-lt"/>
              </a:defRPr>
            </a:pPr>
            <a:endParaRPr lang="en-US"/>
          </a:p>
        </c:txPr>
        <c:crossAx val="370753898"/>
        <c:crosses val="autoZero"/>
        <c:crossBetween val="between"/>
      </c:valAx>
    </c:plotArea>
    <c:legend>
      <c:legendPos val="r"/>
      <c:overlay val="0"/>
      <c:txPr>
        <a:bodyPr/>
        <a:lstStyle/>
        <a:p>
          <a:pPr lvl="0">
            <a:defRPr b="0">
              <a:solidFill>
                <a:srgbClr val="1A1A1A"/>
              </a:solidFill>
              <a:latin typeface="+mn-lt"/>
            </a:defRPr>
          </a:pPr>
          <a:endParaRPr lang="en-US"/>
        </a:p>
      </c:txPr>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Milsted</dc:creator>
  <cp:keywords/>
  <dc:description/>
  <cp:lastModifiedBy>changbin Chen</cp:lastModifiedBy>
  <cp:revision>2</cp:revision>
  <dcterms:created xsi:type="dcterms:W3CDTF">2021-10-27T11:36:00Z</dcterms:created>
  <dcterms:modified xsi:type="dcterms:W3CDTF">2021-10-27T11:36:00Z</dcterms:modified>
</cp:coreProperties>
</file>