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3C45" w14:textId="77777777" w:rsidR="00AE4E73" w:rsidRPr="00AE4E73" w:rsidRDefault="00AE4E73" w:rsidP="00AE4E73">
      <w:pPr>
        <w:tabs>
          <w:tab w:val="left" w:pos="1701"/>
          <w:tab w:val="left" w:pos="9639"/>
        </w:tabs>
        <w:spacing w:after="160" w:line="480" w:lineRule="auto"/>
        <w:ind w:right="119"/>
        <w:jc w:val="both"/>
        <w:rPr>
          <w:b/>
          <w:szCs w:val="24"/>
        </w:rPr>
      </w:pPr>
      <w:r w:rsidRPr="00AE4E73">
        <w:rPr>
          <w:b/>
          <w:szCs w:val="24"/>
        </w:rPr>
        <w:t xml:space="preserve">Title: Longitudinal minimal residual disease assessment in multiple myeloma patients in complete remission – results from the NMSG flow-MRD </w:t>
      </w:r>
      <w:proofErr w:type="spellStart"/>
      <w:r w:rsidRPr="00AE4E73">
        <w:rPr>
          <w:b/>
          <w:szCs w:val="24"/>
        </w:rPr>
        <w:t>substudy</w:t>
      </w:r>
      <w:proofErr w:type="spellEnd"/>
      <w:r w:rsidRPr="00AE4E73">
        <w:rPr>
          <w:b/>
          <w:szCs w:val="24"/>
        </w:rPr>
        <w:t xml:space="preserve"> within the EMN02/HO95 MM trial</w:t>
      </w:r>
    </w:p>
    <w:p w14:paraId="0CCEF42E" w14:textId="7494D633" w:rsidR="008A04A5" w:rsidRPr="00995170" w:rsidRDefault="008A04A5" w:rsidP="008A04A5">
      <w:pPr>
        <w:tabs>
          <w:tab w:val="left" w:pos="1701"/>
          <w:tab w:val="left" w:pos="9639"/>
        </w:tabs>
        <w:spacing w:after="160" w:line="360" w:lineRule="auto"/>
        <w:ind w:right="119"/>
        <w:jc w:val="both"/>
      </w:pPr>
      <w:r w:rsidRPr="00995170">
        <w:t xml:space="preserve">Running head: </w:t>
      </w:r>
      <w:r w:rsidR="00ED38B9" w:rsidRPr="00995170">
        <w:t>Longitudinal flow-MRD Assessment in CR MM Patients</w:t>
      </w:r>
    </w:p>
    <w:p w14:paraId="3FC15049" w14:textId="3626D04B" w:rsidR="005B61B2" w:rsidRPr="00995170" w:rsidRDefault="00406196" w:rsidP="00044ABE">
      <w:pPr>
        <w:tabs>
          <w:tab w:val="left" w:pos="709"/>
          <w:tab w:val="left" w:pos="1701"/>
          <w:tab w:val="left" w:pos="9639"/>
        </w:tabs>
        <w:ind w:right="119"/>
        <w:rPr>
          <w:b/>
          <w:sz w:val="28"/>
        </w:rPr>
      </w:pPr>
      <w:r w:rsidRPr="00995170">
        <w:rPr>
          <w:b/>
          <w:sz w:val="28"/>
        </w:rPr>
        <w:t>---------------------------------------------------------------------------------------------------------------</w:t>
      </w:r>
    </w:p>
    <w:p w14:paraId="381D882B" w14:textId="158A0719" w:rsidR="007D2DAD" w:rsidRPr="00995170" w:rsidRDefault="005B61B2" w:rsidP="00044ABE">
      <w:pPr>
        <w:tabs>
          <w:tab w:val="left" w:pos="709"/>
          <w:tab w:val="left" w:pos="1701"/>
          <w:tab w:val="left" w:pos="9639"/>
        </w:tabs>
        <w:ind w:right="119"/>
        <w:rPr>
          <w:sz w:val="32"/>
        </w:rPr>
      </w:pPr>
      <w:r w:rsidRPr="00995170">
        <w:rPr>
          <w:sz w:val="32"/>
        </w:rPr>
        <w:t>S</w:t>
      </w:r>
      <w:r w:rsidR="007D2DAD" w:rsidRPr="00995170">
        <w:rPr>
          <w:sz w:val="32"/>
        </w:rPr>
        <w:t xml:space="preserve">upplementary </w:t>
      </w:r>
      <w:r w:rsidR="00406196" w:rsidRPr="00995170">
        <w:rPr>
          <w:sz w:val="32"/>
        </w:rPr>
        <w:t>A</w:t>
      </w:r>
      <w:r w:rsidR="007D2DAD" w:rsidRPr="00995170">
        <w:rPr>
          <w:sz w:val="32"/>
        </w:rPr>
        <w:t>ppendix</w:t>
      </w:r>
      <w:r w:rsidR="00F2167A" w:rsidRPr="00995170">
        <w:rPr>
          <w:sz w:val="32"/>
        </w:rPr>
        <w:t>:</w:t>
      </w:r>
    </w:p>
    <w:p w14:paraId="1C305108" w14:textId="77777777" w:rsidR="00406196" w:rsidRPr="00995170" w:rsidRDefault="00406196" w:rsidP="00044ABE">
      <w:pPr>
        <w:tabs>
          <w:tab w:val="left" w:pos="709"/>
          <w:tab w:val="left" w:pos="1701"/>
          <w:tab w:val="left" w:pos="9639"/>
        </w:tabs>
        <w:ind w:right="119"/>
        <w:rPr>
          <w:sz w:val="32"/>
        </w:rPr>
      </w:pPr>
    </w:p>
    <w:p w14:paraId="5FFD988F" w14:textId="36FB1DF5" w:rsidR="007D2DAD" w:rsidRPr="00995170" w:rsidRDefault="00161EC4" w:rsidP="0057124A">
      <w:pPr>
        <w:pStyle w:val="Opstilling-punkttegn"/>
        <w:numPr>
          <w:ilvl w:val="0"/>
          <w:numId w:val="0"/>
        </w:numPr>
        <w:tabs>
          <w:tab w:val="left" w:pos="720"/>
          <w:tab w:val="left" w:pos="1440"/>
          <w:tab w:val="left" w:pos="2160"/>
          <w:tab w:val="left" w:pos="2880"/>
          <w:tab w:val="left" w:pos="3600"/>
          <w:tab w:val="left" w:pos="5918"/>
        </w:tabs>
        <w:spacing w:line="360" w:lineRule="auto"/>
        <w:ind w:left="360" w:hanging="360"/>
        <w:rPr>
          <w:b/>
          <w:iCs/>
          <w:szCs w:val="24"/>
        </w:rPr>
      </w:pPr>
      <w:r w:rsidRPr="00995170">
        <w:rPr>
          <w:b/>
          <w:iCs/>
          <w:szCs w:val="20"/>
        </w:rPr>
        <w:t>1</w:t>
      </w:r>
      <w:r w:rsidR="0095347A" w:rsidRPr="00995170">
        <w:rPr>
          <w:b/>
          <w:i/>
          <w:sz w:val="28"/>
        </w:rPr>
        <w:t xml:space="preserve"> </w:t>
      </w:r>
      <w:r w:rsidR="00E35BA1" w:rsidRPr="00995170">
        <w:rPr>
          <w:b/>
          <w:iCs/>
          <w:sz w:val="28"/>
        </w:rPr>
        <w:tab/>
      </w:r>
      <w:r w:rsidR="00E35BA1" w:rsidRPr="00995170">
        <w:rPr>
          <w:b/>
          <w:iCs/>
          <w:sz w:val="28"/>
        </w:rPr>
        <w:tab/>
      </w:r>
      <w:r w:rsidR="005B61B2" w:rsidRPr="00995170">
        <w:rPr>
          <w:b/>
          <w:iCs/>
          <w:szCs w:val="24"/>
        </w:rPr>
        <w:t>SUPPLEMENTARY MEHODS</w:t>
      </w:r>
      <w:r w:rsidR="002F2D28" w:rsidRPr="00995170">
        <w:rPr>
          <w:b/>
          <w:iCs/>
          <w:szCs w:val="24"/>
        </w:rPr>
        <w:tab/>
      </w:r>
    </w:p>
    <w:p w14:paraId="7C034CE9" w14:textId="2C4029E5" w:rsidR="00E9603C" w:rsidRPr="00995170" w:rsidRDefault="009201E0" w:rsidP="00344901">
      <w:pPr>
        <w:pStyle w:val="Opstilling-punkttegn"/>
        <w:numPr>
          <w:ilvl w:val="0"/>
          <w:numId w:val="0"/>
        </w:numPr>
        <w:tabs>
          <w:tab w:val="left" w:pos="709"/>
        </w:tabs>
        <w:spacing w:line="360" w:lineRule="auto"/>
        <w:ind w:left="1080"/>
        <w:rPr>
          <w:iCs/>
          <w:szCs w:val="24"/>
        </w:rPr>
      </w:pPr>
      <w:r w:rsidRPr="00995170">
        <w:rPr>
          <w:iCs/>
          <w:szCs w:val="24"/>
        </w:rPr>
        <w:t>National and regional s</w:t>
      </w:r>
      <w:r w:rsidR="00E9603C" w:rsidRPr="00995170">
        <w:rPr>
          <w:iCs/>
          <w:szCs w:val="24"/>
        </w:rPr>
        <w:t xml:space="preserve">tudy </w:t>
      </w:r>
      <w:r w:rsidRPr="00995170">
        <w:rPr>
          <w:iCs/>
          <w:szCs w:val="24"/>
        </w:rPr>
        <w:t>a</w:t>
      </w:r>
      <w:r w:rsidR="00E9603C" w:rsidRPr="00995170">
        <w:rPr>
          <w:iCs/>
          <w:szCs w:val="24"/>
        </w:rPr>
        <w:t>pproval</w:t>
      </w:r>
    </w:p>
    <w:p w14:paraId="2D3D30C8" w14:textId="3DF85C8C" w:rsidR="00F409FA" w:rsidRPr="00995170" w:rsidRDefault="00F409FA" w:rsidP="0057124A">
      <w:pPr>
        <w:pStyle w:val="Opstilling-punkttegn"/>
        <w:tabs>
          <w:tab w:val="clear" w:pos="360"/>
          <w:tab w:val="left" w:pos="709"/>
        </w:tabs>
        <w:spacing w:line="360" w:lineRule="auto"/>
        <w:ind w:left="1080"/>
        <w:rPr>
          <w:iCs/>
          <w:szCs w:val="24"/>
        </w:rPr>
      </w:pPr>
      <w:r w:rsidRPr="00995170">
        <w:rPr>
          <w:iCs/>
          <w:szCs w:val="24"/>
        </w:rPr>
        <w:t>Participating sites</w:t>
      </w:r>
      <w:r w:rsidR="00A26C5A" w:rsidRPr="00995170">
        <w:rPr>
          <w:iCs/>
          <w:szCs w:val="24"/>
        </w:rPr>
        <w:t xml:space="preserve"> </w:t>
      </w:r>
    </w:p>
    <w:p w14:paraId="0FD013C7" w14:textId="0B6825FB" w:rsidR="007D2DAD" w:rsidRPr="00995170" w:rsidRDefault="007D2DAD" w:rsidP="0057124A">
      <w:pPr>
        <w:pStyle w:val="Opstilling-punkttegn"/>
        <w:tabs>
          <w:tab w:val="clear" w:pos="360"/>
          <w:tab w:val="left" w:pos="709"/>
        </w:tabs>
        <w:spacing w:line="360" w:lineRule="auto"/>
        <w:ind w:left="1800"/>
        <w:rPr>
          <w:iCs/>
          <w:szCs w:val="24"/>
        </w:rPr>
      </w:pPr>
      <w:r w:rsidRPr="00995170">
        <w:rPr>
          <w:b/>
          <w:bCs/>
          <w:iCs/>
          <w:szCs w:val="24"/>
        </w:rPr>
        <w:t>Table S</w:t>
      </w:r>
      <w:r w:rsidR="007E0A46" w:rsidRPr="00995170">
        <w:rPr>
          <w:b/>
          <w:bCs/>
          <w:iCs/>
          <w:szCs w:val="24"/>
        </w:rPr>
        <w:t>1</w:t>
      </w:r>
      <w:r w:rsidR="00FF46C5" w:rsidRPr="00995170">
        <w:rPr>
          <w:iCs/>
          <w:szCs w:val="24"/>
        </w:rPr>
        <w:t>:</w:t>
      </w:r>
      <w:r w:rsidRPr="00995170">
        <w:rPr>
          <w:iCs/>
          <w:szCs w:val="24"/>
        </w:rPr>
        <w:t xml:space="preserve"> Participating </w:t>
      </w:r>
      <w:r w:rsidR="00B1782E" w:rsidRPr="00995170">
        <w:rPr>
          <w:iCs/>
          <w:szCs w:val="24"/>
        </w:rPr>
        <w:t>s</w:t>
      </w:r>
      <w:r w:rsidRPr="00995170">
        <w:rPr>
          <w:iCs/>
          <w:szCs w:val="24"/>
        </w:rPr>
        <w:t>ites in the NMSG</w:t>
      </w:r>
      <w:r w:rsidR="00B1782E" w:rsidRPr="00995170">
        <w:rPr>
          <w:iCs/>
          <w:szCs w:val="24"/>
        </w:rPr>
        <w:t xml:space="preserve"> </w:t>
      </w:r>
      <w:r w:rsidRPr="00995170">
        <w:rPr>
          <w:iCs/>
          <w:szCs w:val="24"/>
        </w:rPr>
        <w:t xml:space="preserve">MRD study </w:t>
      </w:r>
    </w:p>
    <w:p w14:paraId="3C93741D" w14:textId="5A0293E7" w:rsidR="007D2DAD" w:rsidRPr="00995170" w:rsidRDefault="007D2DAD" w:rsidP="0057124A">
      <w:pPr>
        <w:pStyle w:val="Opstilling-punkttegn"/>
        <w:tabs>
          <w:tab w:val="clear" w:pos="360"/>
          <w:tab w:val="left" w:pos="709"/>
        </w:tabs>
        <w:spacing w:line="360" w:lineRule="auto"/>
        <w:ind w:left="1069"/>
        <w:rPr>
          <w:iCs/>
          <w:szCs w:val="24"/>
        </w:rPr>
      </w:pPr>
      <w:r w:rsidRPr="00995170">
        <w:rPr>
          <w:iCs/>
          <w:szCs w:val="24"/>
        </w:rPr>
        <w:t>Multi</w:t>
      </w:r>
      <w:r w:rsidR="00264BD3" w:rsidRPr="00995170">
        <w:rPr>
          <w:iCs/>
          <w:szCs w:val="24"/>
        </w:rPr>
        <w:t>parametric</w:t>
      </w:r>
      <w:r w:rsidRPr="00995170">
        <w:rPr>
          <w:iCs/>
          <w:szCs w:val="24"/>
        </w:rPr>
        <w:t xml:space="preserve"> </w:t>
      </w:r>
      <w:r w:rsidR="00AD553D" w:rsidRPr="00995170">
        <w:rPr>
          <w:iCs/>
          <w:szCs w:val="24"/>
        </w:rPr>
        <w:t>flow-</w:t>
      </w:r>
      <w:r w:rsidRPr="00995170">
        <w:rPr>
          <w:iCs/>
          <w:szCs w:val="24"/>
        </w:rPr>
        <w:t>MRD analysis</w:t>
      </w:r>
    </w:p>
    <w:p w14:paraId="457B008E" w14:textId="338E79AF" w:rsidR="008735FB" w:rsidRPr="00995170" w:rsidRDefault="008735FB" w:rsidP="0057124A">
      <w:pPr>
        <w:pStyle w:val="Opstilling-punkttegn"/>
        <w:tabs>
          <w:tab w:val="clear" w:pos="360"/>
          <w:tab w:val="left" w:pos="709"/>
        </w:tabs>
        <w:spacing w:line="360" w:lineRule="auto"/>
        <w:ind w:left="1429"/>
        <w:rPr>
          <w:iCs/>
          <w:szCs w:val="24"/>
        </w:rPr>
      </w:pPr>
      <w:r w:rsidRPr="00995170">
        <w:rPr>
          <w:iCs/>
          <w:szCs w:val="24"/>
        </w:rPr>
        <w:t xml:space="preserve">Antibody staining for MFC </w:t>
      </w:r>
    </w:p>
    <w:p w14:paraId="034A4BA3" w14:textId="7BDEEF75" w:rsidR="008735FB" w:rsidRPr="00995170" w:rsidRDefault="008735FB" w:rsidP="0057124A">
      <w:pPr>
        <w:pStyle w:val="Opstilling-punkttegn"/>
        <w:tabs>
          <w:tab w:val="clear" w:pos="360"/>
          <w:tab w:val="left" w:pos="709"/>
        </w:tabs>
        <w:spacing w:line="360" w:lineRule="auto"/>
        <w:ind w:left="1800"/>
        <w:rPr>
          <w:iCs/>
          <w:szCs w:val="24"/>
        </w:rPr>
      </w:pPr>
      <w:r w:rsidRPr="00995170">
        <w:rPr>
          <w:b/>
          <w:bCs/>
          <w:iCs/>
          <w:szCs w:val="24"/>
        </w:rPr>
        <w:t>Table S2:</w:t>
      </w:r>
      <w:r w:rsidRPr="00995170">
        <w:rPr>
          <w:iCs/>
          <w:szCs w:val="24"/>
        </w:rPr>
        <w:t xml:space="preserve"> Antibody staining panel </w:t>
      </w:r>
    </w:p>
    <w:p w14:paraId="7D89B011" w14:textId="2DABB217" w:rsidR="008735FB" w:rsidRPr="00995170" w:rsidRDefault="008735FB" w:rsidP="0057124A">
      <w:pPr>
        <w:pStyle w:val="Opstilling-punkttegn"/>
        <w:tabs>
          <w:tab w:val="clear" w:pos="360"/>
          <w:tab w:val="left" w:pos="709"/>
        </w:tabs>
        <w:spacing w:line="360" w:lineRule="auto"/>
        <w:ind w:left="1080"/>
        <w:rPr>
          <w:iCs/>
          <w:szCs w:val="24"/>
        </w:rPr>
      </w:pPr>
      <w:r w:rsidRPr="00995170">
        <w:rPr>
          <w:iCs/>
          <w:szCs w:val="24"/>
        </w:rPr>
        <w:t xml:space="preserve">MFC sample </w:t>
      </w:r>
      <w:r w:rsidR="00A164D8" w:rsidRPr="00A164D8">
        <w:rPr>
          <w:iCs/>
          <w:szCs w:val="24"/>
        </w:rPr>
        <w:t>acquisition</w:t>
      </w:r>
    </w:p>
    <w:p w14:paraId="79BA4C4B" w14:textId="5AB9180B" w:rsidR="008735FB" w:rsidRPr="00995170" w:rsidRDefault="008735FB" w:rsidP="0057124A">
      <w:pPr>
        <w:pStyle w:val="Opstilling-punkttegn"/>
        <w:tabs>
          <w:tab w:val="clear" w:pos="360"/>
          <w:tab w:val="left" w:pos="709"/>
        </w:tabs>
        <w:spacing w:line="360" w:lineRule="auto"/>
        <w:ind w:left="1080"/>
        <w:rPr>
          <w:iCs/>
          <w:szCs w:val="24"/>
        </w:rPr>
      </w:pPr>
      <w:r w:rsidRPr="00995170">
        <w:rPr>
          <w:iCs/>
          <w:szCs w:val="24"/>
        </w:rPr>
        <w:t>MFC analysis (</w:t>
      </w:r>
      <w:r w:rsidR="003044CD" w:rsidRPr="00995170">
        <w:rPr>
          <w:iCs/>
          <w:szCs w:val="24"/>
        </w:rPr>
        <w:t>g</w:t>
      </w:r>
      <w:r w:rsidRPr="00995170">
        <w:rPr>
          <w:iCs/>
          <w:szCs w:val="24"/>
        </w:rPr>
        <w:t>ating strategy)</w:t>
      </w:r>
    </w:p>
    <w:p w14:paraId="59402215" w14:textId="1D1B4E79" w:rsidR="004D3B7D" w:rsidRPr="00995170" w:rsidRDefault="004D3B7D" w:rsidP="005B61B2">
      <w:pPr>
        <w:pStyle w:val="Opstilling-punkttegn"/>
        <w:tabs>
          <w:tab w:val="clear" w:pos="360"/>
          <w:tab w:val="left" w:pos="709"/>
        </w:tabs>
        <w:spacing w:line="360" w:lineRule="auto"/>
        <w:ind w:left="1800"/>
        <w:rPr>
          <w:iCs/>
          <w:szCs w:val="24"/>
        </w:rPr>
      </w:pPr>
      <w:r w:rsidRPr="00995170">
        <w:rPr>
          <w:b/>
          <w:bCs/>
          <w:iCs/>
          <w:szCs w:val="24"/>
        </w:rPr>
        <w:t>Figure S</w:t>
      </w:r>
      <w:r w:rsidR="001A5DEA" w:rsidRPr="00995170">
        <w:rPr>
          <w:b/>
          <w:bCs/>
          <w:iCs/>
          <w:szCs w:val="24"/>
        </w:rPr>
        <w:t>1</w:t>
      </w:r>
      <w:r w:rsidRPr="00995170">
        <w:rPr>
          <w:iCs/>
          <w:szCs w:val="24"/>
        </w:rPr>
        <w:t>: General MFC analysis gating strategy of normal and malignant cellular BM populations</w:t>
      </w:r>
    </w:p>
    <w:p w14:paraId="2BA5F1DA" w14:textId="77777777" w:rsidR="005B61B2" w:rsidRPr="00995170" w:rsidRDefault="005B61B2" w:rsidP="0057124A">
      <w:pPr>
        <w:pStyle w:val="Opstilling-punkttegn"/>
        <w:numPr>
          <w:ilvl w:val="0"/>
          <w:numId w:val="0"/>
        </w:numPr>
        <w:tabs>
          <w:tab w:val="left" w:pos="709"/>
        </w:tabs>
        <w:spacing w:line="360" w:lineRule="auto"/>
        <w:ind w:left="1800"/>
        <w:rPr>
          <w:iCs/>
          <w:szCs w:val="24"/>
        </w:rPr>
      </w:pPr>
    </w:p>
    <w:p w14:paraId="4E0D39FA" w14:textId="09DC483F" w:rsidR="007D2DAD" w:rsidRPr="00995170" w:rsidRDefault="00161EC4" w:rsidP="0057124A">
      <w:pPr>
        <w:pStyle w:val="Opstilling-punkttegn"/>
        <w:numPr>
          <w:ilvl w:val="0"/>
          <w:numId w:val="0"/>
        </w:numPr>
        <w:tabs>
          <w:tab w:val="left" w:pos="709"/>
        </w:tabs>
        <w:spacing w:line="360" w:lineRule="auto"/>
        <w:rPr>
          <w:b/>
          <w:iCs/>
          <w:szCs w:val="24"/>
        </w:rPr>
      </w:pPr>
      <w:r w:rsidRPr="00995170">
        <w:rPr>
          <w:b/>
          <w:iCs/>
          <w:szCs w:val="24"/>
        </w:rPr>
        <w:t>2</w:t>
      </w:r>
      <w:r w:rsidR="0095347A" w:rsidRPr="00995170">
        <w:rPr>
          <w:b/>
          <w:iCs/>
          <w:szCs w:val="24"/>
        </w:rPr>
        <w:t xml:space="preserve"> </w:t>
      </w:r>
      <w:r w:rsidR="00E35BA1" w:rsidRPr="00995170">
        <w:rPr>
          <w:b/>
          <w:iCs/>
          <w:szCs w:val="24"/>
        </w:rPr>
        <w:tab/>
      </w:r>
      <w:r w:rsidR="007D2DAD" w:rsidRPr="00995170">
        <w:rPr>
          <w:b/>
          <w:iCs/>
          <w:szCs w:val="24"/>
        </w:rPr>
        <w:t>S</w:t>
      </w:r>
      <w:r w:rsidR="005B61B2" w:rsidRPr="00995170">
        <w:rPr>
          <w:b/>
          <w:iCs/>
          <w:szCs w:val="24"/>
        </w:rPr>
        <w:t>UPPLEMENTARY RESULTS</w:t>
      </w:r>
    </w:p>
    <w:p w14:paraId="63A5BDC5" w14:textId="193C5A58" w:rsidR="00B77C2C" w:rsidRPr="00995170" w:rsidRDefault="00A27EF2" w:rsidP="0057124A">
      <w:pPr>
        <w:pStyle w:val="Opstilling-punkttegn"/>
        <w:tabs>
          <w:tab w:val="clear" w:pos="360"/>
          <w:tab w:val="left" w:pos="709"/>
        </w:tabs>
        <w:spacing w:line="360" w:lineRule="auto"/>
        <w:ind w:left="1080"/>
        <w:rPr>
          <w:iCs/>
          <w:szCs w:val="24"/>
        </w:rPr>
      </w:pPr>
      <w:r w:rsidRPr="00995170">
        <w:rPr>
          <w:b/>
          <w:bCs/>
          <w:iCs/>
          <w:szCs w:val="24"/>
        </w:rPr>
        <w:t>Table S3:</w:t>
      </w:r>
      <w:r w:rsidRPr="00995170">
        <w:rPr>
          <w:iCs/>
          <w:szCs w:val="24"/>
        </w:rPr>
        <w:t xml:space="preserve"> </w:t>
      </w:r>
      <w:r w:rsidR="004D3B7D" w:rsidRPr="00995170">
        <w:rPr>
          <w:iCs/>
          <w:szCs w:val="24"/>
        </w:rPr>
        <w:t>Flow-</w:t>
      </w:r>
      <w:r w:rsidR="00B77C2C" w:rsidRPr="00995170">
        <w:rPr>
          <w:iCs/>
          <w:szCs w:val="24"/>
        </w:rPr>
        <w:t xml:space="preserve">MRD </w:t>
      </w:r>
      <w:r w:rsidR="004D3B7D" w:rsidRPr="00995170">
        <w:rPr>
          <w:iCs/>
          <w:szCs w:val="24"/>
        </w:rPr>
        <w:t>assessment of BM</w:t>
      </w:r>
      <w:r w:rsidR="00B77C2C" w:rsidRPr="00995170">
        <w:rPr>
          <w:iCs/>
          <w:szCs w:val="24"/>
        </w:rPr>
        <w:t xml:space="preserve">: 1st </w:t>
      </w:r>
      <w:r w:rsidR="002002B5" w:rsidRPr="00995170">
        <w:rPr>
          <w:iCs/>
          <w:szCs w:val="24"/>
        </w:rPr>
        <w:t>flow-</w:t>
      </w:r>
      <w:r w:rsidR="00B77C2C" w:rsidRPr="00995170">
        <w:rPr>
          <w:iCs/>
          <w:szCs w:val="24"/>
        </w:rPr>
        <w:t>RA and longitudinal monitoring</w:t>
      </w:r>
    </w:p>
    <w:p w14:paraId="7854FED6" w14:textId="5AD9A002" w:rsidR="004D3B7D" w:rsidRPr="00995170" w:rsidRDefault="004D3B7D" w:rsidP="005B61B2">
      <w:pPr>
        <w:pStyle w:val="Opstilling-punkttegn"/>
        <w:tabs>
          <w:tab w:val="clear" w:pos="360"/>
          <w:tab w:val="left" w:pos="709"/>
        </w:tabs>
        <w:spacing w:line="360" w:lineRule="auto"/>
        <w:ind w:left="1080"/>
        <w:rPr>
          <w:iCs/>
          <w:szCs w:val="24"/>
        </w:rPr>
      </w:pPr>
      <w:r w:rsidRPr="00995170">
        <w:rPr>
          <w:b/>
          <w:bCs/>
          <w:iCs/>
          <w:szCs w:val="24"/>
        </w:rPr>
        <w:t>Table S</w:t>
      </w:r>
      <w:r w:rsidR="00B77C2C" w:rsidRPr="00995170">
        <w:rPr>
          <w:b/>
          <w:bCs/>
          <w:iCs/>
          <w:szCs w:val="24"/>
        </w:rPr>
        <w:t>4</w:t>
      </w:r>
      <w:r w:rsidRPr="00995170">
        <w:rPr>
          <w:iCs/>
          <w:szCs w:val="24"/>
        </w:rPr>
        <w:t>: Monitoring the quantity of flow</w:t>
      </w:r>
      <w:r w:rsidR="00B77C2C" w:rsidRPr="00995170">
        <w:rPr>
          <w:iCs/>
          <w:szCs w:val="24"/>
        </w:rPr>
        <w:t>-</w:t>
      </w:r>
      <w:r w:rsidRPr="00995170">
        <w:rPr>
          <w:iCs/>
          <w:szCs w:val="24"/>
        </w:rPr>
        <w:t>MRD until progression (6 patients)</w:t>
      </w:r>
    </w:p>
    <w:p w14:paraId="69DC545A" w14:textId="77777777" w:rsidR="00344901" w:rsidRPr="00995170" w:rsidRDefault="00344901" w:rsidP="00344901">
      <w:pPr>
        <w:pStyle w:val="Opstilling-punkttegn"/>
        <w:numPr>
          <w:ilvl w:val="0"/>
          <w:numId w:val="0"/>
        </w:numPr>
        <w:tabs>
          <w:tab w:val="left" w:pos="709"/>
        </w:tabs>
        <w:spacing w:line="360" w:lineRule="auto"/>
        <w:ind w:left="1080"/>
        <w:rPr>
          <w:iCs/>
          <w:szCs w:val="24"/>
        </w:rPr>
      </w:pPr>
    </w:p>
    <w:p w14:paraId="23309BCA" w14:textId="52F889BE" w:rsidR="00923BA5" w:rsidRPr="00995170" w:rsidRDefault="00161EC4" w:rsidP="0057124A">
      <w:pPr>
        <w:pStyle w:val="Opstilling-punkttegn"/>
        <w:numPr>
          <w:ilvl w:val="0"/>
          <w:numId w:val="0"/>
        </w:numPr>
        <w:tabs>
          <w:tab w:val="left" w:pos="709"/>
        </w:tabs>
        <w:spacing w:line="360" w:lineRule="auto"/>
        <w:ind w:left="360" w:hanging="360"/>
        <w:rPr>
          <w:b/>
          <w:iCs/>
          <w:szCs w:val="24"/>
        </w:rPr>
      </w:pPr>
      <w:r w:rsidRPr="00995170">
        <w:rPr>
          <w:b/>
          <w:iCs/>
          <w:szCs w:val="24"/>
        </w:rPr>
        <w:t>3</w:t>
      </w:r>
      <w:r w:rsidR="0025623F" w:rsidRPr="00995170">
        <w:rPr>
          <w:b/>
          <w:iCs/>
          <w:szCs w:val="24"/>
        </w:rPr>
        <w:tab/>
      </w:r>
      <w:r w:rsidR="0025623F" w:rsidRPr="00995170">
        <w:rPr>
          <w:b/>
          <w:iCs/>
          <w:szCs w:val="24"/>
        </w:rPr>
        <w:tab/>
      </w:r>
      <w:r w:rsidR="00A453EF" w:rsidRPr="00995170">
        <w:rPr>
          <w:b/>
          <w:iCs/>
          <w:szCs w:val="24"/>
        </w:rPr>
        <w:t xml:space="preserve"> </w:t>
      </w:r>
      <w:r w:rsidR="005B61B2" w:rsidRPr="00995170">
        <w:rPr>
          <w:b/>
          <w:iCs/>
          <w:szCs w:val="24"/>
        </w:rPr>
        <w:t>SUPPLEMENTARY REFERENCES</w:t>
      </w:r>
      <w:r w:rsidR="0095347A" w:rsidRPr="00995170">
        <w:rPr>
          <w:b/>
          <w:iCs/>
          <w:szCs w:val="24"/>
        </w:rPr>
        <w:t xml:space="preserve"> </w:t>
      </w:r>
      <w:r w:rsidR="00E35BA1" w:rsidRPr="00995170">
        <w:rPr>
          <w:b/>
          <w:iCs/>
          <w:szCs w:val="24"/>
        </w:rPr>
        <w:tab/>
      </w:r>
    </w:p>
    <w:p w14:paraId="5FFA984C" w14:textId="1FDECCE7" w:rsidR="001F4D3B" w:rsidRPr="00995170" w:rsidRDefault="001F4D3B" w:rsidP="00344901">
      <w:pPr>
        <w:pStyle w:val="Opstilling-punkttegn"/>
        <w:numPr>
          <w:ilvl w:val="0"/>
          <w:numId w:val="0"/>
        </w:numPr>
        <w:tabs>
          <w:tab w:val="left" w:pos="709"/>
        </w:tabs>
        <w:spacing w:line="360" w:lineRule="auto"/>
        <w:rPr>
          <w:b/>
          <w:iCs/>
          <w:szCs w:val="24"/>
        </w:rPr>
      </w:pPr>
    </w:p>
    <w:p w14:paraId="4167885E" w14:textId="7D4514B2" w:rsidR="001A5DEA" w:rsidRPr="00995170" w:rsidRDefault="001A5DEA" w:rsidP="0057124A">
      <w:pPr>
        <w:pStyle w:val="Opstilling-punkttegn"/>
        <w:numPr>
          <w:ilvl w:val="0"/>
          <w:numId w:val="0"/>
        </w:numPr>
        <w:tabs>
          <w:tab w:val="left" w:pos="709"/>
        </w:tabs>
        <w:spacing w:line="360" w:lineRule="auto"/>
        <w:ind w:left="360" w:hanging="360"/>
        <w:rPr>
          <w:b/>
          <w:iCs/>
          <w:szCs w:val="24"/>
        </w:rPr>
      </w:pPr>
    </w:p>
    <w:p w14:paraId="5E37DD89" w14:textId="77777777" w:rsidR="008A04A5" w:rsidRPr="00995170" w:rsidRDefault="008A04A5" w:rsidP="0057124A">
      <w:pPr>
        <w:pStyle w:val="Opstilling-punkttegn"/>
        <w:numPr>
          <w:ilvl w:val="0"/>
          <w:numId w:val="0"/>
        </w:numPr>
        <w:tabs>
          <w:tab w:val="left" w:pos="709"/>
        </w:tabs>
        <w:spacing w:line="360" w:lineRule="auto"/>
        <w:ind w:left="360" w:hanging="360"/>
        <w:rPr>
          <w:b/>
          <w:iCs/>
          <w:szCs w:val="24"/>
        </w:rPr>
      </w:pPr>
    </w:p>
    <w:p w14:paraId="362CEAD0" w14:textId="77777777" w:rsidR="001A5DEA" w:rsidRPr="00995170" w:rsidRDefault="001A5DEA" w:rsidP="00AC213D">
      <w:pPr>
        <w:pStyle w:val="Opstilling-punkttegn"/>
        <w:numPr>
          <w:ilvl w:val="0"/>
          <w:numId w:val="0"/>
        </w:numPr>
        <w:spacing w:line="360" w:lineRule="auto"/>
        <w:ind w:left="567" w:hanging="360"/>
        <w:rPr>
          <w:b/>
          <w:iCs/>
          <w:szCs w:val="24"/>
        </w:rPr>
      </w:pPr>
    </w:p>
    <w:p w14:paraId="0A480EA4" w14:textId="027F2028" w:rsidR="007D2DAD" w:rsidRPr="00995170" w:rsidRDefault="005B61B2" w:rsidP="00AC213D">
      <w:pPr>
        <w:pStyle w:val="Listeafsnit"/>
        <w:numPr>
          <w:ilvl w:val="0"/>
          <w:numId w:val="39"/>
        </w:numPr>
        <w:tabs>
          <w:tab w:val="left" w:pos="567"/>
        </w:tabs>
        <w:spacing w:after="160" w:line="259" w:lineRule="auto"/>
        <w:ind w:left="0" w:firstLine="0"/>
        <w:rPr>
          <w:b/>
          <w:i/>
          <w:sz w:val="28"/>
        </w:rPr>
      </w:pPr>
      <w:r w:rsidRPr="00995170">
        <w:rPr>
          <w:b/>
          <w:iCs/>
          <w:szCs w:val="24"/>
        </w:rPr>
        <w:lastRenderedPageBreak/>
        <w:t>SUPPLEMENTARY MEHODS</w:t>
      </w:r>
    </w:p>
    <w:p w14:paraId="33D422D1" w14:textId="1F0D1677" w:rsidR="00161EC4" w:rsidRPr="00995170" w:rsidRDefault="00161EC4" w:rsidP="00161EC4">
      <w:pPr>
        <w:pStyle w:val="Opstilling-punkttegn"/>
        <w:numPr>
          <w:ilvl w:val="0"/>
          <w:numId w:val="0"/>
        </w:numPr>
        <w:tabs>
          <w:tab w:val="left" w:pos="709"/>
        </w:tabs>
        <w:ind w:left="360" w:hanging="360"/>
        <w:rPr>
          <w:b/>
          <w:bCs/>
          <w:iCs/>
        </w:rPr>
      </w:pPr>
    </w:p>
    <w:p w14:paraId="0BB0F004" w14:textId="1B73794F" w:rsidR="00E9603C" w:rsidRPr="00995170" w:rsidRDefault="00E9603C" w:rsidP="00344901">
      <w:pPr>
        <w:pStyle w:val="Opstilling-punkttegn"/>
        <w:numPr>
          <w:ilvl w:val="0"/>
          <w:numId w:val="0"/>
        </w:numPr>
        <w:ind w:left="567"/>
        <w:rPr>
          <w:b/>
          <w:bCs/>
          <w:iCs/>
        </w:rPr>
      </w:pPr>
      <w:r w:rsidRPr="00995170">
        <w:rPr>
          <w:b/>
          <w:bCs/>
          <w:iCs/>
        </w:rPr>
        <w:t>Study Approval</w:t>
      </w:r>
      <w:r w:rsidR="00344901" w:rsidRPr="00995170">
        <w:rPr>
          <w:b/>
          <w:bCs/>
          <w:iCs/>
        </w:rPr>
        <w:br/>
      </w:r>
    </w:p>
    <w:p w14:paraId="2E71C6DC" w14:textId="20FD12AB" w:rsidR="00E9603C" w:rsidRPr="00995170" w:rsidRDefault="00E9603C" w:rsidP="00ED38B9">
      <w:pPr>
        <w:pStyle w:val="Opstilling-punkttegn"/>
        <w:numPr>
          <w:ilvl w:val="0"/>
          <w:numId w:val="0"/>
        </w:numPr>
        <w:spacing w:line="360" w:lineRule="auto"/>
        <w:ind w:left="567"/>
        <w:jc w:val="both"/>
      </w:pPr>
      <w:r w:rsidRPr="00995170">
        <w:t>The study was approved by the national committees on health research ethics and performed in accordance with the good clinical practice regulations and the declaration of Helsinki principles with written informed consent from all included patients</w:t>
      </w:r>
    </w:p>
    <w:p w14:paraId="7D4EF67B" w14:textId="33716A05" w:rsidR="00E9603C" w:rsidRPr="00995170" w:rsidRDefault="00E9603C" w:rsidP="00344901">
      <w:pPr>
        <w:pStyle w:val="Opstilling-punkttegn"/>
        <w:numPr>
          <w:ilvl w:val="0"/>
          <w:numId w:val="0"/>
        </w:numPr>
        <w:spacing w:line="360" w:lineRule="auto"/>
        <w:ind w:left="567"/>
      </w:pPr>
      <w:r w:rsidRPr="00995170">
        <w:t>DK:</w:t>
      </w:r>
      <w:r w:rsidRPr="00995170">
        <w:tab/>
        <w:t>VEK H-1-2010-071/H-20006109</w:t>
      </w:r>
      <w:r w:rsidRPr="00995170">
        <w:br/>
        <w:t>SE:</w:t>
      </w:r>
      <w:r w:rsidRPr="00995170">
        <w:tab/>
      </w:r>
      <w:r w:rsidR="00ED38B9" w:rsidRPr="00995170">
        <w:rPr>
          <w:color w:val="000000" w:themeColor="text1"/>
          <w:szCs w:val="24"/>
        </w:rPr>
        <w:t>DNR: </w:t>
      </w:r>
      <w:r w:rsidR="00ED38B9" w:rsidRPr="00995170">
        <w:rPr>
          <w:rFonts w:ascii="Arial" w:hAnsi="Arial" w:cs="Arial"/>
          <w:color w:val="000000" w:themeColor="text1"/>
          <w:sz w:val="20"/>
          <w:szCs w:val="20"/>
        </w:rPr>
        <w:t>653-10</w:t>
      </w:r>
      <w:r w:rsidRPr="00995170">
        <w:br/>
        <w:t>NO:</w:t>
      </w:r>
      <w:r w:rsidRPr="00995170">
        <w:tab/>
      </w:r>
      <w:r w:rsidR="0019411B" w:rsidRPr="00995170">
        <w:t>REK 210/2344</w:t>
      </w:r>
    </w:p>
    <w:p w14:paraId="4480FC1B" w14:textId="77777777" w:rsidR="00E9603C" w:rsidRPr="00995170" w:rsidRDefault="00E9603C" w:rsidP="00AC213D">
      <w:pPr>
        <w:pStyle w:val="Opstilling-punkttegn"/>
        <w:numPr>
          <w:ilvl w:val="0"/>
          <w:numId w:val="0"/>
        </w:numPr>
        <w:ind w:left="567"/>
        <w:rPr>
          <w:b/>
          <w:bCs/>
          <w:iCs/>
        </w:rPr>
      </w:pPr>
    </w:p>
    <w:p w14:paraId="708615BF" w14:textId="27C58233" w:rsidR="007D2DAD" w:rsidRPr="00995170" w:rsidRDefault="00A25861" w:rsidP="00344901">
      <w:pPr>
        <w:pStyle w:val="Opstilling-punkttegn"/>
        <w:numPr>
          <w:ilvl w:val="0"/>
          <w:numId w:val="0"/>
        </w:numPr>
        <w:ind w:left="567"/>
        <w:rPr>
          <w:b/>
          <w:bCs/>
          <w:iCs/>
        </w:rPr>
      </w:pPr>
      <w:r w:rsidRPr="00995170">
        <w:rPr>
          <w:b/>
          <w:bCs/>
          <w:iCs/>
        </w:rPr>
        <w:t>P</w:t>
      </w:r>
      <w:r w:rsidR="007D2DAD" w:rsidRPr="00995170">
        <w:rPr>
          <w:b/>
          <w:bCs/>
          <w:iCs/>
        </w:rPr>
        <w:t xml:space="preserve">articipating </w:t>
      </w:r>
      <w:r w:rsidR="007E0A46" w:rsidRPr="00995170">
        <w:rPr>
          <w:b/>
          <w:bCs/>
          <w:iCs/>
        </w:rPr>
        <w:t>s</w:t>
      </w:r>
      <w:r w:rsidR="007D2DAD" w:rsidRPr="00995170">
        <w:rPr>
          <w:b/>
          <w:bCs/>
          <w:iCs/>
        </w:rPr>
        <w:t>ites</w:t>
      </w:r>
      <w:r w:rsidR="001A5DEA" w:rsidRPr="00995170">
        <w:rPr>
          <w:b/>
          <w:bCs/>
          <w:iCs/>
        </w:rPr>
        <w:t xml:space="preserve"> </w:t>
      </w:r>
    </w:p>
    <w:p w14:paraId="777ACE36" w14:textId="77EDB23E" w:rsidR="002C3102" w:rsidRPr="00995170" w:rsidRDefault="007D2DAD" w:rsidP="00AC213D">
      <w:pPr>
        <w:spacing w:line="360" w:lineRule="auto"/>
        <w:ind w:left="567"/>
        <w:jc w:val="both"/>
        <w:rPr>
          <w:i/>
        </w:rPr>
      </w:pPr>
      <w:r w:rsidRPr="00995170">
        <w:t xml:space="preserve">The </w:t>
      </w:r>
      <w:r w:rsidR="008C272D" w:rsidRPr="00995170">
        <w:t xml:space="preserve">Nordic Myeloma Study Group (NMSG) part of the </w:t>
      </w:r>
      <w:r w:rsidRPr="00995170">
        <w:t>MRD</w:t>
      </w:r>
      <w:r w:rsidR="00ED49B2" w:rsidRPr="00995170">
        <w:t xml:space="preserve"> </w:t>
      </w:r>
      <w:r w:rsidRPr="00995170">
        <w:t>study enclosed 2</w:t>
      </w:r>
      <w:r w:rsidR="00DA5952" w:rsidRPr="00995170">
        <w:t>3</w:t>
      </w:r>
      <w:r w:rsidRPr="00995170">
        <w:t xml:space="preserve"> sites from the Nordic countries</w:t>
      </w:r>
      <w:r w:rsidR="00AC243B" w:rsidRPr="00995170">
        <w:t xml:space="preserve"> (Denmark, Norway, Sweden)</w:t>
      </w:r>
      <w:r w:rsidRPr="00995170">
        <w:t xml:space="preserve">, from which diagnostic </w:t>
      </w:r>
      <w:r w:rsidR="00FC6929" w:rsidRPr="00995170">
        <w:t>BM</w:t>
      </w:r>
      <w:r w:rsidRPr="00995170">
        <w:t xml:space="preserve"> samples </w:t>
      </w:r>
      <w:r w:rsidR="004D3B7D" w:rsidRPr="00995170">
        <w:t xml:space="preserve">from patients </w:t>
      </w:r>
      <w:r w:rsidR="002C3102" w:rsidRPr="00995170">
        <w:t xml:space="preserve">(N=136) </w:t>
      </w:r>
      <w:r w:rsidRPr="00995170">
        <w:rPr>
          <w:rFonts w:cs="Lucida Sans Unicode"/>
        </w:rPr>
        <w:t>eligible for the MRD study</w:t>
      </w:r>
      <w:r w:rsidR="004D3B7D" w:rsidRPr="00995170">
        <w:rPr>
          <w:rFonts w:cs="Lucida Sans Unicode"/>
        </w:rPr>
        <w:t>,</w:t>
      </w:r>
      <w:r w:rsidRPr="00995170">
        <w:t xml:space="preserve"> were sent to the NMSG central Biobank at Aalborg University Hospital for </w:t>
      </w:r>
      <w:r w:rsidR="00AC243B" w:rsidRPr="00995170">
        <w:t xml:space="preserve">flow cytometry based immunophenotyping. </w:t>
      </w:r>
      <w:r w:rsidRPr="00995170">
        <w:t xml:space="preserve">Subsequently, 17 sites sent follow-up </w:t>
      </w:r>
      <w:r w:rsidR="00FC6929" w:rsidRPr="00995170">
        <w:t>BM</w:t>
      </w:r>
      <w:r w:rsidRPr="00995170">
        <w:t xml:space="preserve"> samples from 53 patients for assessment</w:t>
      </w:r>
      <w:r w:rsidR="00AC243B" w:rsidRPr="00995170">
        <w:t xml:space="preserve"> of minimal residual disease using flow cytometry (</w:t>
      </w:r>
      <w:r w:rsidR="00BA1F60" w:rsidRPr="00995170">
        <w:t>flow-MRD</w:t>
      </w:r>
      <w:r w:rsidR="00AC243B" w:rsidRPr="00995170">
        <w:t>)</w:t>
      </w:r>
      <w:r w:rsidR="001D6037" w:rsidRPr="00995170">
        <w:t>.</w:t>
      </w:r>
      <w:r w:rsidR="002C3102" w:rsidRPr="00995170">
        <w:rPr>
          <w:i/>
        </w:rPr>
        <w:t xml:space="preserve"> </w:t>
      </w:r>
    </w:p>
    <w:p w14:paraId="04F6C723" w14:textId="085C28E7" w:rsidR="00293AB4" w:rsidRPr="00995170" w:rsidRDefault="00293AB4" w:rsidP="0057124A">
      <w:pPr>
        <w:tabs>
          <w:tab w:val="left" w:pos="709"/>
        </w:tabs>
        <w:spacing w:line="360" w:lineRule="auto"/>
        <w:ind w:left="709"/>
        <w:jc w:val="both"/>
        <w:rPr>
          <w:i/>
        </w:rPr>
      </w:pPr>
      <w:r w:rsidRPr="00995170">
        <w:rPr>
          <w:i/>
          <w:noProof/>
          <w:lang w:val="en-US"/>
        </w:rPr>
        <w:drawing>
          <wp:inline distT="0" distB="0" distL="0" distR="0" wp14:anchorId="5299E53B" wp14:editId="40EF64D7">
            <wp:extent cx="6254151" cy="3368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416" cy="3447458"/>
                    </a:xfrm>
                    <a:prstGeom prst="rect">
                      <a:avLst/>
                    </a:prstGeom>
                  </pic:spPr>
                </pic:pic>
              </a:graphicData>
            </a:graphic>
          </wp:inline>
        </w:drawing>
      </w:r>
    </w:p>
    <w:p w14:paraId="4605D03E" w14:textId="57C84F52" w:rsidR="00A26C5A" w:rsidRPr="00995170" w:rsidRDefault="002B0F39" w:rsidP="00AC213D">
      <w:pPr>
        <w:ind w:left="567"/>
        <w:jc w:val="both"/>
        <w:rPr>
          <w:b/>
          <w:i/>
          <w:sz w:val="22"/>
        </w:rPr>
      </w:pPr>
      <w:r w:rsidRPr="00995170" w:rsidDel="002B0F39">
        <w:t xml:space="preserve"> </w:t>
      </w:r>
      <w:r w:rsidR="00A26C5A" w:rsidRPr="00995170">
        <w:rPr>
          <w:b/>
          <w:i/>
          <w:sz w:val="22"/>
        </w:rPr>
        <w:t>Table S1: Participating NMSG sit</w:t>
      </w:r>
      <w:r w:rsidR="00A574FB" w:rsidRPr="00995170">
        <w:rPr>
          <w:b/>
          <w:i/>
          <w:sz w:val="22"/>
        </w:rPr>
        <w:t xml:space="preserve">es and </w:t>
      </w:r>
      <w:r w:rsidR="00A26C5A" w:rsidRPr="00995170">
        <w:rPr>
          <w:b/>
          <w:i/>
          <w:sz w:val="22"/>
        </w:rPr>
        <w:t xml:space="preserve">investigators </w:t>
      </w:r>
    </w:p>
    <w:p w14:paraId="44037E91" w14:textId="5BC2F70B" w:rsidR="00662322" w:rsidRPr="00995170" w:rsidRDefault="007D2DAD" w:rsidP="00344901">
      <w:pPr>
        <w:pStyle w:val="Opstilling-punkttegn"/>
        <w:numPr>
          <w:ilvl w:val="0"/>
          <w:numId w:val="0"/>
        </w:numPr>
        <w:ind w:left="567"/>
        <w:rPr>
          <w:b/>
          <w:bCs/>
          <w:iCs/>
        </w:rPr>
      </w:pPr>
      <w:r w:rsidRPr="00995170">
        <w:rPr>
          <w:b/>
          <w:bCs/>
          <w:iCs/>
        </w:rPr>
        <w:lastRenderedPageBreak/>
        <w:t>Multi</w:t>
      </w:r>
      <w:r w:rsidR="00264BD3" w:rsidRPr="00995170">
        <w:rPr>
          <w:b/>
          <w:bCs/>
          <w:iCs/>
        </w:rPr>
        <w:t xml:space="preserve">parametric </w:t>
      </w:r>
      <w:r w:rsidRPr="00995170">
        <w:rPr>
          <w:b/>
          <w:bCs/>
          <w:iCs/>
        </w:rPr>
        <w:t xml:space="preserve">flow cytometry (MFC) for </w:t>
      </w:r>
      <w:r w:rsidR="002002B5" w:rsidRPr="00995170">
        <w:rPr>
          <w:b/>
          <w:bCs/>
          <w:iCs/>
        </w:rPr>
        <w:t xml:space="preserve">detection and enumeration </w:t>
      </w:r>
      <w:r w:rsidRPr="00995170">
        <w:rPr>
          <w:b/>
          <w:bCs/>
          <w:iCs/>
        </w:rPr>
        <w:t xml:space="preserve">of diagnostic and </w:t>
      </w:r>
      <w:r w:rsidR="002002B5" w:rsidRPr="00995170">
        <w:rPr>
          <w:b/>
          <w:bCs/>
          <w:iCs/>
        </w:rPr>
        <w:t xml:space="preserve">flow-MRD </w:t>
      </w:r>
      <w:r w:rsidRPr="00995170">
        <w:rPr>
          <w:b/>
          <w:bCs/>
          <w:iCs/>
        </w:rPr>
        <w:t xml:space="preserve">follow-up </w:t>
      </w:r>
      <w:r w:rsidR="00FC6929" w:rsidRPr="00995170">
        <w:rPr>
          <w:b/>
          <w:bCs/>
          <w:iCs/>
        </w:rPr>
        <w:t>BM</w:t>
      </w:r>
      <w:r w:rsidRPr="00995170">
        <w:rPr>
          <w:b/>
          <w:bCs/>
          <w:iCs/>
        </w:rPr>
        <w:t xml:space="preserve"> samples </w:t>
      </w:r>
    </w:p>
    <w:p w14:paraId="3735E588" w14:textId="77777777" w:rsidR="00662322" w:rsidRPr="00995170" w:rsidRDefault="00662322" w:rsidP="00AC213D">
      <w:pPr>
        <w:pStyle w:val="Opstilling-punkttegn"/>
        <w:numPr>
          <w:ilvl w:val="0"/>
          <w:numId w:val="0"/>
        </w:numPr>
        <w:tabs>
          <w:tab w:val="left" w:pos="709"/>
        </w:tabs>
        <w:ind w:left="360"/>
        <w:rPr>
          <w:b/>
          <w:bCs/>
          <w:iCs/>
        </w:rPr>
      </w:pPr>
    </w:p>
    <w:p w14:paraId="245A627D" w14:textId="38687F87" w:rsidR="00662322" w:rsidRPr="00995170" w:rsidRDefault="009D356E" w:rsidP="00344901">
      <w:pPr>
        <w:pStyle w:val="Opstilling-punkttegn"/>
        <w:numPr>
          <w:ilvl w:val="0"/>
          <w:numId w:val="0"/>
        </w:numPr>
        <w:tabs>
          <w:tab w:val="left" w:pos="709"/>
        </w:tabs>
        <w:spacing w:line="360" w:lineRule="auto"/>
        <w:ind w:left="567"/>
        <w:jc w:val="both"/>
      </w:pPr>
      <w:r w:rsidRPr="00995170">
        <w:rPr>
          <w:i/>
          <w:noProof/>
          <w:lang w:val="en-US"/>
        </w:rPr>
        <w:drawing>
          <wp:anchor distT="0" distB="0" distL="114300" distR="114300" simplePos="0" relativeHeight="251662336" behindDoc="0" locked="0" layoutInCell="1" allowOverlap="1" wp14:anchorId="04095CB7" wp14:editId="13CCB5EF">
            <wp:simplePos x="0" y="0"/>
            <wp:positionH relativeFrom="column">
              <wp:posOffset>93860</wp:posOffset>
            </wp:positionH>
            <wp:positionV relativeFrom="paragraph">
              <wp:posOffset>4081369</wp:posOffset>
            </wp:positionV>
            <wp:extent cx="6409055" cy="26358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09055" cy="2635885"/>
                    </a:xfrm>
                    <a:prstGeom prst="rect">
                      <a:avLst/>
                    </a:prstGeom>
                  </pic:spPr>
                </pic:pic>
              </a:graphicData>
            </a:graphic>
            <wp14:sizeRelH relativeFrom="margin">
              <wp14:pctWidth>0</wp14:pctWidth>
            </wp14:sizeRelH>
            <wp14:sizeRelV relativeFrom="margin">
              <wp14:pctHeight>0</wp14:pctHeight>
            </wp14:sizeRelV>
          </wp:anchor>
        </w:drawing>
      </w:r>
      <w:r w:rsidR="00662322" w:rsidRPr="00995170">
        <w:rPr>
          <w:b/>
          <w:bCs/>
          <w:iCs/>
        </w:rPr>
        <w:t>Antibody staining for MFC</w:t>
      </w:r>
      <w:r w:rsidR="00344901" w:rsidRPr="00995170">
        <w:rPr>
          <w:b/>
          <w:bCs/>
          <w:iCs/>
        </w:rPr>
        <w:t xml:space="preserve">: </w:t>
      </w:r>
      <w:r w:rsidR="00662322" w:rsidRPr="00995170">
        <w:t xml:space="preserve">BM aliquots of 0.1-0.5ml from diagnostic or 1-2ml from follow-up MRD samples were stained using </w:t>
      </w:r>
      <w:r w:rsidR="00A552BD" w:rsidRPr="00995170">
        <w:t>a</w:t>
      </w:r>
      <w:r w:rsidR="00662322" w:rsidRPr="00995170">
        <w:t xml:space="preserve"> </w:t>
      </w:r>
      <w:r w:rsidR="00A552BD" w:rsidRPr="00995170">
        <w:t xml:space="preserve">modified 2 tube </w:t>
      </w:r>
      <w:r w:rsidR="00C95E6E" w:rsidRPr="00995170">
        <w:t xml:space="preserve">diagnostic </w:t>
      </w:r>
      <w:proofErr w:type="spellStart"/>
      <w:r w:rsidR="00C95E6E" w:rsidRPr="00995170">
        <w:t>Euroflow</w:t>
      </w:r>
      <w:proofErr w:type="spellEnd"/>
      <w:r w:rsidR="00C95E6E" w:rsidRPr="00995170">
        <w:t xml:space="preserve"> antibody panel set for PC disorders (PCD</w:t>
      </w:r>
      <w:r w:rsidR="00A552BD" w:rsidRPr="00995170">
        <w:t xml:space="preserve">; </w:t>
      </w:r>
      <w:r w:rsidR="00662322" w:rsidRPr="00995170">
        <w:t xml:space="preserve">Table S2) and processed as published previously by the </w:t>
      </w:r>
      <w:proofErr w:type="spellStart"/>
      <w:r w:rsidR="00662322" w:rsidRPr="00995170">
        <w:t>Euroflow</w:t>
      </w:r>
      <w:proofErr w:type="spellEnd"/>
      <w:r w:rsidR="00662322" w:rsidRPr="00995170">
        <w:t xml:space="preserve"> consortium</w:t>
      </w:r>
      <w:r w:rsidR="000842A5">
        <w:t xml:space="preserve"> </w:t>
      </w:r>
      <w:r w:rsidR="0028466E">
        <w:rPr>
          <w:rStyle w:val="Fodnotehenvisning"/>
        </w:rPr>
        <w:fldChar w:fldCharType="begin" w:fldLock="1"/>
      </w:r>
      <w:r w:rsidR="0028466E">
        <w:instrText>ADDIN CSL_CITATION {"citationItems":[{"id":"ITEM-1","itemData":{"DOI":"10.1038/leu.2012.122","ISSN":"0887-6924","PMID":"22948490","abstract":"The EU-supported EuroFlow Consortium aimed at innovation and standardization of immunophenotyping for diagnosis and classification of hematological malignancies by introducing 8-color flow cytometry with fully standardized laboratory procedures and antibody panels in order to achieve maximally comparable results among different laboratories. This required the selection of optimal combinations of compatible fluorochromes and the design and evaluation of adequate standard operating procedures (SOPs) for instrument setup, fluorescence compensation and sample preparation. Additionally, we developed software tools for the evaluation of individual antibody reagents and antibody panels. Each section describes what has been evaluated experimentally versus adopted based on existing data and experience. Multicentric evaluation demonstrated high levels of reproducibility based on strict implementation of the EuroFlow SOPs and antibody panels. Overall, the 6 years of extensive collaborative experiments and the analysis of hundreds of cell samples of patients and healthy controls in the EuroFlow centers have provided for the first time laboratory protocols and software tools for fully standardized 8-color flow cytometric immunophenotyping of normal and malignant leukocytes in bone marrow and blood; this has yielded highly comparable data sets, which can be integrated in a single database.","author":[{"dropping-particle":"","family":"Kalina","given":"T","non-dropping-particle":"","parse-names":false,"suffix":""},{"dropping-particle":"","family":"Flores-Montero","given":"J","non-dropping-particle":"","parse-names":false,"suffix":""},{"dropping-particle":"","family":"Velden","given":"V H J","non-dropping-particle":"van der","parse-names":false,"suffix":""},{"dropping-particle":"","family":"Martin-Ayuso","given":"M","non-dropping-particle":"","parse-names":false,"suffix":""},{"dropping-particle":"","family":"Böttcher","given":"S","non-dropping-particle":"","parse-names":false,"suffix":""},{"dropping-particle":"","family":"Ritgen","given":"M","non-dropping-particle":"","parse-names":false,"suffix":""},{"dropping-particle":"","family":"Almeida","given":"J","non-dropping-particle":"","parse-names":false,"suffix":""},{"dropping-particle":"","family":"Lhermitte","given":"L","non-dropping-particle":"","parse-names":false,"suffix":""},{"dropping-particle":"","family":"Asnafi","given":"V","non-dropping-particle":"","parse-names":false,"suffix":""},{"dropping-particle":"","family":"Mendonça","given":"A","non-dropping-particle":"","parse-names":false,"suffix":""},{"dropping-particle":"","family":"Tute","given":"R","non-dropping-particle":"de","parse-names":false,"suffix":""},{"dropping-particle":"","family":"Cullen","given":"M","non-dropping-particle":"","parse-names":false,"suffix":""},{"dropping-particle":"","family":"Sedek","given":"L","non-dropping-particle":"","parse-names":false,"suffix":""},{"dropping-particle":"","family":"Vidriales","given":"M B","non-dropping-particle":"","parse-names":false,"suffix":""},{"dropping-particle":"","family":"Pérez","given":"J J","non-dropping-particle":"","parse-names":false,"suffix":""},{"dropping-particle":"","family":"Marvelde","given":"J G","non-dropping-particle":"te","parse-names":false,"suffix":""},{"dropping-particle":"","family":"Mejstrikova","given":"E","non-dropping-particle":"","parse-names":false,"suffix":""},{"dropping-particle":"","family":"Hrusak","given":"O","non-dropping-particle":"","parse-names":false,"suffix":""},{"dropping-particle":"","family":"Szczepański","given":"T","non-dropping-particle":"","parse-names":false,"suffix":""},{"dropping-particle":"","family":"Dongen","given":"J J M","non-dropping-particle":"van","parse-names":false,"suffix":""},{"dropping-particle":"","family":"Orfao","given":"A","non-dropping-particle":"","parse-names":false,"suffix":""}],"container-title":"Leukemia","id":"ITEM-1","issue":"9","issued":{"date-parts":[["2012","9","5"]]},"page":"1986-2010","title":"EuroFlow standardization of flow cytometer instrument settings and immunophenotyping protocols","type":"article-journal","volume":"26"},"uris":["http://www.mendeley.com/documents/?uuid=7f07534a-5bd3-4adf-97c6-3b7eca628edc"]}],"mendeley":{"formattedCitation":"(1)","plainTextFormattedCitation":"(1)","previouslyFormattedCitation":"T Kalina and others, ‘EuroFlow Standardization of Flow Cytometer Instrument Settings and Immunophenotyping Protocols’, &lt;i&gt;Leukemia&lt;/i&gt;, 26.9 (2012), 1986–2010 &lt;https://doi.org/10.1038/leu.2012.122&gt;."},"properties":{"noteIndex":0},"schema":"https://github.com/citation-style-language/schema/raw/master/csl-citation.json"}</w:instrText>
      </w:r>
      <w:r w:rsidR="0028466E">
        <w:rPr>
          <w:rStyle w:val="Fodnotehenvisning"/>
        </w:rPr>
        <w:fldChar w:fldCharType="separate"/>
      </w:r>
      <w:r w:rsidR="0028466E" w:rsidRPr="0028466E">
        <w:rPr>
          <w:bCs/>
          <w:noProof/>
          <w:lang w:val="en-US"/>
        </w:rPr>
        <w:t>(1)</w:t>
      </w:r>
      <w:r w:rsidR="0028466E">
        <w:rPr>
          <w:rStyle w:val="Fodnotehenvisning"/>
        </w:rPr>
        <w:fldChar w:fldCharType="end"/>
      </w:r>
      <w:r w:rsidR="000842A5">
        <w:t xml:space="preserve">. </w:t>
      </w:r>
      <w:r w:rsidR="00662322" w:rsidRPr="00995170">
        <w:t xml:space="preserve">Briefly, samples were counted, washed, </w:t>
      </w:r>
      <w:r w:rsidR="00A164D8" w:rsidRPr="00A164D8">
        <w:t>resuspended</w:t>
      </w:r>
      <w:r w:rsidR="00662322" w:rsidRPr="00995170">
        <w:t xml:space="preserve"> in stain buffer (Stain Buffer BSA, BD </w:t>
      </w:r>
      <w:proofErr w:type="spellStart"/>
      <w:r w:rsidR="00662322" w:rsidRPr="00995170">
        <w:t>Pharmigen</w:t>
      </w:r>
      <w:proofErr w:type="spellEnd"/>
      <w:r w:rsidR="00662322" w:rsidRPr="00995170">
        <w:t>) and split equally into two tubes. Tube2 was stained using antibodies 1-4 and 9-12, subjected to red blood cell lysis following manufacturers’ recommendations (Easy Lyse, Beckman Coulter), washed, resuspended in stain buffer and stored until measured in the flow cytometer. Tube 1 was stained first with antibodies 1-6, centrifuged, resuspended and prepared for intracellular staining, using fixation and permeabilization following manufacturers’ recommendations (</w:t>
      </w:r>
      <w:proofErr w:type="spellStart"/>
      <w:r w:rsidR="00662322" w:rsidRPr="00995170">
        <w:t>Caltag</w:t>
      </w:r>
      <w:proofErr w:type="spellEnd"/>
      <w:r w:rsidR="00662322" w:rsidRPr="00995170">
        <w:t xml:space="preserve">, </w:t>
      </w:r>
      <w:proofErr w:type="spellStart"/>
      <w:r w:rsidR="00662322" w:rsidRPr="00995170">
        <w:t>Fix&amp;Perm</w:t>
      </w:r>
      <w:proofErr w:type="spellEnd"/>
      <w:r w:rsidR="00662322" w:rsidRPr="00995170">
        <w:t xml:space="preserve">) and subsequently stained with antibodies 7-8. Incubation time for all staining was 30min at room temperature.  Finally, cells were washed, resuspended in stain buffer and stored until measured in the flow cytometer. Since July 2016, all cells were first lysed (“bulk lysis method”) using </w:t>
      </w:r>
      <w:proofErr w:type="spellStart"/>
      <w:r w:rsidR="00662322" w:rsidRPr="00995170">
        <w:t>BulkLysis</w:t>
      </w:r>
      <w:proofErr w:type="spellEnd"/>
      <w:r w:rsidR="00662322" w:rsidRPr="00995170">
        <w:t>-solution (</w:t>
      </w:r>
      <w:proofErr w:type="spellStart"/>
      <w:r w:rsidR="00662322" w:rsidRPr="00995170">
        <w:t>Cytognos</w:t>
      </w:r>
      <w:proofErr w:type="spellEnd"/>
      <w:r w:rsidR="00662322" w:rsidRPr="00995170">
        <w:t>), resuspended in stain buffer, counted and subsequently stained.</w:t>
      </w:r>
      <w:r w:rsidR="0028466E">
        <w:rPr>
          <w:rStyle w:val="Fodnotehenvisning"/>
        </w:rPr>
        <w:fldChar w:fldCharType="begin" w:fldLock="1"/>
      </w:r>
      <w:r w:rsidR="0028466E">
        <w:instrText>ADDIN CSL_CITATION {"citationItems":[{"id":"ITEM-1","itemData":{"DOI":"10.1038/leu.2012.122","ISSN":"0887-6924","PMID":"22948490","abstract":"The EU-supported EuroFlow Consortium aimed at innovation and standardization of immunophenotyping for diagnosis and classification of hematological malignancies by introducing 8-color flow cytometry with fully standardized laboratory procedures and antibody panels in order to achieve maximally comparable results among different laboratories. This required the selection of optimal combinations of compatible fluorochromes and the design and evaluation of adequate standard operating procedures (SOPs) for instrument setup, fluorescence compensation and sample preparation. Additionally, we developed software tools for the evaluation of individual antibody reagents and antibody panels. Each section describes what has been evaluated experimentally versus adopted based on existing data and experience. Multicentric evaluation demonstrated high levels of reproducibility based on strict implementation of the EuroFlow SOPs and antibody panels. Overall, the 6 years of extensive collaborative experiments and the analysis of hundreds of cell samples of patients and healthy controls in the EuroFlow centers have provided for the first time laboratory protocols and software tools for fully standardized 8-color flow cytometric immunophenotyping of normal and malignant leukocytes in bone marrow and blood; this has yielded highly comparable data sets, which can be integrated in a single database.","author":[{"dropping-particle":"","family":"Kalina","given":"T","non-dropping-particle":"","parse-names":false,"suffix":""},{"dropping-particle":"","family":"Flores-Montero","given":"J","non-dropping-particle":"","parse-names":false,"suffix":""},{"dropping-particle":"","family":"Velden","given":"V H J","non-dropping-particle":"van der","parse-names":false,"suffix":""},{"dropping-particle":"","family":"Martin-Ayuso","given":"M","non-dropping-particle":"","parse-names":false,"suffix":""},{"dropping-particle":"","family":"Böttcher","given":"S","non-dropping-particle":"","parse-names":false,"suffix":""},{"dropping-particle":"","family":"Ritgen","given":"M","non-dropping-particle":"","parse-names":false,"suffix":""},{"dropping-particle":"","family":"Almeida","given":"J","non-dropping-particle":"","parse-names":false,"suffix":""},{"dropping-particle":"","family":"Lhermitte","given":"L","non-dropping-particle":"","parse-names":false,"suffix":""},{"dropping-particle":"","family":"Asnafi","given":"V","non-dropping-particle":"","parse-names":false,"suffix":""},{"dropping-particle":"","family":"Mendonça","given":"A","non-dropping-particle":"","parse-names":false,"suffix":""},{"dropping-particle":"","family":"Tute","given":"R","non-dropping-particle":"de","parse-names":false,"suffix":""},{"dropping-particle":"","family":"Cullen","given":"M","non-dropping-particle":"","parse-names":false,"suffix":""},{"dropping-particle":"","family":"Sedek","given":"L","non-dropping-particle":"","parse-names":false,"suffix":""},{"dropping-particle":"","family":"Vidriales","given":"M B","non-dropping-particle":"","parse-names":false,"suffix":""},{"dropping-particle":"","family":"Pérez","given":"J J","non-dropping-particle":"","parse-names":false,"suffix":""},{"dropping-particle":"","family":"Marvelde","given":"J G","non-dropping-particle":"te","parse-names":false,"suffix":""},{"dropping-particle":"","family":"Mejstrikova","given":"E","non-dropping-particle":"","parse-names":false,"suffix":""},{"dropping-particle":"","family":"Hrusak","given":"O","non-dropping-particle":"","parse-names":false,"suffix":""},{"dropping-particle":"","family":"Szczepański","given":"T","non-dropping-particle":"","parse-names":false,"suffix":""},{"dropping-particle":"","family":"Dongen","given":"J J M","non-dropping-particle":"van","parse-names":false,"suffix":""},{"dropping-particle":"","family":"Orfao","given":"A","non-dropping-particle":"","parse-names":false,"suffix":""}],"container-title":"Leukemia","id":"ITEM-1","issue":"9","issued":{"date-parts":[["2012","9","5"]]},"page":"1986-2010","title":"EuroFlow standardization of flow cytometer instrument settings and immunophenotyping protocols","type":"article-journal","volume":"26"},"uris":["http://www.mendeley.com/documents/?uuid=7f07534a-5bd3-4adf-97c6-3b7eca628edc"]}],"mendeley":{"formattedCitation":"(1)","plainTextFormattedCitation":"(1)","previouslyFormattedCitation":"Kalina and others."},"properties":{"noteIndex":0},"schema":"https://github.com/citation-style-language/schema/raw/master/csl-citation.json"}</w:instrText>
      </w:r>
      <w:r w:rsidR="0028466E">
        <w:rPr>
          <w:rStyle w:val="Fodnotehenvisning"/>
        </w:rPr>
        <w:fldChar w:fldCharType="separate"/>
      </w:r>
      <w:r w:rsidR="0028466E" w:rsidRPr="0028466E">
        <w:rPr>
          <w:noProof/>
        </w:rPr>
        <w:t>(1)</w:t>
      </w:r>
      <w:r w:rsidR="0028466E">
        <w:rPr>
          <w:rStyle w:val="Fodnotehenvisning"/>
        </w:rPr>
        <w:fldChar w:fldCharType="end"/>
      </w:r>
    </w:p>
    <w:p w14:paraId="041EF40E" w14:textId="6E3374CB" w:rsidR="00662322" w:rsidRPr="00995170" w:rsidRDefault="00662322" w:rsidP="00662322">
      <w:pPr>
        <w:tabs>
          <w:tab w:val="left" w:pos="709"/>
          <w:tab w:val="left" w:pos="1701"/>
          <w:tab w:val="left" w:pos="9639"/>
        </w:tabs>
        <w:spacing w:after="0"/>
        <w:jc w:val="both"/>
        <w:rPr>
          <w:i/>
        </w:rPr>
      </w:pPr>
      <w:r w:rsidRPr="00995170" w:rsidDel="00415427">
        <w:rPr>
          <w:i/>
        </w:rPr>
        <w:t xml:space="preserve"> </w:t>
      </w:r>
    </w:p>
    <w:p w14:paraId="3AA590E2" w14:textId="5D618927" w:rsidR="00E9603C" w:rsidRPr="00995170" w:rsidRDefault="00662322" w:rsidP="00AC213D">
      <w:pPr>
        <w:tabs>
          <w:tab w:val="left" w:pos="1701"/>
          <w:tab w:val="left" w:pos="9639"/>
        </w:tabs>
        <w:spacing w:after="0" w:line="360" w:lineRule="auto"/>
        <w:ind w:left="567" w:right="119"/>
        <w:jc w:val="both"/>
        <w:rPr>
          <w:b/>
          <w:i/>
          <w:sz w:val="22"/>
        </w:rPr>
      </w:pPr>
      <w:r w:rsidRPr="00995170">
        <w:rPr>
          <w:b/>
          <w:i/>
          <w:sz w:val="22"/>
        </w:rPr>
        <w:t xml:space="preserve">Table S2:  Antibody staining panel for flow-MRD analysis. </w:t>
      </w:r>
      <w:r w:rsidRPr="00995170">
        <w:rPr>
          <w:i/>
          <w:sz w:val="22"/>
        </w:rPr>
        <w:t xml:space="preserve">Common antibodies were included in both staining tubes, specific antibodies in tube 1 or tube 2, respectively. Antibodies 7 and 8 were added after sample fixation and </w:t>
      </w:r>
      <w:proofErr w:type="spellStart"/>
      <w:r w:rsidRPr="00995170">
        <w:rPr>
          <w:i/>
          <w:sz w:val="22"/>
        </w:rPr>
        <w:t>permeabilisation</w:t>
      </w:r>
      <w:proofErr w:type="spellEnd"/>
      <w:r w:rsidRPr="00995170">
        <w:rPr>
          <w:i/>
          <w:sz w:val="22"/>
        </w:rPr>
        <w:t xml:space="preserve">. </w:t>
      </w:r>
    </w:p>
    <w:p w14:paraId="5FD0F61F" w14:textId="77777777" w:rsidR="00662322" w:rsidRPr="00995170" w:rsidRDefault="00662322" w:rsidP="00AC213D">
      <w:pPr>
        <w:tabs>
          <w:tab w:val="left" w:pos="1701"/>
          <w:tab w:val="left" w:pos="9639"/>
        </w:tabs>
        <w:spacing w:after="0" w:line="360" w:lineRule="auto"/>
        <w:ind w:left="567" w:right="119"/>
        <w:jc w:val="both"/>
      </w:pPr>
    </w:p>
    <w:p w14:paraId="60C2B940" w14:textId="3DFF8F5F" w:rsidR="00161EC4" w:rsidRPr="00995170" w:rsidRDefault="00156CD8" w:rsidP="00D4564F">
      <w:pPr>
        <w:pStyle w:val="Opstilling-punkttegn"/>
        <w:numPr>
          <w:ilvl w:val="0"/>
          <w:numId w:val="0"/>
        </w:numPr>
        <w:spacing w:line="360" w:lineRule="auto"/>
        <w:ind w:left="567"/>
        <w:jc w:val="both"/>
      </w:pPr>
      <w:r w:rsidRPr="00995170">
        <w:rPr>
          <w:b/>
          <w:bCs/>
          <w:iCs/>
        </w:rPr>
        <w:t>MFC sample acquisition</w:t>
      </w:r>
      <w:r w:rsidR="00344901" w:rsidRPr="00995170">
        <w:rPr>
          <w:b/>
          <w:bCs/>
          <w:iCs/>
        </w:rPr>
        <w:t xml:space="preserve">: </w:t>
      </w:r>
      <w:r w:rsidRPr="00995170">
        <w:t xml:space="preserve">BD </w:t>
      </w:r>
      <w:proofErr w:type="spellStart"/>
      <w:r w:rsidRPr="00995170">
        <w:t>FACSCanto</w:t>
      </w:r>
      <w:r w:rsidRPr="00995170">
        <w:rPr>
          <w:vertAlign w:val="superscript"/>
        </w:rPr>
        <w:t>TM</w:t>
      </w:r>
      <w:proofErr w:type="spellEnd"/>
      <w:r w:rsidRPr="00995170">
        <w:t xml:space="preserve"> II and BD </w:t>
      </w:r>
      <w:proofErr w:type="spellStart"/>
      <w:r w:rsidRPr="00995170">
        <w:t>FACSAria</w:t>
      </w:r>
      <w:r w:rsidRPr="00995170">
        <w:rPr>
          <w:vertAlign w:val="superscript"/>
        </w:rPr>
        <w:t>TM</w:t>
      </w:r>
      <w:proofErr w:type="spellEnd"/>
      <w:r w:rsidRPr="00995170">
        <w:t xml:space="preserve"> 2 (BD Biosciences) flow cytometers with matched optical 3-laser default configuration were utilized. Cytometers were harmonized, quality controlled a</w:t>
      </w:r>
      <w:bookmarkStart w:id="0" w:name="_GoBack"/>
      <w:bookmarkEnd w:id="0"/>
      <w:r w:rsidRPr="00995170">
        <w:t xml:space="preserve">fter recommendations from </w:t>
      </w:r>
      <w:proofErr w:type="spellStart"/>
      <w:r w:rsidRPr="00995170">
        <w:t>Euroflow</w:t>
      </w:r>
      <w:proofErr w:type="spellEnd"/>
      <w:r w:rsidR="000842A5">
        <w:t xml:space="preserve"> </w:t>
      </w:r>
      <w:r w:rsidR="0028466E">
        <w:rPr>
          <w:rStyle w:val="Fodnotehenvisning"/>
        </w:rPr>
        <w:fldChar w:fldCharType="begin" w:fldLock="1"/>
      </w:r>
      <w:r w:rsidR="0028466E">
        <w:instrText>ADDIN CSL_CITATION {"citationItems":[{"id":"ITEM-1","itemData":{"DOI":"10.1038/leu.2012.122","ISSN":"0887-6924","PMID":"22948490","abstract":"The EU-supported EuroFlow Consortium aimed at innovation and standardization of immunophenotyping for diagnosis and classification of hematological malignancies by introducing 8-color flow cytometry with fully standardized laboratory procedures and antibody panels in order to achieve maximally comparable results among different laboratories. This required the selection of optimal combinations of compatible fluorochromes and the design and evaluation of adequate standard operating procedures (SOPs) for instrument setup, fluorescence compensation and sample preparation. Additionally, we developed software tools for the evaluation of individual antibody reagents and antibody panels. Each section describes what has been evaluated experimentally versus adopted based on existing data and experience. Multicentric evaluation demonstrated high levels of reproducibility based on strict implementation of the EuroFlow SOPs and antibody panels. Overall, the 6 years of extensive collaborative experiments and the analysis of hundreds of cell samples of patients and healthy controls in the EuroFlow centers have provided for the first time laboratory protocols and software tools for fully standardized 8-color flow cytometric immunophenotyping of normal and malignant leukocytes in bone marrow and blood; this has yielded highly comparable data sets, which can be integrated in a single database.","author":[{"dropping-particle":"","family":"Kalina","given":"T","non-dropping-particle":"","parse-names":false,"suffix":""},{"dropping-particle":"","family":"Flores-Montero","given":"J","non-dropping-particle":"","parse-names":false,"suffix":""},{"dropping-particle":"","family":"Velden","given":"V H J","non-dropping-particle":"van der","parse-names":false,"suffix":""},{"dropping-particle":"","family":"Martin-Ayuso","given":"M","non-dropping-particle":"","parse-names":false,"suffix":""},{"dropping-particle":"","family":"Böttcher","given":"S","non-dropping-particle":"","parse-names":false,"suffix":""},{"dropping-particle":"","family":"Ritgen","given":"M","non-dropping-particle":"","parse-names":false,"suffix":""},{"dropping-particle":"","family":"Almeida","given":"J","non-dropping-particle":"","parse-names":false,"suffix":""},{"dropping-particle":"","family":"Lhermitte","given":"L","non-dropping-particle":"","parse-names":false,"suffix":""},{"dropping-particle":"","family":"Asnafi","given":"V","non-dropping-particle":"","parse-names":false,"suffix":""},{"dropping-particle":"","family":"Mendonça","given":"A","non-dropping-particle":"","parse-names":false,"suffix":""},{"dropping-particle":"","family":"Tute","given":"R","non-dropping-particle":"de","parse-names":false,"suffix":""},{"dropping-particle":"","family":"Cullen","given":"M","non-dropping-particle":"","parse-names":false,"suffix":""},{"dropping-particle":"","family":"Sedek","given":"L","non-dropping-particle":"","parse-names":false,"suffix":""},{"dropping-particle":"","family":"Vidriales","given":"M B","non-dropping-particle":"","parse-names":false,"suffix":""},{"dropping-particle":"","family":"Pérez","given":"J J","non-dropping-particle":"","parse-names":false,"suffix":""},{"dropping-particle":"","family":"Marvelde","given":"J G","non-dropping-particle":"te","parse-names":false,"suffix":""},{"dropping-particle":"","family":"Mejstrikova","given":"E","non-dropping-particle":"","parse-names":false,"suffix":""},{"dropping-particle":"","family":"Hrusak","given":"O","non-dropping-particle":"","parse-names":false,"suffix":""},{"dropping-particle":"","family":"Szczepański","given":"T","non-dropping-particle":"","parse-names":false,"suffix":""},{"dropping-particle":"","family":"Dongen","given":"J J M","non-dropping-particle":"van","parse-names":false,"suffix":""},{"dropping-particle":"","family":"Orfao","given":"A","non-dropping-particle":"","parse-names":false,"suffix":""}],"container-title":"Leukemia","id":"ITEM-1","issue":"9","issued":{"date-parts":[["2012","9","5"]]},"page":"1986-2010","title":"EuroFlow standardization of flow cytometer instrument settings and immunophenotyping protocols","type":"article-journal","volume":"26"},"uris":["http://www.mendeley.com/documents/?uuid=7f07534a-5bd3-4adf-97c6-3b7eca628edc"]}],"mendeley":{"formattedCitation":"(1)","plainTextFormattedCitation":"(1)","previouslyFormattedCitation":"Kalina and others."},"properties":{"noteIndex":0},"schema":"https://github.com/citation-style-language/schema/raw/master/csl-citation.json"}</w:instrText>
      </w:r>
      <w:r w:rsidR="0028466E">
        <w:rPr>
          <w:rStyle w:val="Fodnotehenvisning"/>
        </w:rPr>
        <w:fldChar w:fldCharType="separate"/>
      </w:r>
      <w:r w:rsidR="0028466E" w:rsidRPr="0028466E">
        <w:rPr>
          <w:noProof/>
        </w:rPr>
        <w:t>(1)</w:t>
      </w:r>
      <w:r w:rsidR="0028466E">
        <w:rPr>
          <w:rStyle w:val="Fodnotehenvisning"/>
        </w:rPr>
        <w:fldChar w:fldCharType="end"/>
      </w:r>
      <w:r w:rsidRPr="00995170">
        <w:t>, using CS&amp;T (Becton Dickinson) and 8-peak calibration particles (</w:t>
      </w:r>
      <w:proofErr w:type="spellStart"/>
      <w:r w:rsidRPr="00995170">
        <w:t>Spherotech</w:t>
      </w:r>
      <w:proofErr w:type="spellEnd"/>
      <w:r w:rsidRPr="00995170">
        <w:t>). Spectral overlap compensation settings were generated using compensation capture beads (</w:t>
      </w:r>
      <w:proofErr w:type="spellStart"/>
      <w:r w:rsidRPr="00995170">
        <w:t>CompBeads</w:t>
      </w:r>
      <w:proofErr w:type="spellEnd"/>
      <w:r w:rsidRPr="00995170">
        <w:t xml:space="preserve">/BD Bioscience or </w:t>
      </w:r>
      <w:proofErr w:type="spellStart"/>
      <w:r w:rsidRPr="00995170">
        <w:t>VersaComp</w:t>
      </w:r>
      <w:proofErr w:type="spellEnd"/>
      <w:r w:rsidRPr="00995170">
        <w:t>/Beckman Coulter) for all used fluorochromes. For diagnostic sample analysis a total of &gt;100.000 cells were acquired, for MRD samples all available cells, at least 1 x 10</w:t>
      </w:r>
      <w:r w:rsidR="00C95E6E" w:rsidRPr="00995170">
        <w:t>^</w:t>
      </w:r>
      <w:r w:rsidRPr="00995170">
        <w:t xml:space="preserve">6 cells, were </w:t>
      </w:r>
      <w:r w:rsidR="00A164D8" w:rsidRPr="00A164D8">
        <w:t>analysed</w:t>
      </w:r>
      <w:r w:rsidRPr="00995170">
        <w:t xml:space="preserve"> by MFC. The sensitivity of the protocol (incl. bulk lysis) has been compared in a quality assessment round, which showed a high correlation of results, compared to three other central MFC MRD laboratories in the Netherlands, Czech Republic and Italy</w:t>
      </w:r>
      <w:r w:rsidR="000842A5">
        <w:t xml:space="preserve"> </w:t>
      </w:r>
      <w:r w:rsidR="0028466E">
        <w:rPr>
          <w:rStyle w:val="Fodnotehenvisning"/>
        </w:rPr>
        <w:fldChar w:fldCharType="begin" w:fldLock="1"/>
      </w:r>
      <w:r w:rsidR="0028466E">
        <w:instrText>ADDIN CSL_CITATION {"citationItems":[{"id":"ITEM-1","itemData":{"DOI":"10.1182/blood.V128.22.2072.2072","ISSN":"0006-4971","abstract":"Background The introduction of novel treatment strategies against multiple myeloma (MM) has resulted in a major improvement in the overall outcome, which has led to an increased need for highly sensitive methods to detect minimal residual disease (MRD) in each patient. MRD assessment by multicolor flowcytometry (MFC) has been shown to be of prognostic value in many treatment protocols over the last decade, making it an attractive method to assess response in clinical trials. However, it is currently not known (1) what the best timing is to perform MFC MRD analysis in the context of a treatment protocol including induction, intensification, consolidation and maintenance treatment, (2) which patients should be selected for this analysis, and (3) what its feasibility is in a large international trial. The ongoing EMN-02 MRD Study aims to answer these questions within the framework of the EMN-02/HOVON-95 MM trial. Here, we describe our methods and the results of our first quality assessment round to compare the sensitivity of the used protocols. Methods The EMN-02/HOVON-95 MM trial is a randomized, multicenter, phase 3 trial in which newly diagnosed MM patients 18-65 years received 4 cycles of bortezomib, cyclophosphamide and dexamethasone (VCD) as induction treatment, followed by a first randomization between either 4 cycles of bortezomib, melphalan and prednisone (VMP), or high dose melphalan (HDM) and 1 or 2 ASCT as intensification treatment. Subsequently, patients were randomized between 2 cycles of bortezomib, lenalidomide and dexamethasone (VRD) or no consolidation treatment, followed by lenalidomide maintenance treatment for all until progression or toxicity occurred. Patients undergoing a bone marrow (BM) aspiration for complete response (CR) confirmation according to the International Myeloma Working Group (IMWG) criteria (Rajkumar et al. - Blood 2011) anytime during the trial were eligible for the EMN-02 MRD Study. BM samples from patients from 13 European countries were sent to 4 central MFC MRD laboratories in the Netherlands (A), Czech Republic (B), Denmark (C) and Italy (D), either using the strict Euroflow protocol (A) (Van Dongen et al. - Leukemia 2012) or Euroflow-based methods (B, C &amp; D). In order to check compatibility between protocols, 5 bone marrow samples from MM patients with a clinical response ranging from progressive disease (PD) to CR were each divided in equal volumes and sent to the respective laboratories on 3 different days. …","author":[{"dropping-particle":"","family":"Hofste op Bruinink","given":"Davine","non-dropping-particle":"","parse-names":false,"suffix":""},{"dropping-particle":"","family":"Oliva","given":"Stefania","non-dropping-particle":"","parse-names":false,"suffix":""},{"dropping-particle":"","family":"Rihova","given":"Lucie","non-dropping-particle":"","parse-names":false,"suffix":""},{"dropping-particle":"","family":"Holt","given":"Bronno","non-dropping-particle":"van der","parse-names":false,"suffix":""},{"dropping-particle":"","family":"Gilestro","given":"Milena","non-dropping-particle":"","parse-names":false,"suffix":""},{"dropping-particle":"","family":"Marvelde","given":"Jeroen G.","non-dropping-particle":"te","parse-names":false,"suffix":""},{"dropping-particle":"","family":"Vsianska","given":"Pavla","non-dropping-particle":"","parse-names":false,"suffix":""},{"dropping-particle":"","family":"Schmitz","given":"Alexander","non-dropping-particle":"","parse-names":false,"suffix":""},{"dropping-particle":"","family":"Høholt","given":"Helle","non-dropping-particle":"","parse-names":false,"suffix":""},{"dropping-particle":"","family":"Johnsen","given":"Hans Erik","non-dropping-particle":"","parse-names":false,"suffix":""},{"dropping-particle":"","family":"Boccadoro","given":"Mario","non-dropping-particle":"","parse-names":false,"suffix":""},{"dropping-particle":"","family":"Hajek","given":"Roman","non-dropping-particle":"","parse-names":false,"suffix":""},{"dropping-particle":"","family":"Sonneveld","given":"Pieter","non-dropping-particle":"","parse-names":false,"suffix":""},{"dropping-particle":"","family":"Palumbo","given":"Antonio","non-dropping-particle":"","parse-names":false,"suffix":""},{"dropping-particle":"","family":"Omedè","given":"Paola","non-dropping-particle":"","parse-names":false,"suffix":""},{"dropping-particle":"","family":"Velden","given":"Vincent H.J.","non-dropping-particle":"van der","parse-names":false,"suffix":""}],"container-title":"Blood","id":"ITEM-1","issue":"22","issued":{"date-parts":[["2016","12","2"]]},"page":"2072-2072","title":"Flowcytometric Minimal Residual Disease Assessment in the EMN-02/HOVON-95 MM Trial: Used Methods and a Comparison of Their Sensitivity","type":"article-journal","volume":"128"},"uris":["http://www.mendeley.com/documents/?uuid=dfc443d3-383b-4f82-8265-919d32bf3ef9"]}],"mendeley":{"formattedCitation":"(2)","plainTextFormattedCitation":"(2)","previouslyFormattedCitation":"Davine Hofste op Bruinink and others, ‘Flowcytometric Minimal Residual Disease Assessment in the EMN-02/HOVON-95 MM Trial: Used Methods and a Comparison of Their Sensitivity’, &lt;i&gt;Blood&lt;/i&gt;, 128.22 (2016), 2072–2072 &lt;https://doi.org/10.1182/blood.V128.22.2072.2072&gt;."},"properties":{"noteIndex":0},"schema":"https://github.com/citation-style-language/schema/raw/master/csl-citation.json"}</w:instrText>
      </w:r>
      <w:r w:rsidR="0028466E">
        <w:rPr>
          <w:rStyle w:val="Fodnotehenvisning"/>
        </w:rPr>
        <w:fldChar w:fldCharType="separate"/>
      </w:r>
      <w:r w:rsidR="0028466E" w:rsidRPr="0028466E">
        <w:rPr>
          <w:noProof/>
        </w:rPr>
        <w:t>(2)</w:t>
      </w:r>
      <w:r w:rsidR="0028466E">
        <w:rPr>
          <w:rStyle w:val="Fodnotehenvisning"/>
        </w:rPr>
        <w:fldChar w:fldCharType="end"/>
      </w:r>
      <w:r w:rsidR="000842A5">
        <w:t>.</w:t>
      </w:r>
      <w:r w:rsidRPr="00995170">
        <w:t xml:space="preserve"> Samples were either acquired ungated and stored as multiple datafiles, or in a 2-step procedure including a </w:t>
      </w:r>
      <w:proofErr w:type="spellStart"/>
      <w:r w:rsidRPr="00995170">
        <w:t>boolean</w:t>
      </w:r>
      <w:proofErr w:type="spellEnd"/>
      <w:r w:rsidRPr="00995170">
        <w:t xml:space="preserve"> “CD19+ OR CD38+” electronic storage-gating after initial acquisition of 50.000-200.000 cellular events </w:t>
      </w:r>
      <w:r w:rsidR="00A164D8" w:rsidRPr="00A164D8">
        <w:t>without</w:t>
      </w:r>
      <w:r w:rsidRPr="00995170">
        <w:t xml:space="preserve"> electronic gating</w:t>
      </w:r>
      <w:r w:rsidR="000842A5">
        <w:t xml:space="preserve"> </w:t>
      </w:r>
      <w:r w:rsidR="0028466E">
        <w:rPr>
          <w:rStyle w:val="Fodnotehenvisning"/>
        </w:rPr>
        <w:fldChar w:fldCharType="begin" w:fldLock="1"/>
      </w:r>
      <w:r w:rsidR="0028466E">
        <w:instrText>ADDIN CSL_CITATION {"citationItems":[{"id":"ITEM-1","itemData":{"DOI":"10.1046/j.1365-2141.1999.01685.x","ISSN":"00071048","abstract":"Sensitive techniques for monitoring minimal residual disease (MRD) in multiple myeloma (MM) are needed to evaluate the effectiveness of new intensive treatment strategies. The aim of the present study was to explore the applicability and sensitivity of flow cytometry immunophenotyping and DNA ploidy studies for the investigation of residual myelomatous plasma cells (PC) in MM patients. Bone marrow (BM) samples from 61 untreated MM patients were immunophenotypically analysed with a panel of 21 monoclonal antibodies, using a high-sensitive method based on a two-step acquisition procedure through a SSC/CD38+++-CD138+ 'live-gate'. Overall, in 87% of MM cases, PC displayed an aberrant phenotype at diagnosis. The most important aberrant criteria were: antigen over-expression of CD56 (62%), CD28 (16%) and CD33 (6%) and asynchronous expression of CD117 (28%), sIg (21%) and CD20 (10%). DNA aneuploidy was found in 62% of cases. The simultaneous use of these two techniques allowed the detection of aberrant/aneuploid PC in 95% of the cases. Based on dilutional experiments, the detection limit of both techniques ranged from 10-4 to 10-5. In 29 stem Cells harvests and 19 BM samples obtained 3 months after autologous transplantation, we have investigated the presence of residual myelomatous PC; they were detected in 44% of the stem cell collections and in 61% of the BM samples obtained after transplant. The percentage of pathological PC did not significantly change during the days of harvest. In summary, the present study shows that the combined use of immunophenotyping and DNA ploidy studies is a suitable approach for MRD investigation in MM patients based on their applicability (95% of cases) and sensitivity (up to 10-5).","author":[{"dropping-particle":"","family":"Almeida","given":"Julia","non-dropping-particle":"","parse-names":false,"suffix":""},{"dropping-particle":"","family":"Oreao","given":"Alberto","non-dropping-particle":"","parse-names":false,"suffix":""},{"dropping-particle":"","family":"Ocqueteau","given":"Mauricio","non-dropping-particle":"","parse-names":false,"suffix":""},{"dropping-particle":"","family":"Mateo","given":"Gema","non-dropping-particle":"","parse-names":false,"suffix":""},{"dropping-particle":"","family":"Corral","given":"Mercedes","non-dropping-particle":"","parse-names":false,"suffix":""},{"dropping-particle":"","family":"Caballero","given":"M. Delores","non-dropping-particle":"","parse-names":false,"suffix":""},{"dropping-particle":"","family":"Blade","given":"Joan","non-dropping-particle":"","parse-names":false,"suffix":""},{"dropping-particle":"","family":"Moro","given":"M. Jesus","non-dropping-particle":"","parse-names":false,"suffix":""},{"dropping-particle":"","family":"Hernandez","given":"Jose","non-dropping-particle":"","parse-names":false,"suffix":""},{"dropping-particle":"","family":"San Miguel","given":"Jesus F.","non-dropping-particle":"","parse-names":false,"suffix":""}],"container-title":"British Journal of Haematology","id":"ITEM-1","issue":"1","issued":{"date-parts":[["1999"]]},"page":"121-131","title":"High-sensitive immunophenotyping and DNA ploidy studies for the investigation of minimal residual disease in multiple myeloma","type":"article-journal","volume":"107"},"uris":["http://www.mendeley.com/documents/?uuid=6248c12c-019f-4f21-9fd4-6fe897f2d84b"]}],"mendeley":{"formattedCitation":"(3)","plainTextFormattedCitation":"(3)","previouslyFormattedCitation":"Julia Almeida and others, ‘High-Sensitive Immunophenotyping and DNA Ploidy Studies for the Investigation of Minimal Residual Disease in Multiple Myeloma’, &lt;i&gt;British Journal of Haematology&lt;/i&gt;, 107.1 (1999), 121–31 &lt;https://doi.org/10.1046/j.1365-2141.1999.01685.x&gt;."},"properties":{"noteIndex":0},"schema":"https://github.com/citation-style-language/schema/raw/master/csl-citation.json"}</w:instrText>
      </w:r>
      <w:r w:rsidR="0028466E">
        <w:rPr>
          <w:rStyle w:val="Fodnotehenvisning"/>
        </w:rPr>
        <w:fldChar w:fldCharType="separate"/>
      </w:r>
      <w:r w:rsidR="0028466E" w:rsidRPr="0028466E">
        <w:rPr>
          <w:noProof/>
        </w:rPr>
        <w:t>(3)</w:t>
      </w:r>
      <w:r w:rsidR="0028466E">
        <w:rPr>
          <w:rStyle w:val="Fodnotehenvisning"/>
        </w:rPr>
        <w:fldChar w:fldCharType="end"/>
      </w:r>
      <w:r w:rsidR="000842A5" w:rsidRPr="000842A5">
        <w:rPr>
          <w:color w:val="000000"/>
          <w:shd w:val="clear" w:color="auto" w:fill="FFFFFF"/>
        </w:rPr>
        <w:t>,</w:t>
      </w:r>
      <w:r w:rsidR="0028466E">
        <w:rPr>
          <w:rStyle w:val="Fodnotehenvisning"/>
        </w:rPr>
        <w:fldChar w:fldCharType="begin" w:fldLock="1"/>
      </w:r>
      <w:r w:rsidR="0028466E">
        <w:instrText>ADDIN CSL_CITATION {"citationItems":[{"id":"ITEM-1","itemData":{"DOI":"10.1182/blood-2007-05-088443","ISSN":"0006-4971","abstract":"Monoclonal gammopathy of uncertain significance (MGUS) and smoldering multiple myeloma (SMM) are plasma cell disorders with a risk of progression of approximately 1% and 10% per year, respectively. We have previously shown that the proportion of bone marrow (BM) aberrant plasma cells (aPCs) within the BMPC compartment (aPC/BMPC) as assessed by flow cytometry (FC) contributes to differential diagnosis between MGUS and multiple myloma (MM). The goal of the present study was to investigate this parameter as a marker for risk of progression in MGUS (n = 407) and SMM (n = 93). Patients with a marked predominance of aPCs/BMPC (≥ 95%) at diagnosis displayed a significantly higher risk of progression both in MGUS and SMM (P&lt; .001). Multivariate analysis for progression-free survival (PFS) selected the percentage aPC/BMPC (≥ 95%) as the most important independent variable, together with DNA aneuploidy and immunoparesis, for MGUS and SMM, respectively. Using these independent variables, we have identified 3 risk categories in MGUS (PFS at 5 years of 2%, 10%, and 46%, respectively; P&lt; .001) and SMM patients (PFS at 5 years of 4%, 46%, and 72%, respectively; P &lt; .001). Our results show that multiparameter FC evaluation of BMPC at diagnosis is a valuable tool that could help to individualize the follow-up strategy for MGUS and SMM patients.","author":[{"dropping-particle":"","family":"Pérez-Persona","given":"Ernesto","non-dropping-particle":"","parse-names":false,"suffix":""},{"dropping-particle":"","family":"Vidriales","given":"María-Belén","non-dropping-particle":"","parse-names":false,"suffix":""},{"dropping-particle":"","family":"Mateo","given":"Gema","non-dropping-particle":"","parse-names":false,"suffix":""},{"dropping-particle":"","family":"García-Sanz","given":"Ramón","non-dropping-particle":"","parse-names":false,"suffix":""},{"dropping-particle":"","family":"Mateos","given":"Maria-Victoria","non-dropping-particle":"","parse-names":false,"suffix":""},{"dropping-particle":"","family":"Coca","given":"Alfonso García","non-dropping-particle":"de","parse-names":false,"suffix":""},{"dropping-particle":"","family":"Galende","given":"Josefina","non-dropping-particle":"","parse-names":false,"suffix":""},{"dropping-particle":"","family":"Martín-Nuñez","given":"Guillermo","non-dropping-particle":"","parse-names":false,"suffix":""},{"dropping-particle":"","family":"Alonso","given":"José M.","non-dropping-particle":"","parse-names":false,"suffix":""},{"dropping-particle":"","family":"las Heras","given":"Natalia","non-dropping-particle":"de","parse-names":false,"suffix":""},{"dropping-particle":"","family":"Hernández","given":"José M.","non-dropping-particle":"","parse-names":false,"suffix":""},{"dropping-particle":"","family":"Martín","given":"Alejandro","non-dropping-particle":"","parse-names":false,"suffix":""},{"dropping-particle":"","family":"López-Berges","given":"Consuelo","non-dropping-particle":"","parse-names":false,"suffix":""},{"dropping-particle":"","family":"Orfao","given":"Alberto","non-dropping-particle":"","parse-names":false,"suffix":""},{"dropping-particle":"","family":"San Miguel","given":"Jesús F.","non-dropping-particle":"","parse-names":false,"suffix":""}],"container-title":"Blood","id":"ITEM-1","issue":"7","issued":{"date-parts":[["2007","10","1"]]},"page":"2586-2592","title":"New criteria to identify risk of progression in monoclonal gammopathy of uncertain significance and smoldering multiple myeloma based on multiparameter flow cytometry analysis of bone marrow plasma cells","type":"article-journal","volume":"110"},"uris":["http://www.mendeley.com/documents/?uuid=1e46121f-6789-43a5-b9ee-345ee59698bc"]}],"mendeley":{"formattedCitation":"(4)","plainTextFormattedCitation":"(4)","previouslyFormattedCitation":"Ernesto Pérez-Persona and others, ‘New Criteria to Identify Risk of Progression in Monoclonal Gammopathy of Uncertain Significance and Smoldering Multiple Myeloma Based on Multiparameter Flow Cytometry Analysis of Bone Marrow Plasma Cells’, &lt;i&gt;Blood&lt;/i&gt;, 110.7 (2007), 2586–92 &lt;https://doi.org/10.1182/blood-2007-05-088443&gt;."},"properties":{"noteIndex":0},"schema":"https://github.com/citation-style-language/schema/raw/master/csl-citation.json"}</w:instrText>
      </w:r>
      <w:r w:rsidR="0028466E">
        <w:rPr>
          <w:rStyle w:val="Fodnotehenvisning"/>
        </w:rPr>
        <w:fldChar w:fldCharType="separate"/>
      </w:r>
      <w:r w:rsidR="0028466E" w:rsidRPr="0028466E">
        <w:rPr>
          <w:noProof/>
        </w:rPr>
        <w:t>(4)</w:t>
      </w:r>
      <w:r w:rsidR="0028466E">
        <w:rPr>
          <w:rStyle w:val="Fodnotehenvisning"/>
        </w:rPr>
        <w:fldChar w:fldCharType="end"/>
      </w:r>
      <w:r w:rsidRPr="00995170">
        <w:t xml:space="preserve"> Accordingly, the total number of cells for these samples was defined as the number of events without doublets and debris calculated based on the ratio between gated events in the ungated sample versus gated sample using the </w:t>
      </w:r>
      <w:proofErr w:type="spellStart"/>
      <w:r w:rsidRPr="00995170">
        <w:t>FlowJo</w:t>
      </w:r>
      <w:r w:rsidRPr="00995170">
        <w:rPr>
          <w:vertAlign w:val="superscript"/>
        </w:rPr>
        <w:t>TM</w:t>
      </w:r>
      <w:proofErr w:type="spellEnd"/>
      <w:r w:rsidRPr="00995170">
        <w:t xml:space="preserve"> (</w:t>
      </w:r>
      <w:proofErr w:type="spellStart"/>
      <w:r w:rsidRPr="00995170">
        <w:t>FlowJo</w:t>
      </w:r>
      <w:proofErr w:type="spellEnd"/>
      <w:r w:rsidRPr="00995170">
        <w:t xml:space="preserve">, </w:t>
      </w:r>
      <w:proofErr w:type="spellStart"/>
      <w:r w:rsidRPr="00995170">
        <w:t>Treestar</w:t>
      </w:r>
      <w:proofErr w:type="spellEnd"/>
      <w:r w:rsidRPr="00995170">
        <w:t xml:space="preserve">; USA) software package. </w:t>
      </w:r>
      <w:r w:rsidRPr="00995170" w:rsidDel="00655A13">
        <w:t xml:space="preserve"> </w:t>
      </w:r>
    </w:p>
    <w:p w14:paraId="0BCC87B2" w14:textId="77777777" w:rsidR="00344901" w:rsidRPr="00995170" w:rsidRDefault="00344901" w:rsidP="00344901">
      <w:pPr>
        <w:pStyle w:val="Opstilling-punkttegn"/>
        <w:numPr>
          <w:ilvl w:val="0"/>
          <w:numId w:val="0"/>
        </w:numPr>
        <w:ind w:left="567"/>
        <w:jc w:val="both"/>
      </w:pPr>
    </w:p>
    <w:p w14:paraId="1E8C7149" w14:textId="137A2D52" w:rsidR="00156CD8" w:rsidRPr="00995170" w:rsidRDefault="00156CD8" w:rsidP="00D4564F">
      <w:pPr>
        <w:pStyle w:val="Opstilling-punkttegn"/>
        <w:numPr>
          <w:ilvl w:val="0"/>
          <w:numId w:val="0"/>
        </w:numPr>
        <w:spacing w:line="360" w:lineRule="auto"/>
        <w:ind w:left="567"/>
        <w:jc w:val="both"/>
      </w:pPr>
      <w:r w:rsidRPr="00995170">
        <w:rPr>
          <w:b/>
          <w:bCs/>
          <w:iCs/>
        </w:rPr>
        <w:t>Gating strategy for enumeration of selected multiple myeloma BM populations from diagnostic and follow-up samples</w:t>
      </w:r>
      <w:r w:rsidR="00D4564F" w:rsidRPr="00995170">
        <w:rPr>
          <w:b/>
          <w:bCs/>
          <w:iCs/>
        </w:rPr>
        <w:t xml:space="preserve">: </w:t>
      </w:r>
      <w:r w:rsidRPr="00995170">
        <w:t xml:space="preserve">Normal and malignant BM populations were </w:t>
      </w:r>
      <w:r w:rsidR="00A164D8" w:rsidRPr="00A164D8">
        <w:t>defined</w:t>
      </w:r>
      <w:r w:rsidRPr="00995170">
        <w:t xml:space="preserve"> by expert-based nonautomated data analysis utilizing the </w:t>
      </w:r>
      <w:proofErr w:type="spellStart"/>
      <w:r w:rsidRPr="00995170">
        <w:t>Infinicyt</w:t>
      </w:r>
      <w:proofErr w:type="spellEnd"/>
      <w:r w:rsidRPr="00995170">
        <w:t xml:space="preserve"> software package (</w:t>
      </w:r>
      <w:proofErr w:type="spellStart"/>
      <w:r w:rsidRPr="00995170">
        <w:t>Cytognos</w:t>
      </w:r>
      <w:proofErr w:type="spellEnd"/>
      <w:r w:rsidRPr="00995170">
        <w:t>, Salamanca, Spain)</w:t>
      </w:r>
      <w:r w:rsidR="000842A5">
        <w:t xml:space="preserve">; </w:t>
      </w:r>
      <w:r w:rsidR="0028466E">
        <w:rPr>
          <w:rStyle w:val="Fodnotehenvisning"/>
        </w:rPr>
        <w:fldChar w:fldCharType="begin" w:fldLock="1"/>
      </w:r>
      <w:r w:rsidR="0028466E">
        <w:instrText>ADDIN CSL_CITATION {"citationItems":[{"id":"ITEM-1","itemData":{"DOI":"10.1038/bcj.2017.90","ISSN":"2044-5385","PMID":"29053157","abstract":"Multiparameter flow cytometry (MFC) has become standard in the management of patients with plasma cell (PC) dyscrasias, and could be considered mandatory in specific areas of routine clinical practice. It plays a significant role during the differential diagnostic work-up because of its fast and conclusive readout of PC clonality, and simultaneously provides prognostic information in most monoclonal gammopathies. Recent advances in the treatment and outcomes of multiple myeloma led to the implementation of new response criteria, including minimal residual disease (MRD) status as one of the most relevant clinical endpoints with the potential to act as surrogate for survival. Recent technical progress led to the development of next-generation flow (NGF) cytometry that represents a validated, highly sensitive, cost-effective and widely available technique for standardized MRD evaluation, which also could be used for the detection of circulating tumor cells. Here we review current applications of MFC and NGF in most PC disorders including the less frequent solitary plasmocytoma, light-chain amyloidosis or Waldenström macroglobulinemia.","author":[{"dropping-particle":"","family":"Jelinek","given":"T.","non-dropping-particle":"","parse-names":false,"suffix":""},{"dropping-particle":"","family":"Bezdekova","given":"R.","non-dropping-particle":"","parse-names":false,"suffix":""},{"dropping-particle":"","family":"Zatopkova","given":"M.","non-dropping-particle":"","parse-names":false,"suffix":""},{"dropping-particle":"","family":"Burgos","given":"L.","non-dropping-particle":"","parse-names":false,"suffix":""},{"dropping-particle":"","family":"Simicek","given":"M.","non-dropping-particle":"","parse-names":false,"suffix":""},{"dropping-particle":"","family":"Sevcikova","given":"T.","non-dropping-particle":"","parse-names":false,"suffix":""},{"dropping-particle":"","family":"Paiva","given":"B.","non-dropping-particle":"","parse-names":false,"suffix":""},{"dropping-particle":"","family":"Hajek","given":"R.","non-dropping-particle":"","parse-names":false,"suffix":""}],"container-title":"Blood Cancer Journal","id":"ITEM-1","issue":"10","issued":{"date-parts":[["2017","10","20"]]},"page":"e617-e617","title":"Current applications of multiparameter flow cytometry in plasma cell disorders","type":"article-journal","volume":"7"},"uris":["http://www.mendeley.com/documents/?uuid=23079f67-60fc-4736-b54b-334ae2680ab1"]}],"mendeley":{"formattedCitation":"(5)","plainTextFormattedCitation":"(5)","previouslyFormattedCitation":"T. Jelinek and others, ‘Current Applications of Multiparameter Flow Cytometry in Plasma Cell Disorders’, &lt;i&gt;Blood Cancer Journal&lt;/i&gt;, 7.10 (2017), e617–e617 &lt;https://doi.org/10.1038/bcj.2017.90&gt;."},"properties":{"noteIndex":0},"schema":"https://github.com/citation-style-language/schema/raw/master/csl-citation.json"}</w:instrText>
      </w:r>
      <w:r w:rsidR="0028466E">
        <w:rPr>
          <w:rStyle w:val="Fodnotehenvisning"/>
        </w:rPr>
        <w:fldChar w:fldCharType="separate"/>
      </w:r>
      <w:r w:rsidR="0028466E" w:rsidRPr="0028466E">
        <w:rPr>
          <w:bCs/>
          <w:noProof/>
          <w:lang w:val="en-US"/>
        </w:rPr>
        <w:t>(5)</w:t>
      </w:r>
      <w:r w:rsidR="0028466E">
        <w:rPr>
          <w:rStyle w:val="Fodnotehenvisning"/>
        </w:rPr>
        <w:fldChar w:fldCharType="end"/>
      </w:r>
      <w:r w:rsidR="000842A5">
        <w:t>,</w:t>
      </w:r>
      <w:r w:rsidR="0028466E">
        <w:rPr>
          <w:rStyle w:val="Fodnotehenvisning"/>
        </w:rPr>
        <w:fldChar w:fldCharType="begin" w:fldLock="1"/>
      </w:r>
      <w:r w:rsidR="0028466E">
        <w:instrText>ADDIN CSL_CITATION {"citationItems":[{"id":"ITEM-1","itemData":{"DOI":"10.1002/cyto.b.21228","ISSN":"15524949","PMID":"25619868","abstract":"BACKGROUND Major heterogeneity between laboratories in flow cytometry (FC) minimal residual disease (MRD) testing in multiple myeloma (MM) must be overcome. Cytometry societies such as the International Clinical Cytometry Society and the European Society for Clinical Cell Analysis recognize a strong need to establish minimally acceptable requirements and recommendations to perform such complex testing. METHODS A group of 11 flow cytometrists currently performing FC testing in MM using different instrumentation, panel designs (≥ 6-color) and analysis software compared the procedures between their respective laboratories and reviewed the literature to propose a consensus guideline on flow-MRD analysis and reporting in MM. RESULTS/CONCLUSION Consensus guidelines support i) the use of minimum of five initial gating parameters (CD38, CD138, CD45, forward, and sideward light scatter) within the same aliquot for accurate identification of the total plasma cell compartment; ii) the analysis of potentially aberrant phenotypic markers and to report the antigen expression pattern on neoplastic plasma cells as being reduced, normal or increased, when compared to a normal reference plasma cell immunophenotype (obtained using the same instrument and parameters); and iii) the percentage of total bone marrow plasma cells plus the percentages of both normal and neoplastic plasma cells within the total bone marrow plasma cell compartment, and over total bone marrow cells. Consensus guidelines on minimal current and future MRD analyses should target a lower limit of detection of 0.001%, and ideally a limit of quantification of 0.001%, which requires at least 3 × 10(6) and 5 × 10(6) bone marrow cells to be measured, respectively.","author":[{"dropping-particle":"","family":"Arroz","given":"Maria","non-dropping-particle":"","parse-names":false,"suffix":""},{"dropping-particle":"","family":"Came","given":"Neil","non-dropping-particle":"","parse-names":false,"suffix":""},{"dropping-particle":"","family":"Lin","given":"Pei","non-dropping-particle":"","parse-names":false,"suffix":""},{"dropping-particle":"","family":"Chen","given":"Weina","non-dropping-particle":"","parse-names":false,"suffix":""},{"dropping-particle":"","family":"Yuan","given":"Constance","non-dropping-particle":"","parse-names":false,"suffix":""},{"dropping-particle":"","family":"Lagoo","given":"Anand","non-dropping-particle":"","parse-names":false,"suffix":""},{"dropping-particle":"","family":"Monreal","given":"Mariela","non-dropping-particle":"","parse-names":false,"suffix":""},{"dropping-particle":"","family":"Tute","given":"Ruth","non-dropping-particle":"de","parse-names":false,"suffix":""},{"dropping-particle":"","family":"Vergilio","given":"Jo-Anne","non-dropping-particle":"","parse-names":false,"suffix":""},{"dropping-particle":"","family":"Rawstron","given":"Andy C.","non-dropping-particle":"","parse-names":false,"suffix":""},{"dropping-particle":"","family":"Paiva","given":"Bruno","non-dropping-particle":"","parse-names":false,"suffix":""}],"container-title":"Cytometry Part B: Clinical Cytometry","id":"ITEM-1","issue":"1","issued":{"date-parts":[["2016","1"]]},"page":"31-39","title":"Consensus guidelines on plasma cell myeloma minimal residual disease analysis and reporting","type":"article-journal","volume":"90"},"uris":["http://www.mendeley.com/documents/?uuid=bb801d5e-9da6-4275-830f-2f131405ee0f"]}],"mendeley":{"formattedCitation":"(6)","plainTextFormattedCitation":"(6)","previouslyFormattedCitation":"Maria Arroz and others, ‘Consensus Guidelines on Plasma Cell Myeloma Minimal Residual Disease Analysis and Reporting’, &lt;i&gt;Cytometry Part B: Clinical Cytometry&lt;/i&gt;, 90.1 (2016), 31–39 &lt;https://doi.org/10.1002/cyto.b.21228&gt;."},"properties":{"noteIndex":0},"schema":"https://github.com/citation-style-language/schema/raw/master/csl-citation.json"}</w:instrText>
      </w:r>
      <w:r w:rsidR="0028466E">
        <w:rPr>
          <w:rStyle w:val="Fodnotehenvisning"/>
        </w:rPr>
        <w:fldChar w:fldCharType="separate"/>
      </w:r>
      <w:r w:rsidR="0028466E" w:rsidRPr="0028466E">
        <w:rPr>
          <w:bCs/>
          <w:noProof/>
          <w:lang w:val="en-US"/>
        </w:rPr>
        <w:t>(6)</w:t>
      </w:r>
      <w:r w:rsidR="0028466E">
        <w:rPr>
          <w:rStyle w:val="Fodnotehenvisning"/>
        </w:rPr>
        <w:fldChar w:fldCharType="end"/>
      </w:r>
      <w:r w:rsidR="000842A5">
        <w:t xml:space="preserve">. </w:t>
      </w:r>
      <w:r w:rsidRPr="00995170">
        <w:t>Briefly, flow cytometry data files from acquired tubes were concatemerized without calculation of missing parameters. Debris and doublets were removed based on scatter properties. Malignant plasma cells (</w:t>
      </w:r>
      <w:proofErr w:type="spellStart"/>
      <w:r w:rsidRPr="00995170">
        <w:t>mPC</w:t>
      </w:r>
      <w:proofErr w:type="spellEnd"/>
      <w:r w:rsidRPr="00995170">
        <w:t>) were differentiated from normal plasma cells (</w:t>
      </w:r>
      <w:proofErr w:type="spellStart"/>
      <w:r w:rsidRPr="00995170">
        <w:t>nPC</w:t>
      </w:r>
      <w:proofErr w:type="spellEnd"/>
      <w:r w:rsidRPr="00995170">
        <w:t>) and internal control populations by manual gating using surface expressed markers and the cytoplasmic expression of light chain. Populations were assigned by manually applying gates around the regions of interest using multiple markers simultaneously and removal of events not belonging to the population by simultaneous inspection of relevant marker combinations (</w:t>
      </w:r>
      <w:r w:rsidRPr="00995170">
        <w:rPr>
          <w:i/>
        </w:rPr>
        <w:t>Figure S1</w:t>
      </w:r>
      <w:r w:rsidRPr="00995170">
        <w:t xml:space="preserve">). B-cells were defined by a combination of scatter properties, positive markers (CD45 and CD19), markers with low or absent expression (CD138, CD56, CD28), and further separated based on their CD38 expression into mature B-cells and CD38 positive B-cells. Plasma cells were basically defined by scatter </w:t>
      </w:r>
      <w:r w:rsidRPr="00995170">
        <w:lastRenderedPageBreak/>
        <w:t xml:space="preserve">properties and high CD38 expression level together with CD138, CD45 and CD19 expression. Malignant plasma cells were subsequently separated from their normal counterpart based on CD19 negativity and CD45 </w:t>
      </w:r>
      <w:r w:rsidR="00A164D8" w:rsidRPr="00A164D8">
        <w:t>under expression</w:t>
      </w:r>
      <w:r w:rsidRPr="00995170">
        <w:t>, in combination with varying levels of CD56, CD27, CD28, CD117, CD81 and clonality (kappa/lambda restriction), whereas normal plasma cells were generally CD56/CD28/CD117low, CD27 positive and polyclonal. Mast cells were defined as bright CD117 positive/CD38 negative. Remaining CD45 positive/side scatter low cells were defined as lymphocyte population.</w:t>
      </w:r>
    </w:p>
    <w:p w14:paraId="5A1E735C" w14:textId="48BAA85B" w:rsidR="0055598A" w:rsidRPr="00995170" w:rsidRDefault="0055598A" w:rsidP="00AC213D">
      <w:pPr>
        <w:tabs>
          <w:tab w:val="left" w:pos="1701"/>
        </w:tabs>
        <w:ind w:left="567"/>
        <w:jc w:val="both"/>
        <w:rPr>
          <w:iCs/>
          <w:sz w:val="28"/>
          <w:szCs w:val="24"/>
        </w:rPr>
      </w:pPr>
      <w:r w:rsidRPr="00995170">
        <w:rPr>
          <w:b/>
          <w:iCs/>
          <w:szCs w:val="24"/>
        </w:rPr>
        <w:t>Figure S</w:t>
      </w:r>
      <w:r w:rsidR="001A5DEA" w:rsidRPr="00995170">
        <w:rPr>
          <w:b/>
          <w:iCs/>
          <w:szCs w:val="24"/>
        </w:rPr>
        <w:t>1</w:t>
      </w:r>
      <w:r w:rsidR="004D3B26" w:rsidRPr="00995170">
        <w:rPr>
          <w:b/>
          <w:iCs/>
          <w:szCs w:val="24"/>
        </w:rPr>
        <w:t xml:space="preserve">: General MFC analysis gating strategy for </w:t>
      </w:r>
      <w:proofErr w:type="spellStart"/>
      <w:r w:rsidR="004D3B26" w:rsidRPr="00995170">
        <w:rPr>
          <w:b/>
          <w:iCs/>
          <w:szCs w:val="24"/>
        </w:rPr>
        <w:t>immunophenotypical</w:t>
      </w:r>
      <w:proofErr w:type="spellEnd"/>
      <w:r w:rsidR="004D3B26" w:rsidRPr="00995170">
        <w:rPr>
          <w:b/>
          <w:iCs/>
          <w:szCs w:val="24"/>
        </w:rPr>
        <w:t xml:space="preserve"> definition and gating of normal and malignant cellular BM populations</w:t>
      </w:r>
    </w:p>
    <w:p w14:paraId="6B07CF64" w14:textId="3BD98CD7" w:rsidR="000312C9" w:rsidRPr="00995170" w:rsidRDefault="00AC213D" w:rsidP="00AC213D">
      <w:pPr>
        <w:tabs>
          <w:tab w:val="left" w:pos="709"/>
          <w:tab w:val="left" w:pos="1701"/>
        </w:tabs>
        <w:spacing w:line="360" w:lineRule="auto"/>
        <w:jc w:val="both"/>
        <w:rPr>
          <w:b/>
          <w:iCs/>
          <w:szCs w:val="24"/>
        </w:rPr>
      </w:pPr>
      <w:r w:rsidRPr="00995170">
        <w:rPr>
          <w:iCs/>
          <w:noProof/>
          <w:sz w:val="28"/>
          <w:szCs w:val="24"/>
          <w:lang w:val="en-US"/>
        </w:rPr>
        <w:drawing>
          <wp:anchor distT="0" distB="0" distL="114300" distR="114300" simplePos="0" relativeHeight="251661312" behindDoc="0" locked="0" layoutInCell="1" allowOverlap="1" wp14:anchorId="2932B6A8" wp14:editId="17F038F2">
            <wp:simplePos x="0" y="0"/>
            <wp:positionH relativeFrom="margin">
              <wp:posOffset>427355</wp:posOffset>
            </wp:positionH>
            <wp:positionV relativeFrom="paragraph">
              <wp:posOffset>27305</wp:posOffset>
            </wp:positionV>
            <wp:extent cx="5697220" cy="32258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97220" cy="3225800"/>
                    </a:xfrm>
                    <a:prstGeom prst="rect">
                      <a:avLst/>
                    </a:prstGeom>
                  </pic:spPr>
                </pic:pic>
              </a:graphicData>
            </a:graphic>
            <wp14:sizeRelH relativeFrom="margin">
              <wp14:pctWidth>0</wp14:pctWidth>
            </wp14:sizeRelH>
            <wp14:sizeRelV relativeFrom="margin">
              <wp14:pctHeight>0</wp14:pctHeight>
            </wp14:sizeRelV>
          </wp:anchor>
        </w:drawing>
      </w:r>
    </w:p>
    <w:p w14:paraId="6CB0562D" w14:textId="52DB577D" w:rsidR="007D2DAD" w:rsidRPr="00995170" w:rsidRDefault="007D2DAD" w:rsidP="0057124A">
      <w:pPr>
        <w:tabs>
          <w:tab w:val="left" w:pos="709"/>
          <w:tab w:val="left" w:pos="1701"/>
        </w:tabs>
        <w:spacing w:line="360" w:lineRule="auto"/>
        <w:ind w:left="709"/>
        <w:jc w:val="both"/>
        <w:rPr>
          <w:iCs/>
          <w:szCs w:val="24"/>
        </w:rPr>
      </w:pPr>
      <w:r w:rsidRPr="00995170">
        <w:rPr>
          <w:b/>
          <w:iCs/>
          <w:szCs w:val="24"/>
        </w:rPr>
        <w:t>Figure S</w:t>
      </w:r>
      <w:r w:rsidR="001A5DEA" w:rsidRPr="00995170">
        <w:rPr>
          <w:b/>
          <w:iCs/>
          <w:szCs w:val="24"/>
        </w:rPr>
        <w:t>1</w:t>
      </w:r>
      <w:r w:rsidR="0055598A" w:rsidRPr="00995170">
        <w:rPr>
          <w:b/>
          <w:iCs/>
          <w:szCs w:val="24"/>
        </w:rPr>
        <w:t xml:space="preserve"> Legend</w:t>
      </w:r>
      <w:r w:rsidRPr="00995170">
        <w:rPr>
          <w:b/>
          <w:iCs/>
          <w:szCs w:val="24"/>
        </w:rPr>
        <w:t>:</w:t>
      </w:r>
      <w:r w:rsidRPr="00995170">
        <w:rPr>
          <w:iCs/>
          <w:szCs w:val="24"/>
        </w:rPr>
        <w:t xml:space="preserve"> </w:t>
      </w:r>
      <w:r w:rsidRPr="00995170">
        <w:rPr>
          <w:b/>
          <w:bCs/>
          <w:iCs/>
          <w:szCs w:val="24"/>
        </w:rPr>
        <w:t>Assigned populations:</w:t>
      </w:r>
      <w:r w:rsidRPr="00995170">
        <w:rPr>
          <w:iCs/>
          <w:szCs w:val="24"/>
        </w:rPr>
        <w:t xml:space="preserve">  </w:t>
      </w:r>
      <w:r w:rsidRPr="00995170">
        <w:rPr>
          <w:b/>
          <w:bCs/>
          <w:iCs/>
          <w:szCs w:val="24"/>
        </w:rPr>
        <w:t>Red:</w:t>
      </w:r>
      <w:r w:rsidRPr="00995170">
        <w:rPr>
          <w:iCs/>
          <w:szCs w:val="24"/>
        </w:rPr>
        <w:t xml:space="preserve"> </w:t>
      </w:r>
      <w:proofErr w:type="spellStart"/>
      <w:r w:rsidRPr="00995170">
        <w:rPr>
          <w:iCs/>
          <w:szCs w:val="24"/>
        </w:rPr>
        <w:t>mPC</w:t>
      </w:r>
      <w:proofErr w:type="spellEnd"/>
      <w:r w:rsidRPr="00995170">
        <w:rPr>
          <w:iCs/>
          <w:szCs w:val="24"/>
        </w:rPr>
        <w:t xml:space="preserve"> (CD38++, CD45 low-dim, CD19low, CD138 variable); </w:t>
      </w:r>
      <w:r w:rsidRPr="00995170">
        <w:rPr>
          <w:b/>
          <w:bCs/>
          <w:iCs/>
          <w:szCs w:val="24"/>
        </w:rPr>
        <w:t>Green:</w:t>
      </w:r>
      <w:r w:rsidRPr="00995170">
        <w:rPr>
          <w:iCs/>
          <w:szCs w:val="24"/>
        </w:rPr>
        <w:t xml:space="preserve"> </w:t>
      </w:r>
      <w:proofErr w:type="spellStart"/>
      <w:r w:rsidRPr="00995170">
        <w:rPr>
          <w:iCs/>
          <w:szCs w:val="24"/>
        </w:rPr>
        <w:t>nPC</w:t>
      </w:r>
      <w:proofErr w:type="spellEnd"/>
      <w:r w:rsidRPr="00995170">
        <w:rPr>
          <w:iCs/>
          <w:szCs w:val="24"/>
        </w:rPr>
        <w:t xml:space="preserve"> (CD38++, CD45 dim-</w:t>
      </w:r>
      <w:proofErr w:type="spellStart"/>
      <w:r w:rsidRPr="00995170">
        <w:rPr>
          <w:iCs/>
          <w:szCs w:val="24"/>
        </w:rPr>
        <w:t>pos</w:t>
      </w:r>
      <w:proofErr w:type="spellEnd"/>
      <w:r w:rsidRPr="00995170">
        <w:rPr>
          <w:iCs/>
          <w:szCs w:val="24"/>
        </w:rPr>
        <w:t xml:space="preserve">, CD19pos). </w:t>
      </w:r>
      <w:r w:rsidRPr="00995170">
        <w:rPr>
          <w:b/>
          <w:bCs/>
          <w:iCs/>
          <w:szCs w:val="24"/>
        </w:rPr>
        <w:t>Orange:</w:t>
      </w:r>
      <w:r w:rsidRPr="00995170">
        <w:rPr>
          <w:iCs/>
          <w:szCs w:val="24"/>
        </w:rPr>
        <w:t xml:space="preserve"> mature B-cells CD19pos CD45pos CD38neg). </w:t>
      </w:r>
      <w:r w:rsidRPr="00995170">
        <w:rPr>
          <w:b/>
          <w:bCs/>
          <w:iCs/>
          <w:szCs w:val="24"/>
        </w:rPr>
        <w:t>Olive:</w:t>
      </w:r>
      <w:r w:rsidRPr="00995170">
        <w:rPr>
          <w:iCs/>
          <w:szCs w:val="24"/>
        </w:rPr>
        <w:t xml:space="preserve"> CD38pos B-cells (CD19pos, CD38pos, CD45pos). </w:t>
      </w:r>
      <w:r w:rsidRPr="00995170">
        <w:rPr>
          <w:b/>
          <w:bCs/>
          <w:iCs/>
          <w:szCs w:val="24"/>
        </w:rPr>
        <w:t>Pink:</w:t>
      </w:r>
      <w:r w:rsidRPr="00995170">
        <w:rPr>
          <w:iCs/>
          <w:szCs w:val="24"/>
        </w:rPr>
        <w:t xml:space="preserve"> Mast cells (CD117++; CD38neg). </w:t>
      </w:r>
      <w:r w:rsidRPr="00995170">
        <w:rPr>
          <w:b/>
          <w:bCs/>
          <w:iCs/>
          <w:szCs w:val="24"/>
        </w:rPr>
        <w:t>Dark grey</w:t>
      </w:r>
      <w:r w:rsidRPr="00995170">
        <w:rPr>
          <w:iCs/>
          <w:szCs w:val="24"/>
        </w:rPr>
        <w:t xml:space="preserve">: other CD45pos lymphocytes. </w:t>
      </w:r>
      <w:r w:rsidRPr="00995170">
        <w:rPr>
          <w:b/>
          <w:bCs/>
          <w:iCs/>
          <w:szCs w:val="24"/>
        </w:rPr>
        <w:t>Light grey</w:t>
      </w:r>
      <w:r w:rsidRPr="00995170">
        <w:rPr>
          <w:b/>
          <w:bCs/>
          <w:iCs/>
        </w:rPr>
        <w:t>:</w:t>
      </w:r>
      <w:r w:rsidRPr="00995170">
        <w:rPr>
          <w:iCs/>
        </w:rPr>
        <w:t xml:space="preserve"> Unassigned cells.  </w:t>
      </w:r>
      <w:r w:rsidRPr="00995170">
        <w:rPr>
          <w:b/>
          <w:bCs/>
          <w:iCs/>
        </w:rPr>
        <w:t>Circles</w:t>
      </w:r>
      <w:r w:rsidR="004D3B26" w:rsidRPr="00995170">
        <w:rPr>
          <w:b/>
          <w:bCs/>
          <w:iCs/>
        </w:rPr>
        <w:t>:</w:t>
      </w:r>
      <w:r w:rsidRPr="00995170">
        <w:rPr>
          <w:iCs/>
        </w:rPr>
        <w:t xml:space="preserve"> </w:t>
      </w:r>
      <w:r w:rsidR="004D3B26" w:rsidRPr="00995170">
        <w:rPr>
          <w:iCs/>
        </w:rPr>
        <w:t>M</w:t>
      </w:r>
      <w:r w:rsidRPr="00995170">
        <w:rPr>
          <w:iCs/>
        </w:rPr>
        <w:t xml:space="preserve">edian MFI values for </w:t>
      </w:r>
      <w:r w:rsidR="004D3B26" w:rsidRPr="00995170">
        <w:rPr>
          <w:iCs/>
        </w:rPr>
        <w:t>individual</w:t>
      </w:r>
      <w:r w:rsidRPr="00995170">
        <w:rPr>
          <w:iCs/>
        </w:rPr>
        <w:t xml:space="preserve"> acquired </w:t>
      </w:r>
      <w:r w:rsidRPr="00995170">
        <w:rPr>
          <w:iCs/>
          <w:szCs w:val="24"/>
        </w:rPr>
        <w:t>tubes.</w:t>
      </w:r>
    </w:p>
    <w:p w14:paraId="5AAA14E6" w14:textId="732956B3" w:rsidR="002F56E3" w:rsidRPr="00995170" w:rsidRDefault="002F56E3" w:rsidP="00044ABE">
      <w:pPr>
        <w:tabs>
          <w:tab w:val="left" w:pos="709"/>
          <w:tab w:val="left" w:pos="1701"/>
        </w:tabs>
        <w:ind w:left="709"/>
        <w:jc w:val="both"/>
        <w:rPr>
          <w:i/>
          <w:sz w:val="22"/>
        </w:rPr>
      </w:pPr>
    </w:p>
    <w:p w14:paraId="13F003D2" w14:textId="6CFBBD8E" w:rsidR="008A04A5" w:rsidRPr="00995170" w:rsidRDefault="008A04A5" w:rsidP="00044ABE">
      <w:pPr>
        <w:tabs>
          <w:tab w:val="left" w:pos="709"/>
          <w:tab w:val="left" w:pos="1701"/>
        </w:tabs>
        <w:ind w:left="709"/>
        <w:jc w:val="both"/>
        <w:rPr>
          <w:i/>
          <w:sz w:val="22"/>
        </w:rPr>
      </w:pPr>
    </w:p>
    <w:p w14:paraId="10A3E600" w14:textId="7ABB59C0" w:rsidR="00D4564F" w:rsidRPr="00995170" w:rsidRDefault="00D4564F" w:rsidP="00044ABE">
      <w:pPr>
        <w:tabs>
          <w:tab w:val="left" w:pos="709"/>
          <w:tab w:val="left" w:pos="1701"/>
        </w:tabs>
        <w:ind w:left="709"/>
        <w:jc w:val="both"/>
        <w:rPr>
          <w:i/>
          <w:sz w:val="22"/>
        </w:rPr>
      </w:pPr>
    </w:p>
    <w:p w14:paraId="006F0D18" w14:textId="3F560C63" w:rsidR="00D4564F" w:rsidRPr="00995170" w:rsidRDefault="00D4564F" w:rsidP="00044ABE">
      <w:pPr>
        <w:tabs>
          <w:tab w:val="left" w:pos="709"/>
          <w:tab w:val="left" w:pos="1701"/>
        </w:tabs>
        <w:ind w:left="709"/>
        <w:jc w:val="both"/>
        <w:rPr>
          <w:i/>
          <w:sz w:val="22"/>
        </w:rPr>
      </w:pPr>
    </w:p>
    <w:p w14:paraId="6C1271D6" w14:textId="0C3C489C" w:rsidR="00B77C2C" w:rsidRPr="00995170" w:rsidRDefault="00161EC4" w:rsidP="00AC213D">
      <w:pPr>
        <w:jc w:val="both"/>
        <w:rPr>
          <w:b/>
          <w:i/>
        </w:rPr>
      </w:pPr>
      <w:r w:rsidRPr="00995170">
        <w:rPr>
          <w:b/>
          <w:iCs/>
          <w:sz w:val="28"/>
          <w:szCs w:val="28"/>
        </w:rPr>
        <w:lastRenderedPageBreak/>
        <w:t>2</w:t>
      </w:r>
      <w:r w:rsidRPr="00995170">
        <w:rPr>
          <w:b/>
          <w:i/>
          <w:sz w:val="28"/>
          <w:szCs w:val="28"/>
        </w:rPr>
        <w:tab/>
      </w:r>
      <w:r w:rsidR="004D3B26" w:rsidRPr="00995170">
        <w:rPr>
          <w:b/>
          <w:bCs/>
          <w:noProof/>
        </w:rPr>
        <w:t>SUPPLEMENTARY RESULTS</w:t>
      </w:r>
      <w:bookmarkStart w:id="1" w:name="_ABSTRACT"/>
      <w:bookmarkStart w:id="2" w:name="_Toc7528684"/>
      <w:bookmarkEnd w:id="1"/>
    </w:p>
    <w:p w14:paraId="1B1B0567" w14:textId="77777777" w:rsidR="00940F7A" w:rsidRDefault="006C5ECA" w:rsidP="00C77BC0">
      <w:pPr>
        <w:tabs>
          <w:tab w:val="left" w:pos="709"/>
        </w:tabs>
        <w:jc w:val="both"/>
        <w:rPr>
          <w:b/>
          <w:bCs/>
          <w:iCs/>
          <w:szCs w:val="24"/>
        </w:rPr>
      </w:pPr>
      <w:r w:rsidRPr="00995170">
        <w:rPr>
          <w:b/>
          <w:iCs/>
          <w:noProof/>
          <w:szCs w:val="24"/>
          <w:lang w:val="en-US"/>
        </w:rPr>
        <w:drawing>
          <wp:anchor distT="0" distB="0" distL="114300" distR="114300" simplePos="0" relativeHeight="251663360" behindDoc="0" locked="0" layoutInCell="1" allowOverlap="1" wp14:anchorId="4262D7CA" wp14:editId="6CC10094">
            <wp:simplePos x="0" y="0"/>
            <wp:positionH relativeFrom="column">
              <wp:posOffset>-321945</wp:posOffset>
            </wp:positionH>
            <wp:positionV relativeFrom="paragraph">
              <wp:posOffset>672465</wp:posOffset>
            </wp:positionV>
            <wp:extent cx="7068820" cy="57251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68820" cy="5725160"/>
                    </a:xfrm>
                    <a:prstGeom prst="rect">
                      <a:avLst/>
                    </a:prstGeom>
                  </pic:spPr>
                </pic:pic>
              </a:graphicData>
            </a:graphic>
            <wp14:sizeRelH relativeFrom="margin">
              <wp14:pctWidth>0</wp14:pctWidth>
            </wp14:sizeRelH>
            <wp14:sizeRelV relativeFrom="margin">
              <wp14:pctHeight>0</wp14:pctHeight>
            </wp14:sizeRelV>
          </wp:anchor>
        </w:drawing>
      </w:r>
      <w:r w:rsidR="00814750" w:rsidRPr="00995170">
        <w:rPr>
          <w:b/>
          <w:bCs/>
          <w:iCs/>
          <w:szCs w:val="24"/>
        </w:rPr>
        <w:t>Table S</w:t>
      </w:r>
      <w:r w:rsidR="00E62408" w:rsidRPr="00995170">
        <w:rPr>
          <w:b/>
          <w:bCs/>
          <w:iCs/>
          <w:szCs w:val="24"/>
        </w:rPr>
        <w:t>3</w:t>
      </w:r>
      <w:r w:rsidR="00814750" w:rsidRPr="00995170">
        <w:rPr>
          <w:b/>
          <w:bCs/>
          <w:iCs/>
          <w:szCs w:val="24"/>
        </w:rPr>
        <w:t>:</w:t>
      </w:r>
      <w:r w:rsidR="004D3B7D" w:rsidRPr="00995170">
        <w:rPr>
          <w:b/>
          <w:bCs/>
          <w:iCs/>
          <w:szCs w:val="24"/>
        </w:rPr>
        <w:t xml:space="preserve"> </w:t>
      </w:r>
      <w:r w:rsidR="00E62408" w:rsidRPr="00995170">
        <w:rPr>
          <w:b/>
          <w:bCs/>
          <w:iCs/>
          <w:szCs w:val="24"/>
        </w:rPr>
        <w:t xml:space="preserve">Flow-MRD </w:t>
      </w:r>
      <w:r w:rsidR="004D3B7D" w:rsidRPr="00995170">
        <w:rPr>
          <w:b/>
          <w:bCs/>
          <w:iCs/>
          <w:szCs w:val="24"/>
        </w:rPr>
        <w:t xml:space="preserve">assessment </w:t>
      </w:r>
      <w:r w:rsidR="000E6CAC" w:rsidRPr="00995170">
        <w:rPr>
          <w:b/>
          <w:bCs/>
          <w:iCs/>
          <w:szCs w:val="24"/>
        </w:rPr>
        <w:t>and corresponding clinical data at  1</w:t>
      </w:r>
      <w:r w:rsidR="000E6CAC" w:rsidRPr="00995170">
        <w:rPr>
          <w:b/>
          <w:bCs/>
          <w:iCs/>
          <w:szCs w:val="24"/>
          <w:vertAlign w:val="superscript"/>
        </w:rPr>
        <w:t>st</w:t>
      </w:r>
      <w:r w:rsidR="000E6CAC" w:rsidRPr="00995170">
        <w:rPr>
          <w:b/>
          <w:bCs/>
          <w:iCs/>
          <w:szCs w:val="24"/>
        </w:rPr>
        <w:t xml:space="preserve"> response assessment (1</w:t>
      </w:r>
      <w:r w:rsidR="000E6CAC" w:rsidRPr="00995170">
        <w:rPr>
          <w:b/>
          <w:bCs/>
          <w:iCs/>
          <w:szCs w:val="24"/>
          <w:vertAlign w:val="superscript"/>
        </w:rPr>
        <w:t>st</w:t>
      </w:r>
      <w:r w:rsidR="000E6CAC" w:rsidRPr="00995170">
        <w:rPr>
          <w:b/>
          <w:bCs/>
          <w:iCs/>
          <w:szCs w:val="24"/>
        </w:rPr>
        <w:t xml:space="preserve"> RA) and longitudinal monitoring </w:t>
      </w:r>
    </w:p>
    <w:p w14:paraId="6EFCA9D1" w14:textId="3219994E" w:rsidR="004D3B26" w:rsidRPr="00995170" w:rsidRDefault="004D3B26" w:rsidP="00C77BC0">
      <w:pPr>
        <w:tabs>
          <w:tab w:val="left" w:pos="709"/>
        </w:tabs>
        <w:jc w:val="both"/>
        <w:rPr>
          <w:b/>
          <w:iCs/>
          <w:szCs w:val="24"/>
        </w:rPr>
      </w:pPr>
      <w:r w:rsidRPr="00995170">
        <w:rPr>
          <w:b/>
          <w:iCs/>
          <w:szCs w:val="24"/>
        </w:rPr>
        <w:t xml:space="preserve">Table S3 Legend: </w:t>
      </w:r>
    </w:p>
    <w:p w14:paraId="2427E68A" w14:textId="50BA85C0" w:rsidR="004D3B26" w:rsidRPr="00995170" w:rsidRDefault="004D3B26" w:rsidP="0057124A">
      <w:pPr>
        <w:tabs>
          <w:tab w:val="left" w:pos="709"/>
        </w:tabs>
        <w:spacing w:line="360" w:lineRule="auto"/>
        <w:jc w:val="both"/>
        <w:rPr>
          <w:bCs/>
          <w:iCs/>
          <w:szCs w:val="24"/>
        </w:rPr>
      </w:pPr>
      <w:r w:rsidRPr="00995170">
        <w:rPr>
          <w:bCs/>
          <w:iCs/>
          <w:szCs w:val="24"/>
        </w:rPr>
        <w:t xml:space="preserve">From 53 patients included into the MRD-study, 20 patients, achieving a complete </w:t>
      </w:r>
      <w:r w:rsidR="00A164D8" w:rsidRPr="00A164D8">
        <w:rPr>
          <w:bCs/>
          <w:iCs/>
          <w:szCs w:val="24"/>
        </w:rPr>
        <w:t>response</w:t>
      </w:r>
      <w:r w:rsidRPr="00995170">
        <w:rPr>
          <w:bCs/>
          <w:iCs/>
          <w:szCs w:val="24"/>
        </w:rPr>
        <w:t xml:space="preserve"> (CR) at any time during the course, were included with longitudinal analysis of </w:t>
      </w:r>
      <w:r w:rsidRPr="00995170">
        <w:rPr>
          <w:rFonts w:cstheme="minorHAnsi"/>
          <w:bCs/>
          <w:iCs/>
          <w:szCs w:val="24"/>
        </w:rPr>
        <w:t>≥</w:t>
      </w:r>
      <w:r w:rsidRPr="00995170">
        <w:rPr>
          <w:bCs/>
          <w:iCs/>
          <w:szCs w:val="24"/>
        </w:rPr>
        <w:t>3 flow-MRD follow-up samples (</w:t>
      </w:r>
      <w:r w:rsidRPr="00995170">
        <w:rPr>
          <w:b/>
          <w:iCs/>
          <w:szCs w:val="24"/>
        </w:rPr>
        <w:t>INCL:</w:t>
      </w:r>
      <w:r w:rsidRPr="00995170">
        <w:rPr>
          <w:rFonts w:cstheme="minorHAnsi"/>
          <w:b/>
          <w:iCs/>
          <w:szCs w:val="24"/>
        </w:rPr>
        <w:t xml:space="preserve"> ≥</w:t>
      </w:r>
      <w:r w:rsidRPr="00995170">
        <w:rPr>
          <w:b/>
          <w:iCs/>
          <w:szCs w:val="24"/>
        </w:rPr>
        <w:t>3 FU</w:t>
      </w:r>
      <w:r w:rsidRPr="00995170">
        <w:rPr>
          <w:bCs/>
          <w:iCs/>
          <w:szCs w:val="24"/>
        </w:rPr>
        <w:t>); another 14 patients with two or less FU (</w:t>
      </w:r>
      <w:r w:rsidRPr="00995170">
        <w:rPr>
          <w:b/>
          <w:iCs/>
          <w:szCs w:val="24"/>
        </w:rPr>
        <w:t xml:space="preserve">INCL: </w:t>
      </w:r>
      <w:r w:rsidRPr="00995170">
        <w:rPr>
          <w:rFonts w:cstheme="minorHAnsi"/>
          <w:b/>
          <w:iCs/>
          <w:szCs w:val="24"/>
        </w:rPr>
        <w:t>≤</w:t>
      </w:r>
      <w:r w:rsidRPr="00995170">
        <w:rPr>
          <w:b/>
          <w:iCs/>
          <w:szCs w:val="24"/>
        </w:rPr>
        <w:t>2 FU</w:t>
      </w:r>
      <w:r w:rsidRPr="00995170">
        <w:rPr>
          <w:bCs/>
          <w:iCs/>
          <w:szCs w:val="24"/>
        </w:rPr>
        <w:t>. Patients with overall response of &lt;CR were excluded</w:t>
      </w:r>
      <w:r w:rsidR="009056C6" w:rsidRPr="00995170">
        <w:rPr>
          <w:bCs/>
          <w:iCs/>
          <w:szCs w:val="24"/>
        </w:rPr>
        <w:t xml:space="preserve"> from the final analysis</w:t>
      </w:r>
      <w:r w:rsidRPr="00995170">
        <w:rPr>
          <w:bCs/>
          <w:iCs/>
          <w:szCs w:val="24"/>
        </w:rPr>
        <w:t>. Initially, 15 patients, with achieved CR at the time of 1</w:t>
      </w:r>
      <w:r w:rsidRPr="00995170">
        <w:rPr>
          <w:bCs/>
          <w:iCs/>
          <w:szCs w:val="24"/>
          <w:vertAlign w:val="superscript"/>
        </w:rPr>
        <w:t>st</w:t>
      </w:r>
      <w:r w:rsidRPr="00995170">
        <w:rPr>
          <w:bCs/>
          <w:iCs/>
          <w:szCs w:val="24"/>
        </w:rPr>
        <w:t xml:space="preserve"> </w:t>
      </w:r>
      <w:r w:rsidR="00552A1C" w:rsidRPr="00995170">
        <w:rPr>
          <w:bCs/>
          <w:iCs/>
          <w:szCs w:val="24"/>
        </w:rPr>
        <w:t>flow-</w:t>
      </w:r>
      <w:r w:rsidRPr="00995170">
        <w:rPr>
          <w:bCs/>
          <w:iCs/>
          <w:szCs w:val="24"/>
        </w:rPr>
        <w:t xml:space="preserve">RA and adequate BM sample, were analysed for the presence of </w:t>
      </w:r>
      <w:proofErr w:type="spellStart"/>
      <w:r w:rsidRPr="00995170">
        <w:rPr>
          <w:bCs/>
          <w:iCs/>
          <w:szCs w:val="24"/>
        </w:rPr>
        <w:t>mPC</w:t>
      </w:r>
      <w:proofErr w:type="spellEnd"/>
      <w:r w:rsidRPr="00995170">
        <w:rPr>
          <w:bCs/>
          <w:iCs/>
          <w:szCs w:val="24"/>
        </w:rPr>
        <w:t xml:space="preserve"> by flow-MRD. </w:t>
      </w:r>
      <w:r w:rsidRPr="00995170">
        <w:rPr>
          <w:b/>
          <w:iCs/>
          <w:szCs w:val="24"/>
        </w:rPr>
        <w:t>Indicated are</w:t>
      </w:r>
      <w:r w:rsidRPr="00995170">
        <w:rPr>
          <w:bCs/>
          <w:iCs/>
          <w:szCs w:val="24"/>
        </w:rPr>
        <w:t xml:space="preserve">: Clinical response status </w:t>
      </w:r>
      <w:r w:rsidR="009056C6" w:rsidRPr="00995170">
        <w:rPr>
          <w:bCs/>
          <w:iCs/>
          <w:szCs w:val="24"/>
        </w:rPr>
        <w:t xml:space="preserve">(RS) </w:t>
      </w:r>
      <w:r w:rsidRPr="00995170">
        <w:rPr>
          <w:bCs/>
          <w:iCs/>
          <w:szCs w:val="24"/>
        </w:rPr>
        <w:t>at 1</w:t>
      </w:r>
      <w:r w:rsidRPr="00995170">
        <w:rPr>
          <w:bCs/>
          <w:iCs/>
          <w:szCs w:val="24"/>
          <w:vertAlign w:val="superscript"/>
        </w:rPr>
        <w:t>st</w:t>
      </w:r>
      <w:r w:rsidRPr="00995170">
        <w:rPr>
          <w:bCs/>
          <w:iCs/>
          <w:szCs w:val="24"/>
        </w:rPr>
        <w:t xml:space="preserve"> </w:t>
      </w:r>
      <w:r w:rsidR="00552A1C" w:rsidRPr="00995170">
        <w:rPr>
          <w:bCs/>
          <w:iCs/>
          <w:szCs w:val="24"/>
        </w:rPr>
        <w:t>flow-</w:t>
      </w:r>
      <w:r w:rsidRPr="00995170">
        <w:rPr>
          <w:bCs/>
          <w:iCs/>
          <w:szCs w:val="24"/>
        </w:rPr>
        <w:t>RA and overall (best reached</w:t>
      </w:r>
      <w:r w:rsidR="009056C6" w:rsidRPr="00995170">
        <w:rPr>
          <w:bCs/>
          <w:iCs/>
          <w:szCs w:val="24"/>
        </w:rPr>
        <w:t xml:space="preserve"> until DLC</w:t>
      </w:r>
      <w:r w:rsidRPr="00995170">
        <w:rPr>
          <w:bCs/>
          <w:iCs/>
          <w:szCs w:val="24"/>
        </w:rPr>
        <w:t>)</w:t>
      </w:r>
      <w:r w:rsidR="000312C9" w:rsidRPr="00995170">
        <w:rPr>
          <w:bCs/>
          <w:iCs/>
          <w:szCs w:val="24"/>
        </w:rPr>
        <w:t xml:space="preserve">, </w:t>
      </w:r>
      <w:r w:rsidR="000312C9" w:rsidRPr="00995170">
        <w:rPr>
          <w:bCs/>
          <w:iCs/>
          <w:szCs w:val="24"/>
        </w:rPr>
        <w:lastRenderedPageBreak/>
        <w:t>r</w:t>
      </w:r>
      <w:r w:rsidRPr="00995170">
        <w:rPr>
          <w:bCs/>
          <w:iCs/>
          <w:szCs w:val="24"/>
        </w:rPr>
        <w:t>elapse from flow-MRD negativity (flow-MRD status)</w:t>
      </w:r>
      <w:r w:rsidR="000312C9" w:rsidRPr="00995170">
        <w:rPr>
          <w:bCs/>
          <w:iCs/>
          <w:szCs w:val="24"/>
        </w:rPr>
        <w:t>,</w:t>
      </w:r>
      <w:r w:rsidRPr="00995170">
        <w:rPr>
          <w:bCs/>
          <w:iCs/>
          <w:szCs w:val="24"/>
        </w:rPr>
        <w:t xml:space="preserve"> </w:t>
      </w:r>
      <w:proofErr w:type="spellStart"/>
      <w:r w:rsidRPr="00995170">
        <w:rPr>
          <w:bCs/>
          <w:iCs/>
          <w:szCs w:val="24"/>
        </w:rPr>
        <w:t>sFLCR</w:t>
      </w:r>
      <w:proofErr w:type="spellEnd"/>
      <w:r w:rsidRPr="00995170">
        <w:rPr>
          <w:bCs/>
          <w:iCs/>
          <w:szCs w:val="24"/>
        </w:rPr>
        <w:t xml:space="preserve">, SPEP and IF </w:t>
      </w:r>
      <w:r w:rsidR="009056C6" w:rsidRPr="00995170">
        <w:rPr>
          <w:bCs/>
          <w:iCs/>
          <w:szCs w:val="24"/>
        </w:rPr>
        <w:t>status</w:t>
      </w:r>
      <w:r w:rsidR="000312C9" w:rsidRPr="00995170">
        <w:rPr>
          <w:bCs/>
          <w:iCs/>
          <w:szCs w:val="24"/>
        </w:rPr>
        <w:t xml:space="preserve">, </w:t>
      </w:r>
      <w:r w:rsidRPr="00995170">
        <w:rPr>
          <w:bCs/>
          <w:iCs/>
          <w:szCs w:val="24"/>
        </w:rPr>
        <w:t xml:space="preserve">and corresponding time intervals </w:t>
      </w:r>
      <w:r w:rsidR="009056C6" w:rsidRPr="00995170">
        <w:rPr>
          <w:bCs/>
          <w:iCs/>
          <w:szCs w:val="24"/>
        </w:rPr>
        <w:t xml:space="preserve">between occasions </w:t>
      </w:r>
      <w:r w:rsidRPr="00995170">
        <w:rPr>
          <w:bCs/>
          <w:iCs/>
          <w:szCs w:val="24"/>
        </w:rPr>
        <w:t>(</w:t>
      </w:r>
      <w:r w:rsidRPr="00995170">
        <w:rPr>
          <w:rFonts w:cstheme="minorHAnsi"/>
          <w:bCs/>
          <w:iCs/>
          <w:szCs w:val="24"/>
        </w:rPr>
        <w:t>Δ</w:t>
      </w:r>
      <w:r w:rsidRPr="00995170">
        <w:rPr>
          <w:bCs/>
          <w:iCs/>
          <w:szCs w:val="24"/>
        </w:rPr>
        <w:t>). Biochemical abnormality</w:t>
      </w:r>
      <w:r w:rsidR="009056C6" w:rsidRPr="00995170">
        <w:rPr>
          <w:bCs/>
          <w:iCs/>
          <w:szCs w:val="24"/>
        </w:rPr>
        <w:t xml:space="preserve"> (</w:t>
      </w:r>
      <w:proofErr w:type="spellStart"/>
      <w:r w:rsidR="009056C6" w:rsidRPr="00995170">
        <w:rPr>
          <w:bCs/>
          <w:iCs/>
          <w:szCs w:val="24"/>
        </w:rPr>
        <w:t>bioch</w:t>
      </w:r>
      <w:proofErr w:type="spellEnd"/>
      <w:r w:rsidR="009056C6" w:rsidRPr="00995170">
        <w:rPr>
          <w:bCs/>
          <w:iCs/>
          <w:szCs w:val="24"/>
        </w:rPr>
        <w:t xml:space="preserve">. </w:t>
      </w:r>
      <w:proofErr w:type="spellStart"/>
      <w:r w:rsidR="009056C6" w:rsidRPr="00995170">
        <w:rPr>
          <w:bCs/>
          <w:iCs/>
          <w:szCs w:val="24"/>
        </w:rPr>
        <w:t>abn</w:t>
      </w:r>
      <w:proofErr w:type="spellEnd"/>
      <w:r w:rsidR="009056C6" w:rsidRPr="00995170">
        <w:rPr>
          <w:bCs/>
          <w:iCs/>
          <w:szCs w:val="24"/>
        </w:rPr>
        <w:t>.)</w:t>
      </w:r>
      <w:r w:rsidRPr="00995170">
        <w:rPr>
          <w:bCs/>
          <w:iCs/>
          <w:szCs w:val="24"/>
        </w:rPr>
        <w:t xml:space="preserve"> summarizes </w:t>
      </w:r>
      <w:proofErr w:type="spellStart"/>
      <w:r w:rsidRPr="00995170">
        <w:rPr>
          <w:bCs/>
          <w:iCs/>
          <w:szCs w:val="24"/>
        </w:rPr>
        <w:t>sFLCr</w:t>
      </w:r>
      <w:proofErr w:type="spellEnd"/>
      <w:r w:rsidRPr="00995170">
        <w:rPr>
          <w:bCs/>
          <w:iCs/>
          <w:szCs w:val="24"/>
        </w:rPr>
        <w:t xml:space="preserve">, SPEP and IF (earliest timepoint is indicated). </w:t>
      </w:r>
      <w:r w:rsidRPr="00995170">
        <w:rPr>
          <w:b/>
          <w:iCs/>
          <w:szCs w:val="24"/>
        </w:rPr>
        <w:t>Grey colo</w:t>
      </w:r>
      <w:r w:rsidR="00A164D8">
        <w:rPr>
          <w:b/>
          <w:iCs/>
          <w:szCs w:val="24"/>
        </w:rPr>
        <w:t>u</w:t>
      </w:r>
      <w:r w:rsidRPr="00995170">
        <w:rPr>
          <w:b/>
          <w:iCs/>
          <w:szCs w:val="24"/>
        </w:rPr>
        <w:t>r</w:t>
      </w:r>
      <w:r w:rsidRPr="00995170">
        <w:rPr>
          <w:bCs/>
          <w:iCs/>
          <w:szCs w:val="24"/>
        </w:rPr>
        <w:t xml:space="preserve"> highlights: Included patients, reaching RS og CR/SCR, progression, flow-MRD positivity or biochemical positivity</w:t>
      </w:r>
      <w:r w:rsidR="000312C9" w:rsidRPr="00995170">
        <w:rPr>
          <w:bCs/>
          <w:iCs/>
          <w:szCs w:val="24"/>
        </w:rPr>
        <w:t xml:space="preserve">. </w:t>
      </w:r>
      <w:r w:rsidRPr="00995170">
        <w:rPr>
          <w:b/>
          <w:iCs/>
          <w:szCs w:val="24"/>
        </w:rPr>
        <w:t>Abbreviations:</w:t>
      </w:r>
      <w:r w:rsidRPr="00995170">
        <w:rPr>
          <w:bCs/>
          <w:iCs/>
          <w:szCs w:val="24"/>
        </w:rPr>
        <w:t xml:space="preserve"> </w:t>
      </w:r>
      <w:r w:rsidRPr="00995170">
        <w:rPr>
          <w:b/>
          <w:iCs/>
          <w:szCs w:val="24"/>
        </w:rPr>
        <w:t>PID:</w:t>
      </w:r>
      <w:r w:rsidRPr="00995170">
        <w:rPr>
          <w:bCs/>
          <w:iCs/>
          <w:szCs w:val="24"/>
        </w:rPr>
        <w:t xml:space="preserve"> Patient ID</w:t>
      </w:r>
      <w:r w:rsidR="000312C9" w:rsidRPr="00995170">
        <w:rPr>
          <w:bCs/>
          <w:iCs/>
          <w:szCs w:val="24"/>
        </w:rPr>
        <w:t>.</w:t>
      </w:r>
      <w:r w:rsidRPr="00995170">
        <w:rPr>
          <w:bCs/>
          <w:iCs/>
          <w:szCs w:val="24"/>
        </w:rPr>
        <w:t xml:space="preserve"> </w:t>
      </w:r>
      <w:r w:rsidRPr="00995170">
        <w:rPr>
          <w:b/>
          <w:iCs/>
          <w:szCs w:val="24"/>
        </w:rPr>
        <w:t>PROG:</w:t>
      </w:r>
      <w:r w:rsidRPr="00995170">
        <w:rPr>
          <w:bCs/>
          <w:iCs/>
          <w:szCs w:val="24"/>
        </w:rPr>
        <w:t xml:space="preserve"> </w:t>
      </w:r>
      <w:r w:rsidR="000312C9" w:rsidRPr="00995170">
        <w:rPr>
          <w:bCs/>
          <w:iCs/>
          <w:szCs w:val="24"/>
        </w:rPr>
        <w:t>C</w:t>
      </w:r>
      <w:r w:rsidRPr="00995170">
        <w:rPr>
          <w:bCs/>
          <w:iCs/>
          <w:szCs w:val="24"/>
        </w:rPr>
        <w:t>linical progression</w:t>
      </w:r>
      <w:r w:rsidR="000312C9" w:rsidRPr="00995170">
        <w:rPr>
          <w:bCs/>
          <w:iCs/>
          <w:szCs w:val="24"/>
        </w:rPr>
        <w:t>.</w:t>
      </w:r>
      <w:r w:rsidRPr="00995170">
        <w:rPr>
          <w:bCs/>
          <w:iCs/>
          <w:szCs w:val="24"/>
        </w:rPr>
        <w:t xml:space="preserve"> </w:t>
      </w:r>
      <w:r w:rsidR="009056C6" w:rsidRPr="00995170">
        <w:rPr>
          <w:b/>
          <w:iCs/>
          <w:szCs w:val="24"/>
        </w:rPr>
        <w:t>RS:</w:t>
      </w:r>
      <w:r w:rsidR="009056C6" w:rsidRPr="00995170">
        <w:rPr>
          <w:bCs/>
          <w:iCs/>
          <w:szCs w:val="24"/>
        </w:rPr>
        <w:t xml:space="preserve"> clinical response status. </w:t>
      </w:r>
      <w:r w:rsidRPr="00995170">
        <w:rPr>
          <w:b/>
          <w:iCs/>
          <w:szCs w:val="24"/>
        </w:rPr>
        <w:t>PR:</w:t>
      </w:r>
      <w:r w:rsidRPr="00995170">
        <w:rPr>
          <w:bCs/>
          <w:iCs/>
          <w:szCs w:val="24"/>
        </w:rPr>
        <w:t xml:space="preserve"> </w:t>
      </w:r>
      <w:r w:rsidR="000312C9" w:rsidRPr="00995170">
        <w:rPr>
          <w:bCs/>
          <w:iCs/>
          <w:szCs w:val="24"/>
        </w:rPr>
        <w:t>P</w:t>
      </w:r>
      <w:r w:rsidRPr="00995170">
        <w:rPr>
          <w:bCs/>
          <w:iCs/>
          <w:szCs w:val="24"/>
        </w:rPr>
        <w:t>artial response</w:t>
      </w:r>
      <w:r w:rsidR="000312C9" w:rsidRPr="00995170">
        <w:rPr>
          <w:bCs/>
          <w:iCs/>
          <w:szCs w:val="24"/>
        </w:rPr>
        <w:t>.</w:t>
      </w:r>
      <w:r w:rsidRPr="00995170">
        <w:rPr>
          <w:bCs/>
          <w:iCs/>
          <w:szCs w:val="24"/>
        </w:rPr>
        <w:t xml:space="preserve"> </w:t>
      </w:r>
      <w:r w:rsidRPr="00995170">
        <w:rPr>
          <w:b/>
          <w:iCs/>
          <w:szCs w:val="24"/>
        </w:rPr>
        <w:t>VGPR:</w:t>
      </w:r>
      <w:r w:rsidRPr="00995170">
        <w:rPr>
          <w:bCs/>
          <w:iCs/>
          <w:szCs w:val="24"/>
        </w:rPr>
        <w:t xml:space="preserve"> </w:t>
      </w:r>
      <w:r w:rsidR="000312C9" w:rsidRPr="00995170">
        <w:rPr>
          <w:bCs/>
          <w:iCs/>
          <w:szCs w:val="24"/>
        </w:rPr>
        <w:t>V</w:t>
      </w:r>
      <w:r w:rsidRPr="00995170">
        <w:rPr>
          <w:bCs/>
          <w:iCs/>
          <w:szCs w:val="24"/>
        </w:rPr>
        <w:t>ery good partial response</w:t>
      </w:r>
      <w:r w:rsidR="000312C9" w:rsidRPr="00995170">
        <w:rPr>
          <w:bCs/>
          <w:iCs/>
          <w:szCs w:val="24"/>
        </w:rPr>
        <w:t>.</w:t>
      </w:r>
      <w:r w:rsidRPr="00995170">
        <w:rPr>
          <w:bCs/>
          <w:iCs/>
          <w:szCs w:val="24"/>
        </w:rPr>
        <w:t xml:space="preserve"> </w:t>
      </w:r>
      <w:r w:rsidRPr="00995170">
        <w:rPr>
          <w:b/>
          <w:iCs/>
          <w:szCs w:val="24"/>
        </w:rPr>
        <w:t>CR:</w:t>
      </w:r>
      <w:r w:rsidRPr="00995170">
        <w:rPr>
          <w:bCs/>
          <w:iCs/>
          <w:szCs w:val="24"/>
        </w:rPr>
        <w:t xml:space="preserve"> </w:t>
      </w:r>
      <w:r w:rsidR="000312C9" w:rsidRPr="00995170">
        <w:rPr>
          <w:bCs/>
          <w:iCs/>
          <w:szCs w:val="24"/>
        </w:rPr>
        <w:t>C</w:t>
      </w:r>
      <w:r w:rsidRPr="00995170">
        <w:rPr>
          <w:bCs/>
          <w:iCs/>
          <w:szCs w:val="24"/>
        </w:rPr>
        <w:t>omplete response</w:t>
      </w:r>
      <w:r w:rsidR="000312C9" w:rsidRPr="00995170">
        <w:rPr>
          <w:bCs/>
          <w:iCs/>
          <w:szCs w:val="24"/>
        </w:rPr>
        <w:t>.</w:t>
      </w:r>
      <w:r w:rsidRPr="00995170">
        <w:rPr>
          <w:bCs/>
          <w:iCs/>
          <w:szCs w:val="24"/>
        </w:rPr>
        <w:t xml:space="preserve"> </w:t>
      </w:r>
      <w:r w:rsidRPr="00995170">
        <w:rPr>
          <w:b/>
          <w:iCs/>
          <w:szCs w:val="24"/>
        </w:rPr>
        <w:t>SCR:</w:t>
      </w:r>
      <w:r w:rsidRPr="00995170">
        <w:rPr>
          <w:bCs/>
          <w:iCs/>
          <w:szCs w:val="24"/>
        </w:rPr>
        <w:t xml:space="preserve"> </w:t>
      </w:r>
      <w:r w:rsidR="000312C9" w:rsidRPr="00995170">
        <w:rPr>
          <w:bCs/>
          <w:iCs/>
          <w:szCs w:val="24"/>
        </w:rPr>
        <w:t>S</w:t>
      </w:r>
      <w:r w:rsidRPr="00995170">
        <w:rPr>
          <w:bCs/>
          <w:iCs/>
          <w:szCs w:val="24"/>
        </w:rPr>
        <w:t>tringent complete response</w:t>
      </w:r>
      <w:r w:rsidR="000312C9" w:rsidRPr="00995170">
        <w:rPr>
          <w:bCs/>
          <w:iCs/>
          <w:szCs w:val="24"/>
        </w:rPr>
        <w:t>.</w:t>
      </w:r>
      <w:r w:rsidRPr="00995170">
        <w:rPr>
          <w:bCs/>
          <w:iCs/>
          <w:szCs w:val="24"/>
        </w:rPr>
        <w:t xml:space="preserve"> </w:t>
      </w:r>
      <w:proofErr w:type="spellStart"/>
      <w:r w:rsidR="000312C9" w:rsidRPr="00995170">
        <w:rPr>
          <w:b/>
          <w:iCs/>
          <w:szCs w:val="24"/>
        </w:rPr>
        <w:t>S</w:t>
      </w:r>
      <w:r w:rsidRPr="00995170">
        <w:rPr>
          <w:b/>
          <w:iCs/>
          <w:szCs w:val="24"/>
        </w:rPr>
        <w:t>FLCr</w:t>
      </w:r>
      <w:proofErr w:type="spellEnd"/>
      <w:r w:rsidRPr="00995170">
        <w:rPr>
          <w:b/>
          <w:iCs/>
          <w:szCs w:val="24"/>
        </w:rPr>
        <w:t>:</w:t>
      </w:r>
      <w:r w:rsidRPr="00995170">
        <w:rPr>
          <w:bCs/>
          <w:iCs/>
          <w:szCs w:val="24"/>
        </w:rPr>
        <w:t xml:space="preserve"> </w:t>
      </w:r>
      <w:r w:rsidR="000312C9" w:rsidRPr="00995170">
        <w:rPr>
          <w:bCs/>
          <w:iCs/>
          <w:szCs w:val="24"/>
        </w:rPr>
        <w:t>S</w:t>
      </w:r>
      <w:r w:rsidRPr="00995170">
        <w:rPr>
          <w:bCs/>
          <w:iCs/>
          <w:szCs w:val="24"/>
        </w:rPr>
        <w:t>erum free light chain ratio</w:t>
      </w:r>
      <w:r w:rsidR="000312C9" w:rsidRPr="00995170">
        <w:rPr>
          <w:bCs/>
          <w:iCs/>
          <w:szCs w:val="24"/>
        </w:rPr>
        <w:t>.</w:t>
      </w:r>
      <w:r w:rsidRPr="00995170">
        <w:rPr>
          <w:bCs/>
          <w:iCs/>
          <w:szCs w:val="24"/>
        </w:rPr>
        <w:t xml:space="preserve"> </w:t>
      </w:r>
      <w:r w:rsidRPr="00995170">
        <w:rPr>
          <w:b/>
          <w:iCs/>
          <w:szCs w:val="24"/>
        </w:rPr>
        <w:t>SPEP:</w:t>
      </w:r>
      <w:r w:rsidRPr="00995170">
        <w:rPr>
          <w:bCs/>
          <w:iCs/>
          <w:szCs w:val="24"/>
        </w:rPr>
        <w:t xml:space="preserve"> </w:t>
      </w:r>
      <w:r w:rsidR="000312C9" w:rsidRPr="00995170">
        <w:rPr>
          <w:bCs/>
          <w:iCs/>
          <w:szCs w:val="24"/>
        </w:rPr>
        <w:t>S</w:t>
      </w:r>
      <w:r w:rsidRPr="00995170">
        <w:rPr>
          <w:bCs/>
          <w:iCs/>
          <w:szCs w:val="24"/>
        </w:rPr>
        <w:t>erum protein electrophoresis</w:t>
      </w:r>
      <w:r w:rsidR="000312C9" w:rsidRPr="00995170">
        <w:rPr>
          <w:bCs/>
          <w:iCs/>
          <w:szCs w:val="24"/>
        </w:rPr>
        <w:t>.</w:t>
      </w:r>
      <w:r w:rsidRPr="00995170">
        <w:rPr>
          <w:bCs/>
          <w:iCs/>
          <w:szCs w:val="24"/>
        </w:rPr>
        <w:t xml:space="preserve"> </w:t>
      </w:r>
      <w:r w:rsidRPr="00995170">
        <w:rPr>
          <w:b/>
          <w:iCs/>
          <w:szCs w:val="24"/>
        </w:rPr>
        <w:t>IF:</w:t>
      </w:r>
      <w:r w:rsidRPr="00995170">
        <w:rPr>
          <w:bCs/>
          <w:iCs/>
          <w:szCs w:val="24"/>
        </w:rPr>
        <w:t xml:space="preserve"> serum immunofixation</w:t>
      </w:r>
      <w:r w:rsidR="000312C9" w:rsidRPr="00995170">
        <w:rPr>
          <w:bCs/>
          <w:iCs/>
          <w:szCs w:val="24"/>
        </w:rPr>
        <w:t>.</w:t>
      </w:r>
      <w:r w:rsidRPr="00995170">
        <w:rPr>
          <w:bCs/>
          <w:iCs/>
          <w:szCs w:val="24"/>
        </w:rPr>
        <w:t xml:space="preserve"> </w:t>
      </w:r>
      <w:r w:rsidR="000312C9" w:rsidRPr="00995170">
        <w:rPr>
          <w:b/>
          <w:iCs/>
          <w:szCs w:val="24"/>
        </w:rPr>
        <w:t>N</w:t>
      </w:r>
      <w:r w:rsidRPr="00995170">
        <w:rPr>
          <w:b/>
          <w:iCs/>
          <w:szCs w:val="24"/>
        </w:rPr>
        <w:t>eg:</w:t>
      </w:r>
      <w:r w:rsidRPr="00995170">
        <w:rPr>
          <w:bCs/>
          <w:iCs/>
          <w:szCs w:val="24"/>
        </w:rPr>
        <w:t xml:space="preserve"> negative</w:t>
      </w:r>
      <w:r w:rsidR="000312C9" w:rsidRPr="00995170">
        <w:rPr>
          <w:bCs/>
          <w:iCs/>
          <w:szCs w:val="24"/>
        </w:rPr>
        <w:t xml:space="preserve">. </w:t>
      </w:r>
      <w:proofErr w:type="spellStart"/>
      <w:r w:rsidR="000312C9" w:rsidRPr="00995170">
        <w:rPr>
          <w:b/>
          <w:iCs/>
          <w:szCs w:val="24"/>
        </w:rPr>
        <w:t>P</w:t>
      </w:r>
      <w:r w:rsidRPr="00995170">
        <w:rPr>
          <w:b/>
          <w:iCs/>
          <w:szCs w:val="24"/>
        </w:rPr>
        <w:t>os</w:t>
      </w:r>
      <w:proofErr w:type="spellEnd"/>
      <w:r w:rsidRPr="00995170">
        <w:rPr>
          <w:b/>
          <w:iCs/>
          <w:szCs w:val="24"/>
        </w:rPr>
        <w:t>:</w:t>
      </w:r>
      <w:r w:rsidRPr="00995170">
        <w:rPr>
          <w:bCs/>
          <w:iCs/>
          <w:szCs w:val="24"/>
        </w:rPr>
        <w:t xml:space="preserve"> </w:t>
      </w:r>
      <w:r w:rsidR="000312C9" w:rsidRPr="00995170">
        <w:rPr>
          <w:bCs/>
          <w:iCs/>
          <w:szCs w:val="24"/>
        </w:rPr>
        <w:t>P</w:t>
      </w:r>
      <w:r w:rsidRPr="00995170">
        <w:rPr>
          <w:bCs/>
          <w:iCs/>
          <w:szCs w:val="24"/>
        </w:rPr>
        <w:t>ositive</w:t>
      </w:r>
      <w:r w:rsidR="000312C9" w:rsidRPr="00995170">
        <w:rPr>
          <w:bCs/>
          <w:iCs/>
          <w:szCs w:val="24"/>
        </w:rPr>
        <w:t>.</w:t>
      </w:r>
      <w:r w:rsidRPr="00995170">
        <w:rPr>
          <w:bCs/>
          <w:iCs/>
          <w:szCs w:val="24"/>
        </w:rPr>
        <w:t xml:space="preserve"> </w:t>
      </w:r>
      <w:r w:rsidRPr="00995170">
        <w:rPr>
          <w:b/>
          <w:iCs/>
          <w:szCs w:val="24"/>
        </w:rPr>
        <w:t>*</w:t>
      </w:r>
      <w:r w:rsidRPr="00995170">
        <w:rPr>
          <w:bCs/>
          <w:iCs/>
          <w:szCs w:val="24"/>
        </w:rPr>
        <w:t xml:space="preserve">: </w:t>
      </w:r>
      <w:r w:rsidR="000312C9" w:rsidRPr="00995170">
        <w:rPr>
          <w:bCs/>
          <w:iCs/>
          <w:szCs w:val="24"/>
        </w:rPr>
        <w:t>N</w:t>
      </w:r>
      <w:r w:rsidRPr="00995170">
        <w:rPr>
          <w:bCs/>
          <w:iCs/>
          <w:szCs w:val="24"/>
        </w:rPr>
        <w:t>ot determined/ not reached</w:t>
      </w:r>
      <w:r w:rsidR="000312C9" w:rsidRPr="00995170">
        <w:rPr>
          <w:bCs/>
          <w:iCs/>
          <w:szCs w:val="24"/>
        </w:rPr>
        <w:t>.</w:t>
      </w:r>
      <w:r w:rsidRPr="00995170">
        <w:rPr>
          <w:bCs/>
          <w:iCs/>
          <w:szCs w:val="24"/>
        </w:rPr>
        <w:t xml:space="preserve"> </w:t>
      </w:r>
      <w:proofErr w:type="spellStart"/>
      <w:r w:rsidRPr="00995170">
        <w:rPr>
          <w:b/>
          <w:iCs/>
          <w:szCs w:val="24"/>
        </w:rPr>
        <w:t>Abn</w:t>
      </w:r>
      <w:proofErr w:type="spellEnd"/>
      <w:r w:rsidRPr="00995170">
        <w:rPr>
          <w:b/>
          <w:iCs/>
          <w:szCs w:val="24"/>
        </w:rPr>
        <w:t>:</w:t>
      </w:r>
      <w:r w:rsidRPr="00995170">
        <w:rPr>
          <w:bCs/>
          <w:iCs/>
          <w:szCs w:val="24"/>
        </w:rPr>
        <w:t xml:space="preserve"> </w:t>
      </w:r>
      <w:r w:rsidR="000312C9" w:rsidRPr="00995170">
        <w:rPr>
          <w:bCs/>
          <w:iCs/>
          <w:szCs w:val="24"/>
        </w:rPr>
        <w:t>A</w:t>
      </w:r>
      <w:r w:rsidRPr="00995170">
        <w:rPr>
          <w:bCs/>
          <w:iCs/>
          <w:szCs w:val="24"/>
        </w:rPr>
        <w:t>bnormality</w:t>
      </w:r>
      <w:r w:rsidR="000312C9" w:rsidRPr="00995170">
        <w:rPr>
          <w:bCs/>
          <w:iCs/>
          <w:szCs w:val="24"/>
        </w:rPr>
        <w:t>.</w:t>
      </w:r>
      <w:r w:rsidRPr="00995170">
        <w:rPr>
          <w:bCs/>
          <w:iCs/>
          <w:szCs w:val="24"/>
        </w:rPr>
        <w:t xml:space="preserve"> </w:t>
      </w:r>
      <w:r w:rsidRPr="00995170">
        <w:rPr>
          <w:b/>
          <w:iCs/>
          <w:szCs w:val="24"/>
        </w:rPr>
        <w:t>DLC:</w:t>
      </w:r>
      <w:r w:rsidRPr="00995170">
        <w:rPr>
          <w:bCs/>
          <w:iCs/>
          <w:szCs w:val="24"/>
        </w:rPr>
        <w:t xml:space="preserve"> Date of last contact</w:t>
      </w:r>
      <w:r w:rsidR="009056C6" w:rsidRPr="00995170">
        <w:rPr>
          <w:bCs/>
          <w:iCs/>
          <w:szCs w:val="24"/>
        </w:rPr>
        <w:t xml:space="preserve"> or </w:t>
      </w:r>
      <w:r w:rsidRPr="00995170">
        <w:rPr>
          <w:bCs/>
          <w:iCs/>
          <w:szCs w:val="24"/>
        </w:rPr>
        <w:t xml:space="preserve">censoring date. </w:t>
      </w:r>
      <w:r w:rsidRPr="00995170">
        <w:rPr>
          <w:b/>
          <w:iCs/>
          <w:szCs w:val="24"/>
        </w:rPr>
        <w:t>EXCL:</w:t>
      </w:r>
      <w:r w:rsidRPr="00995170">
        <w:rPr>
          <w:bCs/>
          <w:iCs/>
          <w:szCs w:val="24"/>
        </w:rPr>
        <w:t xml:space="preserve"> </w:t>
      </w:r>
      <w:r w:rsidRPr="00995170">
        <w:rPr>
          <w:b/>
          <w:iCs/>
          <w:szCs w:val="24"/>
        </w:rPr>
        <w:t>&lt;CR</w:t>
      </w:r>
      <w:r w:rsidR="000312C9" w:rsidRPr="00995170">
        <w:rPr>
          <w:bCs/>
          <w:iCs/>
          <w:szCs w:val="24"/>
        </w:rPr>
        <w:t xml:space="preserve">: </w:t>
      </w:r>
      <w:r w:rsidR="009056C6" w:rsidRPr="00995170">
        <w:rPr>
          <w:bCs/>
          <w:iCs/>
          <w:szCs w:val="24"/>
        </w:rPr>
        <w:t xml:space="preserve">RS </w:t>
      </w:r>
      <w:r w:rsidRPr="00995170">
        <w:rPr>
          <w:bCs/>
          <w:iCs/>
          <w:szCs w:val="24"/>
        </w:rPr>
        <w:t xml:space="preserve">below CR, </w:t>
      </w:r>
      <w:r w:rsidRPr="00995170">
        <w:rPr>
          <w:b/>
          <w:iCs/>
          <w:szCs w:val="24"/>
        </w:rPr>
        <w:t>NR:</w:t>
      </w:r>
      <w:r w:rsidRPr="00995170">
        <w:rPr>
          <w:bCs/>
          <w:iCs/>
          <w:szCs w:val="24"/>
        </w:rPr>
        <w:t xml:space="preserve"> BM sample no</w:t>
      </w:r>
      <w:r w:rsidR="000312C9" w:rsidRPr="00995170">
        <w:rPr>
          <w:bCs/>
          <w:iCs/>
          <w:szCs w:val="24"/>
        </w:rPr>
        <w:t>t</w:t>
      </w:r>
      <w:r w:rsidRPr="00995170">
        <w:rPr>
          <w:bCs/>
          <w:iCs/>
          <w:szCs w:val="24"/>
        </w:rPr>
        <w:t xml:space="preserve"> received for flow-MRD. </w:t>
      </w:r>
      <w:r w:rsidR="000312C9" w:rsidRPr="00995170">
        <w:rPr>
          <w:b/>
          <w:iCs/>
          <w:szCs w:val="24"/>
        </w:rPr>
        <w:t>INCL:</w:t>
      </w:r>
      <w:r w:rsidR="000312C9" w:rsidRPr="00995170">
        <w:rPr>
          <w:bCs/>
          <w:iCs/>
          <w:szCs w:val="24"/>
        </w:rPr>
        <w:t xml:space="preserve"> Inclusion. </w:t>
      </w:r>
      <w:r w:rsidR="000312C9" w:rsidRPr="00995170">
        <w:rPr>
          <w:b/>
          <w:iCs/>
          <w:szCs w:val="24"/>
        </w:rPr>
        <w:t>RA:</w:t>
      </w:r>
      <w:r w:rsidR="000312C9" w:rsidRPr="00995170">
        <w:rPr>
          <w:bCs/>
          <w:iCs/>
          <w:szCs w:val="24"/>
        </w:rPr>
        <w:t xml:space="preserve"> Response assessment. </w:t>
      </w:r>
      <w:r w:rsidR="000312C9" w:rsidRPr="00995170">
        <w:rPr>
          <w:b/>
          <w:iCs/>
          <w:szCs w:val="24"/>
        </w:rPr>
        <w:t>FU</w:t>
      </w:r>
      <w:r w:rsidR="000312C9" w:rsidRPr="00995170">
        <w:rPr>
          <w:bCs/>
          <w:iCs/>
          <w:szCs w:val="24"/>
        </w:rPr>
        <w:t xml:space="preserve">: Follow up </w:t>
      </w:r>
      <w:r w:rsidR="00552A1C" w:rsidRPr="00995170">
        <w:rPr>
          <w:bCs/>
          <w:iCs/>
          <w:szCs w:val="24"/>
        </w:rPr>
        <w:t>f</w:t>
      </w:r>
      <w:r w:rsidR="000312C9" w:rsidRPr="00995170">
        <w:rPr>
          <w:bCs/>
          <w:iCs/>
          <w:szCs w:val="24"/>
        </w:rPr>
        <w:t>low-MRD sample.</w:t>
      </w:r>
    </w:p>
    <w:p w14:paraId="3B9D3A62" w14:textId="54353BC4" w:rsidR="007E1800" w:rsidRPr="00995170" w:rsidRDefault="00B576FA" w:rsidP="00AC213D">
      <w:pPr>
        <w:spacing w:after="160" w:line="259" w:lineRule="auto"/>
        <w:rPr>
          <w:b/>
          <w:iCs/>
          <w:szCs w:val="24"/>
        </w:rPr>
      </w:pPr>
      <w:r w:rsidRPr="00995170">
        <w:rPr>
          <w:bCs/>
          <w:i/>
          <w:sz w:val="28"/>
          <w:szCs w:val="28"/>
        </w:rPr>
        <w:br w:type="page"/>
      </w:r>
      <w:r w:rsidR="007E1800" w:rsidRPr="00995170">
        <w:rPr>
          <w:b/>
          <w:iCs/>
          <w:szCs w:val="24"/>
        </w:rPr>
        <w:lastRenderedPageBreak/>
        <w:t xml:space="preserve">Table S4:  </w:t>
      </w:r>
      <w:r w:rsidR="00B77C2C" w:rsidRPr="00995170">
        <w:rPr>
          <w:b/>
          <w:iCs/>
          <w:szCs w:val="24"/>
        </w:rPr>
        <w:t xml:space="preserve">Monitoring the quantity of flow-MRD until progression </w:t>
      </w:r>
      <w:r w:rsidR="007E1800" w:rsidRPr="00995170">
        <w:rPr>
          <w:b/>
          <w:iCs/>
          <w:szCs w:val="24"/>
        </w:rPr>
        <w:t>(6 patients)</w:t>
      </w:r>
    </w:p>
    <w:p w14:paraId="3007169A" w14:textId="3459F72E" w:rsidR="00D955CD" w:rsidRPr="00995170" w:rsidRDefault="007E1800" w:rsidP="0098291E">
      <w:pPr>
        <w:tabs>
          <w:tab w:val="left" w:pos="709"/>
        </w:tabs>
        <w:jc w:val="both"/>
        <w:rPr>
          <w:rFonts w:cstheme="minorHAnsi"/>
          <w:iCs/>
          <w:sz w:val="20"/>
        </w:rPr>
      </w:pPr>
      <w:r w:rsidRPr="00995170">
        <w:rPr>
          <w:bCs/>
          <w:i/>
          <w:noProof/>
          <w:szCs w:val="24"/>
          <w:lang w:val="en-US"/>
        </w:rPr>
        <w:drawing>
          <wp:inline distT="0" distB="0" distL="0" distR="0" wp14:anchorId="7A6C5C53" wp14:editId="6003DC4F">
            <wp:extent cx="6314547" cy="424248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0290" cy="4360561"/>
                    </a:xfrm>
                    <a:prstGeom prst="rect">
                      <a:avLst/>
                    </a:prstGeom>
                  </pic:spPr>
                </pic:pic>
              </a:graphicData>
            </a:graphic>
          </wp:inline>
        </w:drawing>
      </w:r>
    </w:p>
    <w:p w14:paraId="39DF3368" w14:textId="78012837" w:rsidR="007E1800" w:rsidRPr="00995170" w:rsidRDefault="007E1800" w:rsidP="0057124A">
      <w:pPr>
        <w:tabs>
          <w:tab w:val="left" w:pos="709"/>
        </w:tabs>
        <w:spacing w:line="360" w:lineRule="auto"/>
        <w:jc w:val="both"/>
        <w:rPr>
          <w:rFonts w:cstheme="minorHAnsi"/>
          <w:iCs/>
          <w:szCs w:val="24"/>
        </w:rPr>
      </w:pPr>
      <w:r w:rsidRPr="00995170">
        <w:rPr>
          <w:b/>
          <w:iCs/>
          <w:szCs w:val="24"/>
        </w:rPr>
        <w:t>Table S4 legend</w:t>
      </w:r>
      <w:r w:rsidRPr="00995170">
        <w:rPr>
          <w:rFonts w:cstheme="minorHAnsi"/>
          <w:b/>
          <w:iCs/>
          <w:szCs w:val="24"/>
        </w:rPr>
        <w:t xml:space="preserve">: </w:t>
      </w:r>
      <w:r w:rsidR="00406196" w:rsidRPr="00995170">
        <w:rPr>
          <w:rFonts w:cstheme="minorHAnsi"/>
          <w:b/>
          <w:iCs/>
          <w:szCs w:val="24"/>
        </w:rPr>
        <w:t xml:space="preserve">Abbreviations: </w:t>
      </w:r>
      <w:r w:rsidR="0048472A" w:rsidRPr="00995170">
        <w:rPr>
          <w:rFonts w:cstheme="minorHAnsi"/>
          <w:b/>
          <w:bCs/>
          <w:iCs/>
          <w:szCs w:val="24"/>
        </w:rPr>
        <w:t>PID:</w:t>
      </w:r>
      <w:r w:rsidR="0048472A" w:rsidRPr="00995170">
        <w:rPr>
          <w:rFonts w:cstheme="minorHAnsi"/>
          <w:iCs/>
          <w:szCs w:val="24"/>
        </w:rPr>
        <w:t xml:space="preserve"> Patient ID</w:t>
      </w:r>
      <w:r w:rsidR="00406196" w:rsidRPr="00995170">
        <w:rPr>
          <w:rFonts w:cstheme="minorHAnsi"/>
          <w:iCs/>
          <w:szCs w:val="24"/>
        </w:rPr>
        <w:t>.</w:t>
      </w:r>
      <w:r w:rsidR="0048472A" w:rsidRPr="00995170">
        <w:rPr>
          <w:rFonts w:cstheme="minorHAnsi"/>
          <w:iCs/>
          <w:szCs w:val="24"/>
        </w:rPr>
        <w:t xml:space="preserve"> </w:t>
      </w:r>
      <w:r w:rsidR="0048472A" w:rsidRPr="00995170">
        <w:rPr>
          <w:rFonts w:cstheme="minorHAnsi"/>
          <w:b/>
          <w:bCs/>
          <w:iCs/>
          <w:szCs w:val="24"/>
        </w:rPr>
        <w:t>TE:</w:t>
      </w:r>
      <w:r w:rsidR="0048472A" w:rsidRPr="00995170">
        <w:rPr>
          <w:rFonts w:cstheme="minorHAnsi"/>
          <w:iCs/>
          <w:szCs w:val="24"/>
        </w:rPr>
        <w:t xml:space="preserve"> Total </w:t>
      </w:r>
      <w:r w:rsidR="00A164D8" w:rsidRPr="00A164D8">
        <w:rPr>
          <w:rFonts w:cstheme="minorHAnsi"/>
          <w:iCs/>
          <w:szCs w:val="24"/>
        </w:rPr>
        <w:t>acquired</w:t>
      </w:r>
      <w:r w:rsidR="0048472A" w:rsidRPr="00995170">
        <w:rPr>
          <w:rFonts w:cstheme="minorHAnsi"/>
          <w:iCs/>
          <w:szCs w:val="24"/>
        </w:rPr>
        <w:t xml:space="preserve"> </w:t>
      </w:r>
      <w:r w:rsidR="00406196" w:rsidRPr="00995170">
        <w:rPr>
          <w:rFonts w:cstheme="minorHAnsi"/>
          <w:iCs/>
          <w:szCs w:val="24"/>
        </w:rPr>
        <w:t xml:space="preserve">events (total </w:t>
      </w:r>
      <w:r w:rsidR="0048472A" w:rsidRPr="00995170">
        <w:rPr>
          <w:rFonts w:cstheme="minorHAnsi"/>
          <w:iCs/>
          <w:szCs w:val="24"/>
        </w:rPr>
        <w:t>cells</w:t>
      </w:r>
      <w:r w:rsidR="00406196" w:rsidRPr="00995170">
        <w:rPr>
          <w:rFonts w:cstheme="minorHAnsi"/>
          <w:iCs/>
          <w:szCs w:val="24"/>
        </w:rPr>
        <w:t>).</w:t>
      </w:r>
      <w:r w:rsidR="0048472A" w:rsidRPr="00995170">
        <w:rPr>
          <w:rFonts w:cstheme="minorHAnsi"/>
          <w:iCs/>
          <w:szCs w:val="24"/>
        </w:rPr>
        <w:t xml:space="preserve"> </w:t>
      </w:r>
      <w:proofErr w:type="spellStart"/>
      <w:r w:rsidR="00406196" w:rsidRPr="00995170">
        <w:rPr>
          <w:rFonts w:cstheme="minorHAnsi"/>
          <w:b/>
          <w:bCs/>
          <w:iCs/>
          <w:szCs w:val="24"/>
        </w:rPr>
        <w:t>m</w:t>
      </w:r>
      <w:r w:rsidR="0048472A" w:rsidRPr="00995170">
        <w:rPr>
          <w:rFonts w:cstheme="minorHAnsi"/>
          <w:b/>
          <w:bCs/>
          <w:iCs/>
          <w:szCs w:val="24"/>
        </w:rPr>
        <w:t>PC</w:t>
      </w:r>
      <w:proofErr w:type="spellEnd"/>
      <w:r w:rsidR="0048472A" w:rsidRPr="00995170">
        <w:rPr>
          <w:rFonts w:cstheme="minorHAnsi"/>
          <w:b/>
          <w:bCs/>
          <w:iCs/>
          <w:szCs w:val="24"/>
        </w:rPr>
        <w:t>:</w:t>
      </w:r>
      <w:r w:rsidR="0048472A" w:rsidRPr="00995170">
        <w:rPr>
          <w:rFonts w:cstheme="minorHAnsi"/>
          <w:iCs/>
          <w:szCs w:val="24"/>
        </w:rPr>
        <w:t xml:space="preserve"> </w:t>
      </w:r>
      <w:proofErr w:type="spellStart"/>
      <w:r w:rsidR="00406196" w:rsidRPr="00995170">
        <w:rPr>
          <w:rFonts w:cstheme="minorHAnsi"/>
          <w:iCs/>
          <w:szCs w:val="24"/>
        </w:rPr>
        <w:t>A</w:t>
      </w:r>
      <w:r w:rsidR="0048472A" w:rsidRPr="00995170">
        <w:rPr>
          <w:rFonts w:cstheme="minorHAnsi"/>
          <w:iCs/>
          <w:szCs w:val="24"/>
        </w:rPr>
        <w:t>bberrant</w:t>
      </w:r>
      <w:proofErr w:type="spellEnd"/>
      <w:r w:rsidR="0048472A" w:rsidRPr="00995170">
        <w:rPr>
          <w:rFonts w:cstheme="minorHAnsi"/>
          <w:iCs/>
          <w:szCs w:val="24"/>
        </w:rPr>
        <w:t xml:space="preserve"> plasma cells</w:t>
      </w:r>
      <w:r w:rsidR="00406196" w:rsidRPr="00995170">
        <w:rPr>
          <w:rFonts w:cstheme="minorHAnsi"/>
          <w:iCs/>
          <w:szCs w:val="24"/>
        </w:rPr>
        <w:t>.</w:t>
      </w:r>
      <w:r w:rsidR="0048472A" w:rsidRPr="00995170">
        <w:rPr>
          <w:rFonts w:cstheme="minorHAnsi"/>
          <w:iCs/>
          <w:szCs w:val="24"/>
        </w:rPr>
        <w:t xml:space="preserve"> </w:t>
      </w:r>
      <w:r w:rsidR="00406196" w:rsidRPr="00995170">
        <w:rPr>
          <w:rFonts w:cstheme="minorHAnsi"/>
          <w:b/>
          <w:bCs/>
          <w:iCs/>
          <w:szCs w:val="24"/>
        </w:rPr>
        <w:t>C</w:t>
      </w:r>
      <w:r w:rsidR="0048472A" w:rsidRPr="00995170">
        <w:rPr>
          <w:rFonts w:cstheme="minorHAnsi"/>
          <w:b/>
          <w:bCs/>
          <w:iCs/>
          <w:szCs w:val="24"/>
        </w:rPr>
        <w:t>ount:</w:t>
      </w:r>
      <w:r w:rsidR="0048472A" w:rsidRPr="00995170">
        <w:rPr>
          <w:rFonts w:cstheme="minorHAnsi"/>
          <w:iCs/>
          <w:szCs w:val="24"/>
        </w:rPr>
        <w:t xml:space="preserve"> </w:t>
      </w:r>
      <w:r w:rsidR="00406196" w:rsidRPr="00995170">
        <w:rPr>
          <w:rFonts w:cstheme="minorHAnsi"/>
          <w:iCs/>
          <w:szCs w:val="24"/>
        </w:rPr>
        <w:t>A</w:t>
      </w:r>
      <w:r w:rsidR="0048472A" w:rsidRPr="00995170">
        <w:rPr>
          <w:rFonts w:cstheme="minorHAnsi"/>
          <w:iCs/>
          <w:szCs w:val="24"/>
        </w:rPr>
        <w:t xml:space="preserve">bsolute counts among </w:t>
      </w:r>
      <w:r w:rsidR="00A164D8" w:rsidRPr="00A164D8">
        <w:rPr>
          <w:rFonts w:cstheme="minorHAnsi"/>
          <w:iCs/>
          <w:szCs w:val="24"/>
        </w:rPr>
        <w:t>acquired</w:t>
      </w:r>
      <w:r w:rsidR="0048472A" w:rsidRPr="00995170">
        <w:rPr>
          <w:rFonts w:cstheme="minorHAnsi"/>
          <w:iCs/>
          <w:szCs w:val="24"/>
        </w:rPr>
        <w:t xml:space="preserve"> total cells</w:t>
      </w:r>
      <w:r w:rsidR="00406196" w:rsidRPr="00995170">
        <w:rPr>
          <w:rFonts w:cstheme="minorHAnsi"/>
          <w:iCs/>
          <w:szCs w:val="24"/>
        </w:rPr>
        <w:t xml:space="preserve">. </w:t>
      </w:r>
    </w:p>
    <w:p w14:paraId="68C978B1" w14:textId="1AF52D95" w:rsidR="00AD553D" w:rsidRPr="00995170" w:rsidRDefault="00AD553D" w:rsidP="007E1800">
      <w:pPr>
        <w:tabs>
          <w:tab w:val="left" w:pos="709"/>
        </w:tabs>
        <w:jc w:val="both"/>
        <w:rPr>
          <w:rFonts w:cstheme="minorHAnsi"/>
          <w:iCs/>
          <w:sz w:val="20"/>
        </w:rPr>
      </w:pPr>
    </w:p>
    <w:p w14:paraId="4AE2712A" w14:textId="77777777" w:rsidR="00B576FA" w:rsidRPr="00995170" w:rsidRDefault="00B576FA" w:rsidP="007E1800">
      <w:pPr>
        <w:tabs>
          <w:tab w:val="left" w:pos="709"/>
        </w:tabs>
        <w:jc w:val="both"/>
        <w:rPr>
          <w:rFonts w:cstheme="minorHAnsi"/>
          <w:iCs/>
          <w:sz w:val="20"/>
        </w:rPr>
      </w:pPr>
    </w:p>
    <w:p w14:paraId="668FD971" w14:textId="0BD05F10" w:rsidR="007E1800" w:rsidRPr="00995170" w:rsidRDefault="007E1800" w:rsidP="0098291E">
      <w:pPr>
        <w:tabs>
          <w:tab w:val="left" w:pos="709"/>
        </w:tabs>
        <w:jc w:val="both"/>
        <w:rPr>
          <w:rFonts w:cstheme="minorHAnsi"/>
          <w:iCs/>
          <w:sz w:val="20"/>
        </w:rPr>
      </w:pPr>
    </w:p>
    <w:p w14:paraId="53DBAC79" w14:textId="2D74789F" w:rsidR="00406196" w:rsidRPr="00995170" w:rsidRDefault="00406196" w:rsidP="0098291E">
      <w:pPr>
        <w:tabs>
          <w:tab w:val="left" w:pos="709"/>
        </w:tabs>
        <w:jc w:val="both"/>
        <w:rPr>
          <w:rFonts w:cstheme="minorHAnsi"/>
          <w:iCs/>
          <w:sz w:val="20"/>
        </w:rPr>
      </w:pPr>
    </w:p>
    <w:p w14:paraId="68443D5B" w14:textId="0C7E61B8" w:rsidR="00406196" w:rsidRPr="00995170" w:rsidRDefault="00406196" w:rsidP="0098291E">
      <w:pPr>
        <w:tabs>
          <w:tab w:val="left" w:pos="709"/>
        </w:tabs>
        <w:jc w:val="both"/>
        <w:rPr>
          <w:rFonts w:cstheme="minorHAnsi"/>
          <w:iCs/>
          <w:sz w:val="20"/>
        </w:rPr>
      </w:pPr>
    </w:p>
    <w:p w14:paraId="67779274" w14:textId="77777777" w:rsidR="0097133C" w:rsidRPr="00995170" w:rsidRDefault="0097133C" w:rsidP="0098291E">
      <w:pPr>
        <w:tabs>
          <w:tab w:val="left" w:pos="709"/>
        </w:tabs>
        <w:jc w:val="both"/>
        <w:rPr>
          <w:rFonts w:cstheme="minorHAnsi"/>
          <w:iCs/>
          <w:sz w:val="20"/>
        </w:rPr>
      </w:pPr>
    </w:p>
    <w:p w14:paraId="6F20BD71" w14:textId="5610799B" w:rsidR="00B576FA" w:rsidRPr="00995170" w:rsidRDefault="00B576FA" w:rsidP="0098291E">
      <w:pPr>
        <w:tabs>
          <w:tab w:val="left" w:pos="709"/>
        </w:tabs>
        <w:jc w:val="both"/>
        <w:rPr>
          <w:rFonts w:cstheme="minorHAnsi"/>
          <w:iCs/>
          <w:sz w:val="20"/>
        </w:rPr>
      </w:pPr>
    </w:p>
    <w:p w14:paraId="51161C54" w14:textId="5849A75E" w:rsidR="00B576FA" w:rsidRPr="00995170" w:rsidRDefault="00B576FA" w:rsidP="0098291E">
      <w:pPr>
        <w:tabs>
          <w:tab w:val="left" w:pos="709"/>
        </w:tabs>
        <w:jc w:val="both"/>
        <w:rPr>
          <w:rFonts w:cstheme="minorHAnsi"/>
          <w:iCs/>
          <w:sz w:val="20"/>
        </w:rPr>
      </w:pPr>
    </w:p>
    <w:p w14:paraId="1CA6ADB9" w14:textId="41634D40" w:rsidR="00B576FA" w:rsidRPr="00995170" w:rsidRDefault="00B576FA" w:rsidP="0098291E">
      <w:pPr>
        <w:tabs>
          <w:tab w:val="left" w:pos="709"/>
        </w:tabs>
        <w:jc w:val="both"/>
        <w:rPr>
          <w:rFonts w:cstheme="minorHAnsi"/>
          <w:iCs/>
          <w:sz w:val="20"/>
        </w:rPr>
      </w:pPr>
    </w:p>
    <w:p w14:paraId="19976F30" w14:textId="61913D3B" w:rsidR="00B576FA" w:rsidRPr="00995170" w:rsidRDefault="00B576FA" w:rsidP="0098291E">
      <w:pPr>
        <w:tabs>
          <w:tab w:val="left" w:pos="709"/>
        </w:tabs>
        <w:jc w:val="both"/>
        <w:rPr>
          <w:rFonts w:cstheme="minorHAnsi"/>
          <w:iCs/>
          <w:sz w:val="20"/>
        </w:rPr>
      </w:pPr>
    </w:p>
    <w:p w14:paraId="461C6955" w14:textId="4633B185" w:rsidR="006E4BED" w:rsidRPr="00995170" w:rsidRDefault="00161EC4" w:rsidP="00044ABE">
      <w:pPr>
        <w:tabs>
          <w:tab w:val="left" w:pos="709"/>
        </w:tabs>
        <w:rPr>
          <w:b/>
          <w:i/>
          <w:sz w:val="20"/>
        </w:rPr>
      </w:pPr>
      <w:r w:rsidRPr="00995170">
        <w:rPr>
          <w:b/>
          <w:iCs/>
          <w:sz w:val="28"/>
        </w:rPr>
        <w:lastRenderedPageBreak/>
        <w:t>3</w:t>
      </w:r>
      <w:r w:rsidR="0095347A" w:rsidRPr="00995170">
        <w:rPr>
          <w:b/>
          <w:iCs/>
          <w:sz w:val="28"/>
        </w:rPr>
        <w:t xml:space="preserve"> </w:t>
      </w:r>
      <w:r w:rsidR="00E35BA1" w:rsidRPr="00995170">
        <w:rPr>
          <w:b/>
          <w:i/>
          <w:sz w:val="28"/>
        </w:rPr>
        <w:tab/>
      </w:r>
      <w:r w:rsidR="00E510C5" w:rsidRPr="00995170">
        <w:rPr>
          <w:b/>
          <w:i/>
          <w:sz w:val="28"/>
        </w:rPr>
        <w:t>Supplementary R</w:t>
      </w:r>
      <w:r w:rsidR="006E4BED" w:rsidRPr="00995170">
        <w:rPr>
          <w:b/>
          <w:i/>
          <w:sz w:val="28"/>
        </w:rPr>
        <w:t>eferences</w:t>
      </w:r>
      <w:bookmarkEnd w:id="2"/>
      <w:r w:rsidR="00F417F9">
        <w:rPr>
          <w:b/>
          <w:i/>
          <w:sz w:val="28"/>
        </w:rPr>
        <w:t xml:space="preserve"> (appear as references [28-34] in the main article)</w:t>
      </w:r>
      <w:r w:rsidR="00DD6E34" w:rsidRPr="00995170">
        <w:rPr>
          <w:b/>
          <w:i/>
        </w:rPr>
        <w:br/>
      </w:r>
    </w:p>
    <w:p w14:paraId="7466EB91" w14:textId="33B70292" w:rsidR="0028466E" w:rsidRPr="0028466E" w:rsidRDefault="006E4BED" w:rsidP="0028466E">
      <w:pPr>
        <w:widowControl w:val="0"/>
        <w:autoSpaceDE w:val="0"/>
        <w:autoSpaceDN w:val="0"/>
        <w:adjustRightInd w:val="0"/>
        <w:spacing w:after="0" w:line="360" w:lineRule="auto"/>
        <w:ind w:left="640" w:hanging="640"/>
        <w:rPr>
          <w:rFonts w:ascii="Calibri" w:hAnsi="Calibri" w:cs="Calibri"/>
          <w:noProof/>
          <w:sz w:val="22"/>
          <w:szCs w:val="24"/>
        </w:rPr>
      </w:pPr>
      <w:r w:rsidRPr="00F417F9">
        <w:rPr>
          <w:sz w:val="22"/>
        </w:rPr>
        <w:fldChar w:fldCharType="begin" w:fldLock="1"/>
      </w:r>
      <w:r w:rsidRPr="00F417F9">
        <w:rPr>
          <w:sz w:val="22"/>
          <w:lang w:val="da-DK"/>
        </w:rPr>
        <w:instrText xml:space="preserve">ADDIN Mendeley Bibliography CSL_BIBLIOGRAPHY </w:instrText>
      </w:r>
      <w:r w:rsidRPr="00F417F9">
        <w:rPr>
          <w:sz w:val="22"/>
        </w:rPr>
        <w:fldChar w:fldCharType="separate"/>
      </w:r>
      <w:r w:rsidR="0028466E" w:rsidRPr="0028466E">
        <w:rPr>
          <w:rFonts w:ascii="Calibri" w:hAnsi="Calibri" w:cs="Calibri"/>
          <w:noProof/>
          <w:sz w:val="22"/>
          <w:szCs w:val="24"/>
        </w:rPr>
        <w:t xml:space="preserve">1. </w:t>
      </w:r>
      <w:r w:rsidR="0028466E" w:rsidRPr="0028466E">
        <w:rPr>
          <w:rFonts w:ascii="Calibri" w:hAnsi="Calibri" w:cs="Calibri"/>
          <w:noProof/>
          <w:sz w:val="22"/>
          <w:szCs w:val="24"/>
        </w:rPr>
        <w:tab/>
        <w:t>Kalina T, Flores-Montero J, van der Velden VHJ, Martin-Ayuso M, Böttcher S, Ritgen M, et al. EuroFlow standardization of flow cytometer instrument settings and immunophenotyping protocols. Leukemia [Internet]. 2012 Sep 5 [cited 2012 Nov 6];26(9):1986–2010. Available from: http://www.pubmedcentral.nih.gov/articlerender.fcgi?artid=3437409&amp;tool=pmcentrez&amp;rendertype=abstract</w:t>
      </w:r>
    </w:p>
    <w:p w14:paraId="2B680C2B" w14:textId="77777777" w:rsidR="0028466E" w:rsidRPr="0028466E" w:rsidRDefault="0028466E" w:rsidP="0028466E">
      <w:pPr>
        <w:widowControl w:val="0"/>
        <w:autoSpaceDE w:val="0"/>
        <w:autoSpaceDN w:val="0"/>
        <w:adjustRightInd w:val="0"/>
        <w:spacing w:after="0" w:line="360" w:lineRule="auto"/>
        <w:ind w:left="640" w:hanging="640"/>
        <w:rPr>
          <w:rFonts w:ascii="Calibri" w:hAnsi="Calibri" w:cs="Calibri"/>
          <w:noProof/>
          <w:sz w:val="22"/>
          <w:szCs w:val="24"/>
        </w:rPr>
      </w:pPr>
      <w:r w:rsidRPr="0028466E">
        <w:rPr>
          <w:rFonts w:ascii="Calibri" w:hAnsi="Calibri" w:cs="Calibri"/>
          <w:noProof/>
          <w:sz w:val="22"/>
          <w:szCs w:val="24"/>
        </w:rPr>
        <w:t xml:space="preserve">2. </w:t>
      </w:r>
      <w:r w:rsidRPr="0028466E">
        <w:rPr>
          <w:rFonts w:ascii="Calibri" w:hAnsi="Calibri" w:cs="Calibri"/>
          <w:noProof/>
          <w:sz w:val="22"/>
          <w:szCs w:val="24"/>
        </w:rPr>
        <w:tab/>
        <w:t>Hofste op Bruinink D, Oliva S, Rihova L, van der Holt B, Gilestro M, te Marvelde JG, et al. Flowcytometric Minimal Residual Disease Assessment in the EMN-02/HOVON-95 MM Trial: Used Methods and a Comparison of Their Sensitivity. Blood [Internet]. 2016 Dec 2;128(22):2072–2072. Available from: https://ash.confex.com/ash/2016/webprogram/start.html</w:t>
      </w:r>
    </w:p>
    <w:p w14:paraId="51A79613" w14:textId="77777777" w:rsidR="0028466E" w:rsidRPr="0028466E" w:rsidRDefault="0028466E" w:rsidP="0028466E">
      <w:pPr>
        <w:widowControl w:val="0"/>
        <w:autoSpaceDE w:val="0"/>
        <w:autoSpaceDN w:val="0"/>
        <w:adjustRightInd w:val="0"/>
        <w:spacing w:after="0" w:line="360" w:lineRule="auto"/>
        <w:ind w:left="640" w:hanging="640"/>
        <w:rPr>
          <w:rFonts w:ascii="Calibri" w:hAnsi="Calibri" w:cs="Calibri"/>
          <w:noProof/>
          <w:sz w:val="22"/>
          <w:szCs w:val="24"/>
        </w:rPr>
      </w:pPr>
      <w:r w:rsidRPr="0028466E">
        <w:rPr>
          <w:rFonts w:ascii="Calibri" w:hAnsi="Calibri" w:cs="Calibri"/>
          <w:noProof/>
          <w:sz w:val="22"/>
          <w:szCs w:val="24"/>
        </w:rPr>
        <w:t xml:space="preserve">3. </w:t>
      </w:r>
      <w:r w:rsidRPr="0028466E">
        <w:rPr>
          <w:rFonts w:ascii="Calibri" w:hAnsi="Calibri" w:cs="Calibri"/>
          <w:noProof/>
          <w:sz w:val="22"/>
          <w:szCs w:val="24"/>
        </w:rPr>
        <w:tab/>
        <w:t xml:space="preserve">Almeida J, Oreao A, Ocqueteau M, Mateo G, Corral M, Caballero MD, et al. High-sensitive immunophenotyping and DNA ploidy studies for the investigation of minimal residual disease in multiple myeloma. Br J Haematol. 1999;107(1):121–31. </w:t>
      </w:r>
    </w:p>
    <w:p w14:paraId="2535498B" w14:textId="77777777" w:rsidR="0028466E" w:rsidRPr="0028466E" w:rsidRDefault="0028466E" w:rsidP="0028466E">
      <w:pPr>
        <w:widowControl w:val="0"/>
        <w:autoSpaceDE w:val="0"/>
        <w:autoSpaceDN w:val="0"/>
        <w:adjustRightInd w:val="0"/>
        <w:spacing w:after="0" w:line="360" w:lineRule="auto"/>
        <w:ind w:left="640" w:hanging="640"/>
        <w:rPr>
          <w:rFonts w:ascii="Calibri" w:hAnsi="Calibri" w:cs="Calibri"/>
          <w:noProof/>
          <w:sz w:val="22"/>
          <w:szCs w:val="24"/>
        </w:rPr>
      </w:pPr>
      <w:r w:rsidRPr="0028466E">
        <w:rPr>
          <w:rFonts w:ascii="Calibri" w:hAnsi="Calibri" w:cs="Calibri"/>
          <w:noProof/>
          <w:sz w:val="22"/>
          <w:szCs w:val="24"/>
        </w:rPr>
        <w:t xml:space="preserve">4. </w:t>
      </w:r>
      <w:r w:rsidRPr="0028466E">
        <w:rPr>
          <w:rFonts w:ascii="Calibri" w:hAnsi="Calibri" w:cs="Calibri"/>
          <w:noProof/>
          <w:sz w:val="22"/>
          <w:szCs w:val="24"/>
        </w:rPr>
        <w:tab/>
        <w:t>Pérez-Persona E, Vidriales M-B, Mateo G, García-Sanz R, Mateos M-V, de Coca AG, et al. New criteria to identify risk of progression in monoclonal gammopathy of uncertain significance and smoldering multiple myeloma based on multiparameter flow cytometry analysis of bone marrow plasma cells. Blood [Internet]. 2007 Oct 1;110(7):2586–92. Available from: https://ashpublications.org/blood/article/110/7/2586/103625/New-criteria-to-identify-risk-of-progression-in</w:t>
      </w:r>
    </w:p>
    <w:p w14:paraId="08532FE4" w14:textId="77777777" w:rsidR="0028466E" w:rsidRPr="0028466E" w:rsidRDefault="0028466E" w:rsidP="0028466E">
      <w:pPr>
        <w:widowControl w:val="0"/>
        <w:autoSpaceDE w:val="0"/>
        <w:autoSpaceDN w:val="0"/>
        <w:adjustRightInd w:val="0"/>
        <w:spacing w:after="0" w:line="360" w:lineRule="auto"/>
        <w:ind w:left="640" w:hanging="640"/>
        <w:rPr>
          <w:rFonts w:ascii="Calibri" w:hAnsi="Calibri" w:cs="Calibri"/>
          <w:noProof/>
          <w:sz w:val="22"/>
          <w:szCs w:val="24"/>
        </w:rPr>
      </w:pPr>
      <w:r w:rsidRPr="0028466E">
        <w:rPr>
          <w:rFonts w:ascii="Calibri" w:hAnsi="Calibri" w:cs="Calibri"/>
          <w:noProof/>
          <w:sz w:val="22"/>
          <w:szCs w:val="24"/>
        </w:rPr>
        <w:t xml:space="preserve">5. </w:t>
      </w:r>
      <w:r w:rsidRPr="0028466E">
        <w:rPr>
          <w:rFonts w:ascii="Calibri" w:hAnsi="Calibri" w:cs="Calibri"/>
          <w:noProof/>
          <w:sz w:val="22"/>
          <w:szCs w:val="24"/>
        </w:rPr>
        <w:tab/>
        <w:t>Jelinek T, Bezdekova R, Zatopkova M, Burgos L, Simicek M, Sevcikova T, et al. Current applications of multiparameter flow cytometry in plasma cell disorders. Blood Cancer J [Internet]. 2017 Oct 20;7(10):e617–e617. Available from: http://www.nature.com/articles/bcj201790</w:t>
      </w:r>
    </w:p>
    <w:p w14:paraId="7A6101DC" w14:textId="77777777" w:rsidR="0028466E" w:rsidRPr="0028466E" w:rsidRDefault="0028466E" w:rsidP="0028466E">
      <w:pPr>
        <w:widowControl w:val="0"/>
        <w:autoSpaceDE w:val="0"/>
        <w:autoSpaceDN w:val="0"/>
        <w:adjustRightInd w:val="0"/>
        <w:spacing w:after="0" w:line="360" w:lineRule="auto"/>
        <w:ind w:left="640" w:hanging="640"/>
        <w:rPr>
          <w:rFonts w:ascii="Calibri" w:hAnsi="Calibri" w:cs="Calibri"/>
          <w:noProof/>
          <w:sz w:val="22"/>
        </w:rPr>
      </w:pPr>
      <w:r w:rsidRPr="0028466E">
        <w:rPr>
          <w:rFonts w:ascii="Calibri" w:hAnsi="Calibri" w:cs="Calibri"/>
          <w:noProof/>
          <w:sz w:val="22"/>
          <w:szCs w:val="24"/>
        </w:rPr>
        <w:t xml:space="preserve">6. </w:t>
      </w:r>
      <w:r w:rsidRPr="0028466E">
        <w:rPr>
          <w:rFonts w:ascii="Calibri" w:hAnsi="Calibri" w:cs="Calibri"/>
          <w:noProof/>
          <w:sz w:val="22"/>
          <w:szCs w:val="24"/>
        </w:rPr>
        <w:tab/>
        <w:t>Arroz M, Came N, Lin P, Chen W, Yuan C, Lagoo A, et al. Consensus guidelines on plasma cell myeloma minimal residual disease analysis and reporting. Cytom Part B Clin Cytom [Internet]. 2016 Jan;90(1):31–9. Available from: http://www.ncbi.nlm.nih.gov/pubmed/25619868</w:t>
      </w:r>
    </w:p>
    <w:p w14:paraId="0A6020CC" w14:textId="475977E2" w:rsidR="00544F3E" w:rsidRPr="00995170" w:rsidRDefault="006E4BED" w:rsidP="000842A5">
      <w:pPr>
        <w:pStyle w:val="Overskrift1"/>
        <w:tabs>
          <w:tab w:val="left" w:pos="709"/>
          <w:tab w:val="left" w:pos="1701"/>
        </w:tabs>
        <w:spacing w:line="360" w:lineRule="auto"/>
      </w:pPr>
      <w:r w:rsidRPr="00F417F9">
        <w:rPr>
          <w:sz w:val="22"/>
          <w:szCs w:val="22"/>
        </w:rPr>
        <w:fldChar w:fldCharType="end"/>
      </w:r>
      <w:bookmarkStart w:id="3" w:name="_Tables_and_Figures:"/>
      <w:bookmarkEnd w:id="3"/>
    </w:p>
    <w:sectPr w:rsidR="00544F3E" w:rsidRPr="00995170" w:rsidSect="006F1C4E">
      <w:headerReference w:type="default" r:id="rId13"/>
      <w:footerReference w:type="default" r:id="rId14"/>
      <w:pgSz w:w="11907" w:h="16839" w:code="9"/>
      <w:pgMar w:top="851" w:right="1275"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751B" w14:textId="77777777" w:rsidR="0098799D" w:rsidRDefault="0098799D" w:rsidP="00603A57">
      <w:pPr>
        <w:spacing w:after="0" w:line="240" w:lineRule="auto"/>
      </w:pPr>
      <w:r>
        <w:separator/>
      </w:r>
    </w:p>
  </w:endnote>
  <w:endnote w:type="continuationSeparator" w:id="0">
    <w:p w14:paraId="20B06092" w14:textId="77777777" w:rsidR="0098799D" w:rsidRDefault="0098799D" w:rsidP="0060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6DCC" w14:textId="30D7DE0C" w:rsidR="00590CEA" w:rsidRDefault="00590CEA">
    <w:pPr>
      <w:pStyle w:val="Sidefod"/>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8466E">
      <w:rPr>
        <w:caps/>
        <w:noProof/>
        <w:color w:val="5B9BD5" w:themeColor="accent1"/>
      </w:rPr>
      <w:t>8</w:t>
    </w:r>
    <w:r>
      <w:rPr>
        <w:caps/>
        <w:noProof/>
        <w:color w:val="5B9BD5" w:themeColor="accent1"/>
      </w:rPr>
      <w:fldChar w:fldCharType="end"/>
    </w:r>
  </w:p>
  <w:p w14:paraId="339B45BE" w14:textId="77777777" w:rsidR="00590CEA" w:rsidRDefault="00590C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52C8" w14:textId="77777777" w:rsidR="0098799D" w:rsidRDefault="0098799D" w:rsidP="00603A57">
      <w:pPr>
        <w:spacing w:after="0" w:line="240" w:lineRule="auto"/>
      </w:pPr>
      <w:r>
        <w:separator/>
      </w:r>
    </w:p>
  </w:footnote>
  <w:footnote w:type="continuationSeparator" w:id="0">
    <w:p w14:paraId="66CD8E15" w14:textId="77777777" w:rsidR="0098799D" w:rsidRDefault="0098799D" w:rsidP="0060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76C0" w14:textId="77777777" w:rsidR="005B61B2" w:rsidRPr="0057124A" w:rsidRDefault="005B61B2" w:rsidP="008735FB">
    <w:pPr>
      <w:spacing w:after="160" w:line="259" w:lineRule="auto"/>
      <w:ind w:right="119"/>
      <w:jc w:val="center"/>
      <w:rPr>
        <w:rFonts w:asciiTheme="majorHAnsi" w:eastAsiaTheme="majorEastAsia" w:hAnsiTheme="majorHAnsi" w:cstheme="majorBidi"/>
        <w:b/>
        <w:bCs/>
        <w:iCs/>
        <w:szCs w:val="44"/>
        <w:lang w:val="en-US"/>
      </w:rPr>
    </w:pPr>
    <w:r w:rsidRPr="0057124A">
      <w:rPr>
        <w:rFonts w:asciiTheme="majorHAnsi" w:eastAsiaTheme="majorEastAsia" w:hAnsiTheme="majorHAnsi" w:cstheme="majorBidi"/>
        <w:b/>
        <w:bCs/>
        <w:iCs/>
        <w:szCs w:val="44"/>
        <w:lang w:val="en-US"/>
      </w:rPr>
      <w:t>SUPPLEMENTARY INFORMATION</w:t>
    </w:r>
  </w:p>
  <w:p w14:paraId="1C79E852" w14:textId="7B2219CA" w:rsidR="00590CEA" w:rsidRPr="007F0499" w:rsidRDefault="00ED38B9" w:rsidP="00ED38B9">
    <w:pPr>
      <w:jc w:val="center"/>
      <w:rPr>
        <w:lang w:val="en-US"/>
      </w:rPr>
    </w:pPr>
    <w:r>
      <w:rPr>
        <w:rFonts w:asciiTheme="majorHAnsi" w:eastAsiaTheme="majorEastAsia" w:hAnsiTheme="majorHAnsi" w:cstheme="majorBidi"/>
        <w:iCs/>
        <w:sz w:val="18"/>
        <w:szCs w:val="32"/>
        <w:lang w:val="en-US"/>
      </w:rPr>
      <w:t>Schmitz et al, 202</w:t>
    </w:r>
    <w:r w:rsidR="00E513AB">
      <w:rPr>
        <w:rFonts w:asciiTheme="majorHAnsi" w:eastAsiaTheme="majorEastAsia" w:hAnsiTheme="majorHAnsi" w:cstheme="majorBidi"/>
        <w:iCs/>
        <w:sz w:val="18"/>
        <w:szCs w:val="32"/>
        <w:lang w:val="en-US"/>
      </w:rPr>
      <w:t>1</w:t>
    </w:r>
    <w:r>
      <w:rPr>
        <w:rFonts w:asciiTheme="majorHAnsi" w:eastAsiaTheme="majorEastAsia" w:hAnsiTheme="majorHAnsi" w:cstheme="majorBidi"/>
        <w:iCs/>
        <w:sz w:val="18"/>
        <w:szCs w:val="32"/>
        <w:lang w:val="en-US"/>
      </w:rPr>
      <w:t xml:space="preserve">: </w:t>
    </w:r>
    <w:r w:rsidRPr="00E50DE7">
      <w:rPr>
        <w:rFonts w:asciiTheme="majorHAnsi" w:eastAsiaTheme="majorEastAsia" w:hAnsiTheme="majorHAnsi" w:cstheme="majorBidi"/>
        <w:iCs/>
        <w:sz w:val="18"/>
        <w:szCs w:val="32"/>
        <w:lang w:val="en-US"/>
      </w:rPr>
      <w:t>Longitudinal flow-MRD Assessment in CR MM Patients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76596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FD0AE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F52CF3"/>
    <w:multiLevelType w:val="hybridMultilevel"/>
    <w:tmpl w:val="5FC21B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791266"/>
    <w:multiLevelType w:val="hybridMultilevel"/>
    <w:tmpl w:val="0BD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D26B1"/>
    <w:multiLevelType w:val="hybridMultilevel"/>
    <w:tmpl w:val="65D63B22"/>
    <w:lvl w:ilvl="0" w:tplc="0E94C8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A023A"/>
    <w:multiLevelType w:val="hybridMultilevel"/>
    <w:tmpl w:val="3918DDAA"/>
    <w:lvl w:ilvl="0" w:tplc="47B2D2D2">
      <w:start w:val="1"/>
      <w:numFmt w:val="bullet"/>
      <w:lvlText w:val=""/>
      <w:lvlJc w:val="left"/>
      <w:pPr>
        <w:tabs>
          <w:tab w:val="num" w:pos="720"/>
        </w:tabs>
        <w:ind w:left="720" w:hanging="360"/>
      </w:pPr>
      <w:rPr>
        <w:rFonts w:ascii="Symbol" w:hAnsi="Symbol" w:hint="default"/>
      </w:rPr>
    </w:lvl>
    <w:lvl w:ilvl="1" w:tplc="6C4ACAF2">
      <w:start w:val="1"/>
      <w:numFmt w:val="bullet"/>
      <w:lvlText w:val=""/>
      <w:lvlJc w:val="left"/>
      <w:pPr>
        <w:tabs>
          <w:tab w:val="num" w:pos="1440"/>
        </w:tabs>
        <w:ind w:left="1440" w:hanging="360"/>
      </w:pPr>
      <w:rPr>
        <w:rFonts w:ascii="Symbol" w:hAnsi="Symbol" w:hint="default"/>
      </w:rPr>
    </w:lvl>
    <w:lvl w:ilvl="2" w:tplc="1E4229D4" w:tentative="1">
      <w:start w:val="1"/>
      <w:numFmt w:val="bullet"/>
      <w:lvlText w:val=""/>
      <w:lvlJc w:val="left"/>
      <w:pPr>
        <w:tabs>
          <w:tab w:val="num" w:pos="2160"/>
        </w:tabs>
        <w:ind w:left="2160" w:hanging="360"/>
      </w:pPr>
      <w:rPr>
        <w:rFonts w:ascii="Symbol" w:hAnsi="Symbol" w:hint="default"/>
      </w:rPr>
    </w:lvl>
    <w:lvl w:ilvl="3" w:tplc="0CF206C4" w:tentative="1">
      <w:start w:val="1"/>
      <w:numFmt w:val="bullet"/>
      <w:lvlText w:val=""/>
      <w:lvlJc w:val="left"/>
      <w:pPr>
        <w:tabs>
          <w:tab w:val="num" w:pos="2880"/>
        </w:tabs>
        <w:ind w:left="2880" w:hanging="360"/>
      </w:pPr>
      <w:rPr>
        <w:rFonts w:ascii="Symbol" w:hAnsi="Symbol" w:hint="default"/>
      </w:rPr>
    </w:lvl>
    <w:lvl w:ilvl="4" w:tplc="CD46AD3C" w:tentative="1">
      <w:start w:val="1"/>
      <w:numFmt w:val="bullet"/>
      <w:lvlText w:val=""/>
      <w:lvlJc w:val="left"/>
      <w:pPr>
        <w:tabs>
          <w:tab w:val="num" w:pos="3600"/>
        </w:tabs>
        <w:ind w:left="3600" w:hanging="360"/>
      </w:pPr>
      <w:rPr>
        <w:rFonts w:ascii="Symbol" w:hAnsi="Symbol" w:hint="default"/>
      </w:rPr>
    </w:lvl>
    <w:lvl w:ilvl="5" w:tplc="7DDCF8D2" w:tentative="1">
      <w:start w:val="1"/>
      <w:numFmt w:val="bullet"/>
      <w:lvlText w:val=""/>
      <w:lvlJc w:val="left"/>
      <w:pPr>
        <w:tabs>
          <w:tab w:val="num" w:pos="4320"/>
        </w:tabs>
        <w:ind w:left="4320" w:hanging="360"/>
      </w:pPr>
      <w:rPr>
        <w:rFonts w:ascii="Symbol" w:hAnsi="Symbol" w:hint="default"/>
      </w:rPr>
    </w:lvl>
    <w:lvl w:ilvl="6" w:tplc="1C6E114E" w:tentative="1">
      <w:start w:val="1"/>
      <w:numFmt w:val="bullet"/>
      <w:lvlText w:val=""/>
      <w:lvlJc w:val="left"/>
      <w:pPr>
        <w:tabs>
          <w:tab w:val="num" w:pos="5040"/>
        </w:tabs>
        <w:ind w:left="5040" w:hanging="360"/>
      </w:pPr>
      <w:rPr>
        <w:rFonts w:ascii="Symbol" w:hAnsi="Symbol" w:hint="default"/>
      </w:rPr>
    </w:lvl>
    <w:lvl w:ilvl="7" w:tplc="49140EFA" w:tentative="1">
      <w:start w:val="1"/>
      <w:numFmt w:val="bullet"/>
      <w:lvlText w:val=""/>
      <w:lvlJc w:val="left"/>
      <w:pPr>
        <w:tabs>
          <w:tab w:val="num" w:pos="5760"/>
        </w:tabs>
        <w:ind w:left="5760" w:hanging="360"/>
      </w:pPr>
      <w:rPr>
        <w:rFonts w:ascii="Symbol" w:hAnsi="Symbol" w:hint="default"/>
      </w:rPr>
    </w:lvl>
    <w:lvl w:ilvl="8" w:tplc="CE7AA6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8003B8"/>
    <w:multiLevelType w:val="hybridMultilevel"/>
    <w:tmpl w:val="BEDEE6D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60782B"/>
    <w:multiLevelType w:val="multilevel"/>
    <w:tmpl w:val="981A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70625"/>
    <w:multiLevelType w:val="hybridMultilevel"/>
    <w:tmpl w:val="DB7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C2C83"/>
    <w:multiLevelType w:val="hybridMultilevel"/>
    <w:tmpl w:val="5F2474A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5544"/>
    <w:multiLevelType w:val="hybridMultilevel"/>
    <w:tmpl w:val="6728F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7D1A"/>
    <w:multiLevelType w:val="multilevel"/>
    <w:tmpl w:val="30A6C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7506B"/>
    <w:multiLevelType w:val="hybridMultilevel"/>
    <w:tmpl w:val="7B24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433B0"/>
    <w:multiLevelType w:val="hybridMultilevel"/>
    <w:tmpl w:val="237C9B6E"/>
    <w:lvl w:ilvl="0" w:tplc="2BFA7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A748F"/>
    <w:multiLevelType w:val="hybridMultilevel"/>
    <w:tmpl w:val="D4F40DD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74B58D7"/>
    <w:multiLevelType w:val="hybridMultilevel"/>
    <w:tmpl w:val="1BAC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34528"/>
    <w:multiLevelType w:val="hybridMultilevel"/>
    <w:tmpl w:val="99DC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15D37"/>
    <w:multiLevelType w:val="hybridMultilevel"/>
    <w:tmpl w:val="AA5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D32FD"/>
    <w:multiLevelType w:val="hybridMultilevel"/>
    <w:tmpl w:val="82520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DB010D"/>
    <w:multiLevelType w:val="hybridMultilevel"/>
    <w:tmpl w:val="DA52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0E776E"/>
    <w:multiLevelType w:val="hybridMultilevel"/>
    <w:tmpl w:val="F2C4DA3A"/>
    <w:lvl w:ilvl="0" w:tplc="59D6C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C363D"/>
    <w:multiLevelType w:val="hybridMultilevel"/>
    <w:tmpl w:val="25C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30F9A"/>
    <w:multiLevelType w:val="multilevel"/>
    <w:tmpl w:val="6DF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AE3DD6"/>
    <w:multiLevelType w:val="hybridMultilevel"/>
    <w:tmpl w:val="5DB4300C"/>
    <w:lvl w:ilvl="0" w:tplc="98884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978D8"/>
    <w:multiLevelType w:val="multilevel"/>
    <w:tmpl w:val="B66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B1D33"/>
    <w:multiLevelType w:val="multilevel"/>
    <w:tmpl w:val="E682C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7E3D02"/>
    <w:multiLevelType w:val="multilevel"/>
    <w:tmpl w:val="694E6A1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DA28F4"/>
    <w:multiLevelType w:val="hybridMultilevel"/>
    <w:tmpl w:val="E0387EA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8D21EB3"/>
    <w:multiLevelType w:val="multilevel"/>
    <w:tmpl w:val="282C9E48"/>
    <w:lvl w:ilvl="0">
      <w:start w:val="1"/>
      <w:numFmt w:val="decimal"/>
      <w:lvlText w:val="%1"/>
      <w:lvlJc w:val="left"/>
      <w:pPr>
        <w:ind w:left="720" w:hanging="360"/>
      </w:pPr>
      <w:rPr>
        <w:rFonts w:hint="default"/>
        <w:i w:val="0"/>
        <w:i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0E0E15"/>
    <w:multiLevelType w:val="multilevel"/>
    <w:tmpl w:val="F34C6308"/>
    <w:lvl w:ilvl="0">
      <w:start w:val="1"/>
      <w:numFmt w:val="decimal"/>
      <w:lvlText w:val="%1"/>
      <w:lvlJc w:val="left"/>
      <w:pPr>
        <w:ind w:left="432" w:hanging="432"/>
      </w:pPr>
    </w:lvl>
    <w:lvl w:ilvl="1">
      <w:start w:val="1"/>
      <w:numFmt w:val="decimal"/>
      <w:lvlText w:val="%1.%2"/>
      <w:lvlJc w:val="left"/>
      <w:pPr>
        <w:ind w:left="355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0" w15:restartNumberingAfterBreak="0">
    <w:nsid w:val="733B7937"/>
    <w:multiLevelType w:val="hybridMultilevel"/>
    <w:tmpl w:val="FD7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D5177"/>
    <w:multiLevelType w:val="multilevel"/>
    <w:tmpl w:val="13D6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0D6E24"/>
    <w:multiLevelType w:val="multilevel"/>
    <w:tmpl w:val="624C8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5827A8"/>
    <w:multiLevelType w:val="multilevel"/>
    <w:tmpl w:val="11D0D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6B3D0E"/>
    <w:multiLevelType w:val="hybridMultilevel"/>
    <w:tmpl w:val="17E0568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DE46255"/>
    <w:multiLevelType w:val="hybridMultilevel"/>
    <w:tmpl w:val="07A82BA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27"/>
  </w:num>
  <w:num w:numId="2">
    <w:abstractNumId w:val="6"/>
  </w:num>
  <w:num w:numId="3">
    <w:abstractNumId w:val="34"/>
  </w:num>
  <w:num w:numId="4">
    <w:abstractNumId w:val="29"/>
  </w:num>
  <w:num w:numId="5">
    <w:abstractNumId w:val="21"/>
  </w:num>
  <w:num w:numId="6">
    <w:abstractNumId w:val="13"/>
  </w:num>
  <w:num w:numId="7">
    <w:abstractNumId w:val="2"/>
  </w:num>
  <w:num w:numId="8">
    <w:abstractNumId w:val="3"/>
  </w:num>
  <w:num w:numId="9">
    <w:abstractNumId w:val="19"/>
  </w:num>
  <w:num w:numId="10">
    <w:abstractNumId w:val="14"/>
  </w:num>
  <w:num w:numId="11">
    <w:abstractNumId w:val="17"/>
  </w:num>
  <w:num w:numId="12">
    <w:abstractNumId w:val="10"/>
  </w:num>
  <w:num w:numId="13">
    <w:abstractNumId w:val="35"/>
  </w:num>
  <w:num w:numId="14">
    <w:abstractNumId w:val="12"/>
  </w:num>
  <w:num w:numId="15">
    <w:abstractNumId w:val="23"/>
  </w:num>
  <w:num w:numId="16">
    <w:abstractNumId w:val="20"/>
  </w:num>
  <w:num w:numId="17">
    <w:abstractNumId w:val="16"/>
  </w:num>
  <w:num w:numId="18">
    <w:abstractNumId w:val="32"/>
  </w:num>
  <w:num w:numId="19">
    <w:abstractNumId w:val="25"/>
  </w:num>
  <w:num w:numId="20">
    <w:abstractNumId w:val="33"/>
  </w:num>
  <w:num w:numId="21">
    <w:abstractNumId w:val="24"/>
  </w:num>
  <w:num w:numId="22">
    <w:abstractNumId w:val="8"/>
  </w:num>
  <w:num w:numId="23">
    <w:abstractNumId w:val="18"/>
  </w:num>
  <w:num w:numId="24">
    <w:abstractNumId w:val="30"/>
  </w:num>
  <w:num w:numId="25">
    <w:abstractNumId w:val="4"/>
  </w:num>
  <w:num w:numId="26">
    <w:abstractNumId w:val="5"/>
  </w:num>
  <w:num w:numId="27">
    <w:abstractNumId w:val="9"/>
  </w:num>
  <w:num w:numId="28">
    <w:abstractNumId w:val="1"/>
  </w:num>
  <w:num w:numId="29">
    <w:abstractNumId w:val="0"/>
  </w:num>
  <w:num w:numId="30">
    <w:abstractNumId w:val="7"/>
  </w:num>
  <w:num w:numId="31">
    <w:abstractNumId w:val="31"/>
  </w:num>
  <w:num w:numId="32">
    <w:abstractNumId w:val="22"/>
  </w:num>
  <w:num w:numId="33">
    <w:abstractNumId w:val="1"/>
  </w:num>
  <w:num w:numId="34">
    <w:abstractNumId w:val="1"/>
  </w:num>
  <w:num w:numId="35">
    <w:abstractNumId w:val="1"/>
  </w:num>
  <w:num w:numId="36">
    <w:abstractNumId w:val="15"/>
  </w:num>
  <w:num w:numId="37">
    <w:abstractNumId w:val="1"/>
  </w:num>
  <w:num w:numId="38">
    <w:abstractNumId w:val="11"/>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a-DK"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4D"/>
    <w:rsid w:val="00000205"/>
    <w:rsid w:val="00000BF6"/>
    <w:rsid w:val="00001BB9"/>
    <w:rsid w:val="0000378C"/>
    <w:rsid w:val="0000554A"/>
    <w:rsid w:val="00005651"/>
    <w:rsid w:val="000060AB"/>
    <w:rsid w:val="00006474"/>
    <w:rsid w:val="00006844"/>
    <w:rsid w:val="000074D4"/>
    <w:rsid w:val="0000791B"/>
    <w:rsid w:val="000103D0"/>
    <w:rsid w:val="00011C75"/>
    <w:rsid w:val="00014C86"/>
    <w:rsid w:val="00016386"/>
    <w:rsid w:val="00016619"/>
    <w:rsid w:val="00016BDB"/>
    <w:rsid w:val="00016D6D"/>
    <w:rsid w:val="000171FA"/>
    <w:rsid w:val="00021AFE"/>
    <w:rsid w:val="0002239E"/>
    <w:rsid w:val="000229B5"/>
    <w:rsid w:val="0002315F"/>
    <w:rsid w:val="000236A7"/>
    <w:rsid w:val="0002374F"/>
    <w:rsid w:val="00023CA0"/>
    <w:rsid w:val="000240DF"/>
    <w:rsid w:val="000246E5"/>
    <w:rsid w:val="00026384"/>
    <w:rsid w:val="000265A4"/>
    <w:rsid w:val="00026AEA"/>
    <w:rsid w:val="00027684"/>
    <w:rsid w:val="00027C2D"/>
    <w:rsid w:val="00030584"/>
    <w:rsid w:val="00030841"/>
    <w:rsid w:val="000312C9"/>
    <w:rsid w:val="00031F0A"/>
    <w:rsid w:val="000342C4"/>
    <w:rsid w:val="00034377"/>
    <w:rsid w:val="00034E32"/>
    <w:rsid w:val="0003521F"/>
    <w:rsid w:val="00035487"/>
    <w:rsid w:val="0003580F"/>
    <w:rsid w:val="000359A0"/>
    <w:rsid w:val="00035A4E"/>
    <w:rsid w:val="000366EE"/>
    <w:rsid w:val="000367AF"/>
    <w:rsid w:val="00036DC3"/>
    <w:rsid w:val="0003705F"/>
    <w:rsid w:val="000375F8"/>
    <w:rsid w:val="0004223B"/>
    <w:rsid w:val="00042295"/>
    <w:rsid w:val="0004236D"/>
    <w:rsid w:val="00042510"/>
    <w:rsid w:val="00042546"/>
    <w:rsid w:val="00042977"/>
    <w:rsid w:val="00044741"/>
    <w:rsid w:val="00044ABE"/>
    <w:rsid w:val="0004534D"/>
    <w:rsid w:val="00045E71"/>
    <w:rsid w:val="00046483"/>
    <w:rsid w:val="000505B6"/>
    <w:rsid w:val="00050DC7"/>
    <w:rsid w:val="00051262"/>
    <w:rsid w:val="00052159"/>
    <w:rsid w:val="000525B7"/>
    <w:rsid w:val="00053E2E"/>
    <w:rsid w:val="00053E84"/>
    <w:rsid w:val="00053FB5"/>
    <w:rsid w:val="00055448"/>
    <w:rsid w:val="00055B19"/>
    <w:rsid w:val="00056686"/>
    <w:rsid w:val="00056CC4"/>
    <w:rsid w:val="00056E9A"/>
    <w:rsid w:val="00057C81"/>
    <w:rsid w:val="0006090B"/>
    <w:rsid w:val="00060E34"/>
    <w:rsid w:val="000615E0"/>
    <w:rsid w:val="000620DF"/>
    <w:rsid w:val="000624A9"/>
    <w:rsid w:val="00062585"/>
    <w:rsid w:val="000641CD"/>
    <w:rsid w:val="000645E4"/>
    <w:rsid w:val="00065558"/>
    <w:rsid w:val="00065E43"/>
    <w:rsid w:val="00066FC1"/>
    <w:rsid w:val="0006709E"/>
    <w:rsid w:val="000674A4"/>
    <w:rsid w:val="0007192D"/>
    <w:rsid w:val="00072E58"/>
    <w:rsid w:val="00072F62"/>
    <w:rsid w:val="000741A9"/>
    <w:rsid w:val="000757C5"/>
    <w:rsid w:val="00075980"/>
    <w:rsid w:val="00076FDD"/>
    <w:rsid w:val="000771CD"/>
    <w:rsid w:val="00077AE0"/>
    <w:rsid w:val="00077DED"/>
    <w:rsid w:val="000806EA"/>
    <w:rsid w:val="000813DC"/>
    <w:rsid w:val="000817F2"/>
    <w:rsid w:val="00081E9F"/>
    <w:rsid w:val="000827A9"/>
    <w:rsid w:val="00082888"/>
    <w:rsid w:val="00082E9A"/>
    <w:rsid w:val="00083828"/>
    <w:rsid w:val="000842A5"/>
    <w:rsid w:val="00084629"/>
    <w:rsid w:val="00086CC3"/>
    <w:rsid w:val="00086CD5"/>
    <w:rsid w:val="000874A2"/>
    <w:rsid w:val="00087F5F"/>
    <w:rsid w:val="00090E7F"/>
    <w:rsid w:val="0009227E"/>
    <w:rsid w:val="000926DA"/>
    <w:rsid w:val="00092EEB"/>
    <w:rsid w:val="0009394B"/>
    <w:rsid w:val="00094CA6"/>
    <w:rsid w:val="0009516C"/>
    <w:rsid w:val="0009674E"/>
    <w:rsid w:val="00096A34"/>
    <w:rsid w:val="00097182"/>
    <w:rsid w:val="00097EC7"/>
    <w:rsid w:val="000A10A1"/>
    <w:rsid w:val="000A143E"/>
    <w:rsid w:val="000A2252"/>
    <w:rsid w:val="000A29E1"/>
    <w:rsid w:val="000A5002"/>
    <w:rsid w:val="000A5C1F"/>
    <w:rsid w:val="000A6F09"/>
    <w:rsid w:val="000B122D"/>
    <w:rsid w:val="000B28D5"/>
    <w:rsid w:val="000B4E07"/>
    <w:rsid w:val="000B4FD9"/>
    <w:rsid w:val="000B51F1"/>
    <w:rsid w:val="000B6550"/>
    <w:rsid w:val="000B7376"/>
    <w:rsid w:val="000B7F3F"/>
    <w:rsid w:val="000C0C23"/>
    <w:rsid w:val="000C2022"/>
    <w:rsid w:val="000C3407"/>
    <w:rsid w:val="000C38CD"/>
    <w:rsid w:val="000C3995"/>
    <w:rsid w:val="000C3BC7"/>
    <w:rsid w:val="000C469E"/>
    <w:rsid w:val="000C51A4"/>
    <w:rsid w:val="000C573B"/>
    <w:rsid w:val="000C5B00"/>
    <w:rsid w:val="000C6361"/>
    <w:rsid w:val="000C75CD"/>
    <w:rsid w:val="000C7ECE"/>
    <w:rsid w:val="000D0A15"/>
    <w:rsid w:val="000D12C2"/>
    <w:rsid w:val="000D16D0"/>
    <w:rsid w:val="000D268C"/>
    <w:rsid w:val="000D321D"/>
    <w:rsid w:val="000D322A"/>
    <w:rsid w:val="000D3704"/>
    <w:rsid w:val="000D3C0B"/>
    <w:rsid w:val="000D49CC"/>
    <w:rsid w:val="000D55A6"/>
    <w:rsid w:val="000D7874"/>
    <w:rsid w:val="000D7B34"/>
    <w:rsid w:val="000E0391"/>
    <w:rsid w:val="000E22D8"/>
    <w:rsid w:val="000E295F"/>
    <w:rsid w:val="000E35C6"/>
    <w:rsid w:val="000E41A1"/>
    <w:rsid w:val="000E455E"/>
    <w:rsid w:val="000E51A1"/>
    <w:rsid w:val="000E51E9"/>
    <w:rsid w:val="000E55C4"/>
    <w:rsid w:val="000E5787"/>
    <w:rsid w:val="000E6484"/>
    <w:rsid w:val="000E6616"/>
    <w:rsid w:val="000E6B56"/>
    <w:rsid w:val="000E6CAC"/>
    <w:rsid w:val="000E7D4E"/>
    <w:rsid w:val="000F0E31"/>
    <w:rsid w:val="000F1AF8"/>
    <w:rsid w:val="000F1CF1"/>
    <w:rsid w:val="000F3146"/>
    <w:rsid w:val="000F35F0"/>
    <w:rsid w:val="000F3942"/>
    <w:rsid w:val="000F43D2"/>
    <w:rsid w:val="000F4DC9"/>
    <w:rsid w:val="000F4F56"/>
    <w:rsid w:val="000F5830"/>
    <w:rsid w:val="000F70C4"/>
    <w:rsid w:val="000F74DC"/>
    <w:rsid w:val="00102505"/>
    <w:rsid w:val="00103365"/>
    <w:rsid w:val="0010487A"/>
    <w:rsid w:val="00104D1C"/>
    <w:rsid w:val="00104F5F"/>
    <w:rsid w:val="00105E70"/>
    <w:rsid w:val="001063AD"/>
    <w:rsid w:val="001063F7"/>
    <w:rsid w:val="00106535"/>
    <w:rsid w:val="00106C11"/>
    <w:rsid w:val="00106DDF"/>
    <w:rsid w:val="00106EEC"/>
    <w:rsid w:val="001129DF"/>
    <w:rsid w:val="00113096"/>
    <w:rsid w:val="001130E2"/>
    <w:rsid w:val="0011428F"/>
    <w:rsid w:val="00114565"/>
    <w:rsid w:val="00114723"/>
    <w:rsid w:val="001162C4"/>
    <w:rsid w:val="00116A87"/>
    <w:rsid w:val="001173C7"/>
    <w:rsid w:val="001177A1"/>
    <w:rsid w:val="00117E87"/>
    <w:rsid w:val="00117F93"/>
    <w:rsid w:val="001204EA"/>
    <w:rsid w:val="0012088A"/>
    <w:rsid w:val="00121A4B"/>
    <w:rsid w:val="001224C9"/>
    <w:rsid w:val="0012290F"/>
    <w:rsid w:val="0012291E"/>
    <w:rsid w:val="00122EE4"/>
    <w:rsid w:val="001231D7"/>
    <w:rsid w:val="001232A0"/>
    <w:rsid w:val="00125CC1"/>
    <w:rsid w:val="00125DAA"/>
    <w:rsid w:val="00126257"/>
    <w:rsid w:val="001263D0"/>
    <w:rsid w:val="00126957"/>
    <w:rsid w:val="0012709C"/>
    <w:rsid w:val="00130EEB"/>
    <w:rsid w:val="0013140F"/>
    <w:rsid w:val="00131BFE"/>
    <w:rsid w:val="00132244"/>
    <w:rsid w:val="00132FF9"/>
    <w:rsid w:val="001333F0"/>
    <w:rsid w:val="00133C39"/>
    <w:rsid w:val="00134853"/>
    <w:rsid w:val="00135EDE"/>
    <w:rsid w:val="0013719C"/>
    <w:rsid w:val="001402C9"/>
    <w:rsid w:val="001410C5"/>
    <w:rsid w:val="00141368"/>
    <w:rsid w:val="00142ECE"/>
    <w:rsid w:val="00144537"/>
    <w:rsid w:val="001445CA"/>
    <w:rsid w:val="0014466C"/>
    <w:rsid w:val="001454CD"/>
    <w:rsid w:val="00145B3B"/>
    <w:rsid w:val="00145F05"/>
    <w:rsid w:val="00147AF1"/>
    <w:rsid w:val="00147B4F"/>
    <w:rsid w:val="00150384"/>
    <w:rsid w:val="00150622"/>
    <w:rsid w:val="00151015"/>
    <w:rsid w:val="00151C72"/>
    <w:rsid w:val="001552C4"/>
    <w:rsid w:val="00155951"/>
    <w:rsid w:val="00155CBD"/>
    <w:rsid w:val="00155D6D"/>
    <w:rsid w:val="00156CD8"/>
    <w:rsid w:val="00156DBE"/>
    <w:rsid w:val="001572B7"/>
    <w:rsid w:val="00157DD9"/>
    <w:rsid w:val="001601D6"/>
    <w:rsid w:val="00160315"/>
    <w:rsid w:val="00160363"/>
    <w:rsid w:val="00160622"/>
    <w:rsid w:val="00160AD4"/>
    <w:rsid w:val="00160EAA"/>
    <w:rsid w:val="00161594"/>
    <w:rsid w:val="00161EC4"/>
    <w:rsid w:val="00162CD9"/>
    <w:rsid w:val="00163EB2"/>
    <w:rsid w:val="00164B48"/>
    <w:rsid w:val="00165F09"/>
    <w:rsid w:val="0016659E"/>
    <w:rsid w:val="00166B7F"/>
    <w:rsid w:val="00166E87"/>
    <w:rsid w:val="001676F4"/>
    <w:rsid w:val="001677B2"/>
    <w:rsid w:val="00170352"/>
    <w:rsid w:val="00170BC0"/>
    <w:rsid w:val="0017176E"/>
    <w:rsid w:val="00172E6B"/>
    <w:rsid w:val="001741D8"/>
    <w:rsid w:val="0017616B"/>
    <w:rsid w:val="00176425"/>
    <w:rsid w:val="00176C7C"/>
    <w:rsid w:val="00180091"/>
    <w:rsid w:val="00180498"/>
    <w:rsid w:val="00180C98"/>
    <w:rsid w:val="00181404"/>
    <w:rsid w:val="00181CB0"/>
    <w:rsid w:val="001825D6"/>
    <w:rsid w:val="0018339E"/>
    <w:rsid w:val="001847D1"/>
    <w:rsid w:val="001848CB"/>
    <w:rsid w:val="00184928"/>
    <w:rsid w:val="00186C91"/>
    <w:rsid w:val="00187038"/>
    <w:rsid w:val="001927AA"/>
    <w:rsid w:val="00192AD0"/>
    <w:rsid w:val="001935DE"/>
    <w:rsid w:val="00193D38"/>
    <w:rsid w:val="0019411B"/>
    <w:rsid w:val="00194389"/>
    <w:rsid w:val="00195509"/>
    <w:rsid w:val="00195DFA"/>
    <w:rsid w:val="00196226"/>
    <w:rsid w:val="00196EA0"/>
    <w:rsid w:val="001971CF"/>
    <w:rsid w:val="0019722B"/>
    <w:rsid w:val="001A0657"/>
    <w:rsid w:val="001A17A7"/>
    <w:rsid w:val="001A2D60"/>
    <w:rsid w:val="001A58E4"/>
    <w:rsid w:val="001A5AB1"/>
    <w:rsid w:val="001A5CA6"/>
    <w:rsid w:val="001A5DEA"/>
    <w:rsid w:val="001A74DE"/>
    <w:rsid w:val="001B19D9"/>
    <w:rsid w:val="001B2AEC"/>
    <w:rsid w:val="001B30A1"/>
    <w:rsid w:val="001B4C8A"/>
    <w:rsid w:val="001B578E"/>
    <w:rsid w:val="001B6B5C"/>
    <w:rsid w:val="001B76E0"/>
    <w:rsid w:val="001C02C5"/>
    <w:rsid w:val="001C068A"/>
    <w:rsid w:val="001C11B8"/>
    <w:rsid w:val="001C1773"/>
    <w:rsid w:val="001C1F11"/>
    <w:rsid w:val="001C234C"/>
    <w:rsid w:val="001C3995"/>
    <w:rsid w:val="001C3CEA"/>
    <w:rsid w:val="001C44D3"/>
    <w:rsid w:val="001C478D"/>
    <w:rsid w:val="001C54C7"/>
    <w:rsid w:val="001C7FEC"/>
    <w:rsid w:val="001D1671"/>
    <w:rsid w:val="001D2259"/>
    <w:rsid w:val="001D22F8"/>
    <w:rsid w:val="001D597F"/>
    <w:rsid w:val="001D5C70"/>
    <w:rsid w:val="001D5EF4"/>
    <w:rsid w:val="001D6037"/>
    <w:rsid w:val="001D6742"/>
    <w:rsid w:val="001E0ACD"/>
    <w:rsid w:val="001E0AE8"/>
    <w:rsid w:val="001E17BB"/>
    <w:rsid w:val="001E1FA7"/>
    <w:rsid w:val="001E3294"/>
    <w:rsid w:val="001E354E"/>
    <w:rsid w:val="001E35A5"/>
    <w:rsid w:val="001E37CF"/>
    <w:rsid w:val="001E385B"/>
    <w:rsid w:val="001E492D"/>
    <w:rsid w:val="001E4ED1"/>
    <w:rsid w:val="001E5FA4"/>
    <w:rsid w:val="001E6329"/>
    <w:rsid w:val="001E664C"/>
    <w:rsid w:val="001E689C"/>
    <w:rsid w:val="001F1D1A"/>
    <w:rsid w:val="001F1D32"/>
    <w:rsid w:val="001F2093"/>
    <w:rsid w:val="001F2B08"/>
    <w:rsid w:val="001F2C59"/>
    <w:rsid w:val="001F3772"/>
    <w:rsid w:val="001F39B0"/>
    <w:rsid w:val="001F4D3B"/>
    <w:rsid w:val="001F6457"/>
    <w:rsid w:val="001F6817"/>
    <w:rsid w:val="001F69D6"/>
    <w:rsid w:val="001F6A26"/>
    <w:rsid w:val="001F7D5C"/>
    <w:rsid w:val="002002B5"/>
    <w:rsid w:val="00200C88"/>
    <w:rsid w:val="002028BB"/>
    <w:rsid w:val="00203007"/>
    <w:rsid w:val="00203042"/>
    <w:rsid w:val="00204DBC"/>
    <w:rsid w:val="0021133C"/>
    <w:rsid w:val="00211D7F"/>
    <w:rsid w:val="002124D8"/>
    <w:rsid w:val="002126CA"/>
    <w:rsid w:val="00212CF3"/>
    <w:rsid w:val="002133BC"/>
    <w:rsid w:val="00213592"/>
    <w:rsid w:val="00214A36"/>
    <w:rsid w:val="002162BB"/>
    <w:rsid w:val="00216DB0"/>
    <w:rsid w:val="00216DBE"/>
    <w:rsid w:val="00217305"/>
    <w:rsid w:val="0022059E"/>
    <w:rsid w:val="0022322D"/>
    <w:rsid w:val="00223BA3"/>
    <w:rsid w:val="0022424D"/>
    <w:rsid w:val="002253B4"/>
    <w:rsid w:val="00225844"/>
    <w:rsid w:val="002264F0"/>
    <w:rsid w:val="00227745"/>
    <w:rsid w:val="00227D60"/>
    <w:rsid w:val="00227E30"/>
    <w:rsid w:val="00230126"/>
    <w:rsid w:val="0023069F"/>
    <w:rsid w:val="00231233"/>
    <w:rsid w:val="0023130D"/>
    <w:rsid w:val="002317EB"/>
    <w:rsid w:val="00231907"/>
    <w:rsid w:val="00232117"/>
    <w:rsid w:val="00232FA3"/>
    <w:rsid w:val="002330A2"/>
    <w:rsid w:val="00233F3E"/>
    <w:rsid w:val="00234702"/>
    <w:rsid w:val="00235CD4"/>
    <w:rsid w:val="00236711"/>
    <w:rsid w:val="002379C2"/>
    <w:rsid w:val="00237DD1"/>
    <w:rsid w:val="00240528"/>
    <w:rsid w:val="002413ED"/>
    <w:rsid w:val="00242830"/>
    <w:rsid w:val="0024403B"/>
    <w:rsid w:val="002445C7"/>
    <w:rsid w:val="00244771"/>
    <w:rsid w:val="00245408"/>
    <w:rsid w:val="00247564"/>
    <w:rsid w:val="002502BD"/>
    <w:rsid w:val="00251459"/>
    <w:rsid w:val="002514BD"/>
    <w:rsid w:val="0025262B"/>
    <w:rsid w:val="00252C0D"/>
    <w:rsid w:val="00255903"/>
    <w:rsid w:val="0025623F"/>
    <w:rsid w:val="002568E0"/>
    <w:rsid w:val="00256AFB"/>
    <w:rsid w:val="00257BD9"/>
    <w:rsid w:val="00257C72"/>
    <w:rsid w:val="002600F3"/>
    <w:rsid w:val="00260D48"/>
    <w:rsid w:val="00261BDA"/>
    <w:rsid w:val="0026269D"/>
    <w:rsid w:val="00262FDA"/>
    <w:rsid w:val="0026390A"/>
    <w:rsid w:val="00264933"/>
    <w:rsid w:val="00264BD3"/>
    <w:rsid w:val="002652D7"/>
    <w:rsid w:val="00265364"/>
    <w:rsid w:val="00266A15"/>
    <w:rsid w:val="00267262"/>
    <w:rsid w:val="002676A0"/>
    <w:rsid w:val="0027028B"/>
    <w:rsid w:val="00272256"/>
    <w:rsid w:val="00275102"/>
    <w:rsid w:val="00276AC0"/>
    <w:rsid w:val="00276D50"/>
    <w:rsid w:val="00280FB6"/>
    <w:rsid w:val="0028165C"/>
    <w:rsid w:val="00281C80"/>
    <w:rsid w:val="00282059"/>
    <w:rsid w:val="0028206A"/>
    <w:rsid w:val="0028265E"/>
    <w:rsid w:val="00282F50"/>
    <w:rsid w:val="0028368E"/>
    <w:rsid w:val="00284643"/>
    <w:rsid w:val="0028466E"/>
    <w:rsid w:val="00285960"/>
    <w:rsid w:val="00285B95"/>
    <w:rsid w:val="00285E4C"/>
    <w:rsid w:val="00286223"/>
    <w:rsid w:val="0028655A"/>
    <w:rsid w:val="00286750"/>
    <w:rsid w:val="00287302"/>
    <w:rsid w:val="002878AC"/>
    <w:rsid w:val="002878CB"/>
    <w:rsid w:val="00290253"/>
    <w:rsid w:val="00290459"/>
    <w:rsid w:val="00291D83"/>
    <w:rsid w:val="0029203E"/>
    <w:rsid w:val="0029275F"/>
    <w:rsid w:val="002927BD"/>
    <w:rsid w:val="00293AB4"/>
    <w:rsid w:val="00295122"/>
    <w:rsid w:val="0029621B"/>
    <w:rsid w:val="00296C28"/>
    <w:rsid w:val="00297376"/>
    <w:rsid w:val="002A18C8"/>
    <w:rsid w:val="002A1EFE"/>
    <w:rsid w:val="002A3188"/>
    <w:rsid w:val="002A53A8"/>
    <w:rsid w:val="002A5B59"/>
    <w:rsid w:val="002A7BDC"/>
    <w:rsid w:val="002B09ED"/>
    <w:rsid w:val="002B0F39"/>
    <w:rsid w:val="002B1CF6"/>
    <w:rsid w:val="002B24EB"/>
    <w:rsid w:val="002B4714"/>
    <w:rsid w:val="002B4771"/>
    <w:rsid w:val="002B4C0B"/>
    <w:rsid w:val="002B4E2C"/>
    <w:rsid w:val="002B7F29"/>
    <w:rsid w:val="002C1844"/>
    <w:rsid w:val="002C1A0F"/>
    <w:rsid w:val="002C1BBB"/>
    <w:rsid w:val="002C2B02"/>
    <w:rsid w:val="002C2EE8"/>
    <w:rsid w:val="002C3102"/>
    <w:rsid w:val="002C376B"/>
    <w:rsid w:val="002C40EF"/>
    <w:rsid w:val="002C49A3"/>
    <w:rsid w:val="002C53DA"/>
    <w:rsid w:val="002C59A7"/>
    <w:rsid w:val="002C64F0"/>
    <w:rsid w:val="002C6647"/>
    <w:rsid w:val="002C6669"/>
    <w:rsid w:val="002D1743"/>
    <w:rsid w:val="002D1765"/>
    <w:rsid w:val="002D2347"/>
    <w:rsid w:val="002D2AF3"/>
    <w:rsid w:val="002D2AF7"/>
    <w:rsid w:val="002D3343"/>
    <w:rsid w:val="002D3A5F"/>
    <w:rsid w:val="002D42A9"/>
    <w:rsid w:val="002D5EE3"/>
    <w:rsid w:val="002D6150"/>
    <w:rsid w:val="002D7ACE"/>
    <w:rsid w:val="002E01C9"/>
    <w:rsid w:val="002E049E"/>
    <w:rsid w:val="002E185D"/>
    <w:rsid w:val="002E216C"/>
    <w:rsid w:val="002E28FE"/>
    <w:rsid w:val="002E314A"/>
    <w:rsid w:val="002E36C2"/>
    <w:rsid w:val="002E3ADF"/>
    <w:rsid w:val="002E3BAD"/>
    <w:rsid w:val="002E3C4F"/>
    <w:rsid w:val="002E3E12"/>
    <w:rsid w:val="002E4B0C"/>
    <w:rsid w:val="002E5B6E"/>
    <w:rsid w:val="002F12BA"/>
    <w:rsid w:val="002F15B6"/>
    <w:rsid w:val="002F2CB1"/>
    <w:rsid w:val="002F2D28"/>
    <w:rsid w:val="002F4A42"/>
    <w:rsid w:val="002F56E3"/>
    <w:rsid w:val="002F5C7F"/>
    <w:rsid w:val="002F64AC"/>
    <w:rsid w:val="00300073"/>
    <w:rsid w:val="003005DF"/>
    <w:rsid w:val="00300A6C"/>
    <w:rsid w:val="0030161B"/>
    <w:rsid w:val="00301A59"/>
    <w:rsid w:val="00303241"/>
    <w:rsid w:val="003042B0"/>
    <w:rsid w:val="003042D4"/>
    <w:rsid w:val="003044CD"/>
    <w:rsid w:val="00304AA1"/>
    <w:rsid w:val="00306D84"/>
    <w:rsid w:val="00307807"/>
    <w:rsid w:val="00311102"/>
    <w:rsid w:val="00312541"/>
    <w:rsid w:val="00312611"/>
    <w:rsid w:val="0031410F"/>
    <w:rsid w:val="003159A8"/>
    <w:rsid w:val="00315EBD"/>
    <w:rsid w:val="00316BB3"/>
    <w:rsid w:val="00316F5B"/>
    <w:rsid w:val="00316F5F"/>
    <w:rsid w:val="00320103"/>
    <w:rsid w:val="0032096D"/>
    <w:rsid w:val="00322145"/>
    <w:rsid w:val="00322DA0"/>
    <w:rsid w:val="00322DF7"/>
    <w:rsid w:val="00323267"/>
    <w:rsid w:val="003237F9"/>
    <w:rsid w:val="003238F8"/>
    <w:rsid w:val="00323F04"/>
    <w:rsid w:val="0032415E"/>
    <w:rsid w:val="0032490B"/>
    <w:rsid w:val="003253C4"/>
    <w:rsid w:val="00327452"/>
    <w:rsid w:val="003278FA"/>
    <w:rsid w:val="00327E7B"/>
    <w:rsid w:val="00330C1E"/>
    <w:rsid w:val="003326D7"/>
    <w:rsid w:val="00332798"/>
    <w:rsid w:val="00332B91"/>
    <w:rsid w:val="003330CD"/>
    <w:rsid w:val="00335D0E"/>
    <w:rsid w:val="00336E2E"/>
    <w:rsid w:val="00341562"/>
    <w:rsid w:val="00341C4D"/>
    <w:rsid w:val="003429C9"/>
    <w:rsid w:val="00343394"/>
    <w:rsid w:val="003434E8"/>
    <w:rsid w:val="00343B59"/>
    <w:rsid w:val="00344022"/>
    <w:rsid w:val="00344901"/>
    <w:rsid w:val="00344A29"/>
    <w:rsid w:val="00344D0E"/>
    <w:rsid w:val="003452DD"/>
    <w:rsid w:val="00345645"/>
    <w:rsid w:val="003456A8"/>
    <w:rsid w:val="0034588A"/>
    <w:rsid w:val="00345A38"/>
    <w:rsid w:val="00345EEB"/>
    <w:rsid w:val="00347CA4"/>
    <w:rsid w:val="0035062F"/>
    <w:rsid w:val="00351268"/>
    <w:rsid w:val="00355589"/>
    <w:rsid w:val="00355A19"/>
    <w:rsid w:val="0035674F"/>
    <w:rsid w:val="00356F98"/>
    <w:rsid w:val="00357EB4"/>
    <w:rsid w:val="00360691"/>
    <w:rsid w:val="0036095B"/>
    <w:rsid w:val="00360DC1"/>
    <w:rsid w:val="00361191"/>
    <w:rsid w:val="00361349"/>
    <w:rsid w:val="0036135D"/>
    <w:rsid w:val="00362356"/>
    <w:rsid w:val="003647FA"/>
    <w:rsid w:val="00364E3F"/>
    <w:rsid w:val="00366F54"/>
    <w:rsid w:val="003673C6"/>
    <w:rsid w:val="003678FB"/>
    <w:rsid w:val="00370BD8"/>
    <w:rsid w:val="0037110F"/>
    <w:rsid w:val="00371938"/>
    <w:rsid w:val="003728A0"/>
    <w:rsid w:val="00372C88"/>
    <w:rsid w:val="003804BA"/>
    <w:rsid w:val="0038094A"/>
    <w:rsid w:val="00381244"/>
    <w:rsid w:val="0038135F"/>
    <w:rsid w:val="003824F2"/>
    <w:rsid w:val="00382CD7"/>
    <w:rsid w:val="00382CE3"/>
    <w:rsid w:val="003830E0"/>
    <w:rsid w:val="003832EB"/>
    <w:rsid w:val="003836F6"/>
    <w:rsid w:val="00384F97"/>
    <w:rsid w:val="00385B86"/>
    <w:rsid w:val="003862C7"/>
    <w:rsid w:val="00386682"/>
    <w:rsid w:val="00386B2A"/>
    <w:rsid w:val="00386B7F"/>
    <w:rsid w:val="00386C3D"/>
    <w:rsid w:val="00386D00"/>
    <w:rsid w:val="0038779E"/>
    <w:rsid w:val="003901EF"/>
    <w:rsid w:val="00391A42"/>
    <w:rsid w:val="003926A9"/>
    <w:rsid w:val="00392EE4"/>
    <w:rsid w:val="003931C7"/>
    <w:rsid w:val="00394B6C"/>
    <w:rsid w:val="00394EA7"/>
    <w:rsid w:val="00394FF4"/>
    <w:rsid w:val="003955FE"/>
    <w:rsid w:val="0039572D"/>
    <w:rsid w:val="003975CB"/>
    <w:rsid w:val="003979BC"/>
    <w:rsid w:val="003A096E"/>
    <w:rsid w:val="003A2079"/>
    <w:rsid w:val="003A23C4"/>
    <w:rsid w:val="003A2506"/>
    <w:rsid w:val="003A2589"/>
    <w:rsid w:val="003A32CB"/>
    <w:rsid w:val="003A4C2D"/>
    <w:rsid w:val="003A57BC"/>
    <w:rsid w:val="003A660A"/>
    <w:rsid w:val="003A715A"/>
    <w:rsid w:val="003A7EFE"/>
    <w:rsid w:val="003B0057"/>
    <w:rsid w:val="003B0E1E"/>
    <w:rsid w:val="003B1A4A"/>
    <w:rsid w:val="003B22B3"/>
    <w:rsid w:val="003B2A5B"/>
    <w:rsid w:val="003B2CE6"/>
    <w:rsid w:val="003B2EE3"/>
    <w:rsid w:val="003B3E25"/>
    <w:rsid w:val="003B4541"/>
    <w:rsid w:val="003B4BCA"/>
    <w:rsid w:val="003B6F1E"/>
    <w:rsid w:val="003B778D"/>
    <w:rsid w:val="003B7A27"/>
    <w:rsid w:val="003B7C49"/>
    <w:rsid w:val="003C01FB"/>
    <w:rsid w:val="003C1069"/>
    <w:rsid w:val="003C1287"/>
    <w:rsid w:val="003C2339"/>
    <w:rsid w:val="003C23EE"/>
    <w:rsid w:val="003C2BE2"/>
    <w:rsid w:val="003C2C46"/>
    <w:rsid w:val="003C672A"/>
    <w:rsid w:val="003C6885"/>
    <w:rsid w:val="003C6BC1"/>
    <w:rsid w:val="003C7DC3"/>
    <w:rsid w:val="003C7E92"/>
    <w:rsid w:val="003D0004"/>
    <w:rsid w:val="003D059D"/>
    <w:rsid w:val="003D0936"/>
    <w:rsid w:val="003D1452"/>
    <w:rsid w:val="003D1702"/>
    <w:rsid w:val="003D22A7"/>
    <w:rsid w:val="003D3833"/>
    <w:rsid w:val="003D3944"/>
    <w:rsid w:val="003D3BD1"/>
    <w:rsid w:val="003D4558"/>
    <w:rsid w:val="003D49E7"/>
    <w:rsid w:val="003D52E1"/>
    <w:rsid w:val="003D5E5A"/>
    <w:rsid w:val="003D6F73"/>
    <w:rsid w:val="003D7100"/>
    <w:rsid w:val="003E0122"/>
    <w:rsid w:val="003E114E"/>
    <w:rsid w:val="003E1245"/>
    <w:rsid w:val="003E25D7"/>
    <w:rsid w:val="003E2D64"/>
    <w:rsid w:val="003E4CCF"/>
    <w:rsid w:val="003E5486"/>
    <w:rsid w:val="003E5618"/>
    <w:rsid w:val="003E5D8C"/>
    <w:rsid w:val="003E6460"/>
    <w:rsid w:val="003E6B43"/>
    <w:rsid w:val="003E6F30"/>
    <w:rsid w:val="003F00E4"/>
    <w:rsid w:val="003F033A"/>
    <w:rsid w:val="003F097D"/>
    <w:rsid w:val="003F1134"/>
    <w:rsid w:val="003F1696"/>
    <w:rsid w:val="003F1E23"/>
    <w:rsid w:val="003F1E60"/>
    <w:rsid w:val="003F36AD"/>
    <w:rsid w:val="003F53BA"/>
    <w:rsid w:val="003F59AD"/>
    <w:rsid w:val="00400522"/>
    <w:rsid w:val="00400BFD"/>
    <w:rsid w:val="00401F9E"/>
    <w:rsid w:val="0040253F"/>
    <w:rsid w:val="00402B5A"/>
    <w:rsid w:val="004033B6"/>
    <w:rsid w:val="00403AE8"/>
    <w:rsid w:val="00404573"/>
    <w:rsid w:val="004045ED"/>
    <w:rsid w:val="00404804"/>
    <w:rsid w:val="0040515D"/>
    <w:rsid w:val="004051CD"/>
    <w:rsid w:val="00406196"/>
    <w:rsid w:val="004066A4"/>
    <w:rsid w:val="004071DF"/>
    <w:rsid w:val="00410A76"/>
    <w:rsid w:val="00410B00"/>
    <w:rsid w:val="00410B19"/>
    <w:rsid w:val="00410D2A"/>
    <w:rsid w:val="00411452"/>
    <w:rsid w:val="00411B43"/>
    <w:rsid w:val="00412029"/>
    <w:rsid w:val="004149E8"/>
    <w:rsid w:val="00415427"/>
    <w:rsid w:val="00415E5F"/>
    <w:rsid w:val="004168F6"/>
    <w:rsid w:val="0041710D"/>
    <w:rsid w:val="004174F3"/>
    <w:rsid w:val="0041788A"/>
    <w:rsid w:val="004179B5"/>
    <w:rsid w:val="0042033A"/>
    <w:rsid w:val="00420CB2"/>
    <w:rsid w:val="00420D37"/>
    <w:rsid w:val="00421A80"/>
    <w:rsid w:val="00421C30"/>
    <w:rsid w:val="0042352D"/>
    <w:rsid w:val="00424417"/>
    <w:rsid w:val="00425B2B"/>
    <w:rsid w:val="0042680C"/>
    <w:rsid w:val="0042752C"/>
    <w:rsid w:val="0043004A"/>
    <w:rsid w:val="0043053D"/>
    <w:rsid w:val="00430842"/>
    <w:rsid w:val="004309EF"/>
    <w:rsid w:val="0043115A"/>
    <w:rsid w:val="0043147F"/>
    <w:rsid w:val="0043194F"/>
    <w:rsid w:val="00431A11"/>
    <w:rsid w:val="00431C66"/>
    <w:rsid w:val="00432C17"/>
    <w:rsid w:val="00433159"/>
    <w:rsid w:val="004334A4"/>
    <w:rsid w:val="004340D5"/>
    <w:rsid w:val="004351EA"/>
    <w:rsid w:val="00435ADE"/>
    <w:rsid w:val="004365B7"/>
    <w:rsid w:val="00441D6A"/>
    <w:rsid w:val="00442385"/>
    <w:rsid w:val="004429D0"/>
    <w:rsid w:val="00442F8C"/>
    <w:rsid w:val="004432F6"/>
    <w:rsid w:val="004444D2"/>
    <w:rsid w:val="00444783"/>
    <w:rsid w:val="0044481D"/>
    <w:rsid w:val="004449BD"/>
    <w:rsid w:val="00446A97"/>
    <w:rsid w:val="0044793F"/>
    <w:rsid w:val="00447F3D"/>
    <w:rsid w:val="00450972"/>
    <w:rsid w:val="004511A3"/>
    <w:rsid w:val="00451B27"/>
    <w:rsid w:val="00451CFB"/>
    <w:rsid w:val="004538B4"/>
    <w:rsid w:val="004538FF"/>
    <w:rsid w:val="00454219"/>
    <w:rsid w:val="00454FA3"/>
    <w:rsid w:val="00455207"/>
    <w:rsid w:val="00455B71"/>
    <w:rsid w:val="00456913"/>
    <w:rsid w:val="00457249"/>
    <w:rsid w:val="004608E3"/>
    <w:rsid w:val="00460F6A"/>
    <w:rsid w:val="00461D7A"/>
    <w:rsid w:val="004625D3"/>
    <w:rsid w:val="00462999"/>
    <w:rsid w:val="00462CB6"/>
    <w:rsid w:val="00462D3A"/>
    <w:rsid w:val="004644C3"/>
    <w:rsid w:val="00464671"/>
    <w:rsid w:val="00464B5D"/>
    <w:rsid w:val="004661FF"/>
    <w:rsid w:val="004666AF"/>
    <w:rsid w:val="00466C31"/>
    <w:rsid w:val="00466E57"/>
    <w:rsid w:val="00472831"/>
    <w:rsid w:val="00472D5B"/>
    <w:rsid w:val="0047394B"/>
    <w:rsid w:val="004744C6"/>
    <w:rsid w:val="00474BFD"/>
    <w:rsid w:val="00474DDA"/>
    <w:rsid w:val="00475044"/>
    <w:rsid w:val="004751CC"/>
    <w:rsid w:val="00476295"/>
    <w:rsid w:val="00476F42"/>
    <w:rsid w:val="00477086"/>
    <w:rsid w:val="00477AE1"/>
    <w:rsid w:val="00480424"/>
    <w:rsid w:val="00482483"/>
    <w:rsid w:val="00483EA9"/>
    <w:rsid w:val="004845D7"/>
    <w:rsid w:val="0048472A"/>
    <w:rsid w:val="00484EBE"/>
    <w:rsid w:val="0048541C"/>
    <w:rsid w:val="004855F9"/>
    <w:rsid w:val="00485DAE"/>
    <w:rsid w:val="00490484"/>
    <w:rsid w:val="00491327"/>
    <w:rsid w:val="0049254E"/>
    <w:rsid w:val="00492635"/>
    <w:rsid w:val="0049279C"/>
    <w:rsid w:val="00494254"/>
    <w:rsid w:val="0049485C"/>
    <w:rsid w:val="004952E4"/>
    <w:rsid w:val="004953E1"/>
    <w:rsid w:val="00495B02"/>
    <w:rsid w:val="00495D88"/>
    <w:rsid w:val="004A1CAC"/>
    <w:rsid w:val="004A1F09"/>
    <w:rsid w:val="004A21D3"/>
    <w:rsid w:val="004A26BC"/>
    <w:rsid w:val="004A41E2"/>
    <w:rsid w:val="004A63FA"/>
    <w:rsid w:val="004A6534"/>
    <w:rsid w:val="004A7333"/>
    <w:rsid w:val="004A7C62"/>
    <w:rsid w:val="004B098B"/>
    <w:rsid w:val="004B1A26"/>
    <w:rsid w:val="004B6082"/>
    <w:rsid w:val="004B63DC"/>
    <w:rsid w:val="004B714B"/>
    <w:rsid w:val="004B79CF"/>
    <w:rsid w:val="004C008B"/>
    <w:rsid w:val="004C04DE"/>
    <w:rsid w:val="004C21C9"/>
    <w:rsid w:val="004C23BE"/>
    <w:rsid w:val="004C2599"/>
    <w:rsid w:val="004C2B92"/>
    <w:rsid w:val="004C2E1E"/>
    <w:rsid w:val="004C338D"/>
    <w:rsid w:val="004C3924"/>
    <w:rsid w:val="004C3A6A"/>
    <w:rsid w:val="004C41CE"/>
    <w:rsid w:val="004C45A3"/>
    <w:rsid w:val="004C470C"/>
    <w:rsid w:val="004D06B5"/>
    <w:rsid w:val="004D07B3"/>
    <w:rsid w:val="004D0DE8"/>
    <w:rsid w:val="004D2A38"/>
    <w:rsid w:val="004D32B0"/>
    <w:rsid w:val="004D3B26"/>
    <w:rsid w:val="004D3B7D"/>
    <w:rsid w:val="004D402F"/>
    <w:rsid w:val="004D5979"/>
    <w:rsid w:val="004D6312"/>
    <w:rsid w:val="004D685E"/>
    <w:rsid w:val="004D7299"/>
    <w:rsid w:val="004D750B"/>
    <w:rsid w:val="004D75ED"/>
    <w:rsid w:val="004D7FE8"/>
    <w:rsid w:val="004E04F5"/>
    <w:rsid w:val="004E193E"/>
    <w:rsid w:val="004E1F68"/>
    <w:rsid w:val="004E30B5"/>
    <w:rsid w:val="004E32A9"/>
    <w:rsid w:val="004E3723"/>
    <w:rsid w:val="004E3EF0"/>
    <w:rsid w:val="004E43DA"/>
    <w:rsid w:val="004E44F4"/>
    <w:rsid w:val="004E4AEC"/>
    <w:rsid w:val="004E6575"/>
    <w:rsid w:val="004E6727"/>
    <w:rsid w:val="004E7093"/>
    <w:rsid w:val="004F0240"/>
    <w:rsid w:val="004F1979"/>
    <w:rsid w:val="004F2371"/>
    <w:rsid w:val="004F2678"/>
    <w:rsid w:val="004F2A84"/>
    <w:rsid w:val="004F3108"/>
    <w:rsid w:val="004F39DC"/>
    <w:rsid w:val="004F46F3"/>
    <w:rsid w:val="004F499C"/>
    <w:rsid w:val="004F5DD7"/>
    <w:rsid w:val="004F607D"/>
    <w:rsid w:val="004F67DB"/>
    <w:rsid w:val="00500107"/>
    <w:rsid w:val="0050054A"/>
    <w:rsid w:val="00500939"/>
    <w:rsid w:val="00500AA3"/>
    <w:rsid w:val="00501596"/>
    <w:rsid w:val="00501C21"/>
    <w:rsid w:val="00502544"/>
    <w:rsid w:val="00502B70"/>
    <w:rsid w:val="00503045"/>
    <w:rsid w:val="00504449"/>
    <w:rsid w:val="005045AC"/>
    <w:rsid w:val="00505751"/>
    <w:rsid w:val="00507531"/>
    <w:rsid w:val="00507DB1"/>
    <w:rsid w:val="00511867"/>
    <w:rsid w:val="00511A60"/>
    <w:rsid w:val="00512A0A"/>
    <w:rsid w:val="00513950"/>
    <w:rsid w:val="00514170"/>
    <w:rsid w:val="0051448E"/>
    <w:rsid w:val="00516006"/>
    <w:rsid w:val="00516F79"/>
    <w:rsid w:val="005178CB"/>
    <w:rsid w:val="00517AB4"/>
    <w:rsid w:val="0052088F"/>
    <w:rsid w:val="0052178D"/>
    <w:rsid w:val="00521AD1"/>
    <w:rsid w:val="005228E6"/>
    <w:rsid w:val="00522E71"/>
    <w:rsid w:val="00523092"/>
    <w:rsid w:val="00523472"/>
    <w:rsid w:val="00523506"/>
    <w:rsid w:val="00524229"/>
    <w:rsid w:val="00525829"/>
    <w:rsid w:val="005263E7"/>
    <w:rsid w:val="005269B4"/>
    <w:rsid w:val="0053098D"/>
    <w:rsid w:val="0053152F"/>
    <w:rsid w:val="00531BED"/>
    <w:rsid w:val="005320BB"/>
    <w:rsid w:val="005326F5"/>
    <w:rsid w:val="005329E6"/>
    <w:rsid w:val="00532BB4"/>
    <w:rsid w:val="00535E21"/>
    <w:rsid w:val="00536025"/>
    <w:rsid w:val="005369E7"/>
    <w:rsid w:val="00537690"/>
    <w:rsid w:val="00537BC1"/>
    <w:rsid w:val="00540600"/>
    <w:rsid w:val="00540DBB"/>
    <w:rsid w:val="00542B50"/>
    <w:rsid w:val="005445A9"/>
    <w:rsid w:val="00544E50"/>
    <w:rsid w:val="00544F3E"/>
    <w:rsid w:val="00545183"/>
    <w:rsid w:val="00546595"/>
    <w:rsid w:val="005466D4"/>
    <w:rsid w:val="00546707"/>
    <w:rsid w:val="00546B0F"/>
    <w:rsid w:val="00546BB5"/>
    <w:rsid w:val="00547661"/>
    <w:rsid w:val="005476C5"/>
    <w:rsid w:val="005502FD"/>
    <w:rsid w:val="005502FE"/>
    <w:rsid w:val="00550C5B"/>
    <w:rsid w:val="00551503"/>
    <w:rsid w:val="005522F5"/>
    <w:rsid w:val="0055241A"/>
    <w:rsid w:val="00552811"/>
    <w:rsid w:val="00552A1C"/>
    <w:rsid w:val="00554CF6"/>
    <w:rsid w:val="005555EF"/>
    <w:rsid w:val="0055598A"/>
    <w:rsid w:val="005559C3"/>
    <w:rsid w:val="005570E4"/>
    <w:rsid w:val="00557EF8"/>
    <w:rsid w:val="00560708"/>
    <w:rsid w:val="005608C8"/>
    <w:rsid w:val="00560B1F"/>
    <w:rsid w:val="00561176"/>
    <w:rsid w:val="005615BC"/>
    <w:rsid w:val="00562B62"/>
    <w:rsid w:val="00562E2D"/>
    <w:rsid w:val="00563C4D"/>
    <w:rsid w:val="005641F6"/>
    <w:rsid w:val="00564A7A"/>
    <w:rsid w:val="00565239"/>
    <w:rsid w:val="0056695B"/>
    <w:rsid w:val="00567731"/>
    <w:rsid w:val="00570124"/>
    <w:rsid w:val="00570626"/>
    <w:rsid w:val="00570FF9"/>
    <w:rsid w:val="00571030"/>
    <w:rsid w:val="0057124A"/>
    <w:rsid w:val="0057171E"/>
    <w:rsid w:val="00572E6D"/>
    <w:rsid w:val="00572E89"/>
    <w:rsid w:val="00573281"/>
    <w:rsid w:val="005737C4"/>
    <w:rsid w:val="00574A3C"/>
    <w:rsid w:val="005755BC"/>
    <w:rsid w:val="00575B8B"/>
    <w:rsid w:val="00576432"/>
    <w:rsid w:val="00576727"/>
    <w:rsid w:val="00576C08"/>
    <w:rsid w:val="00577464"/>
    <w:rsid w:val="0058158E"/>
    <w:rsid w:val="00582422"/>
    <w:rsid w:val="00582430"/>
    <w:rsid w:val="005836FD"/>
    <w:rsid w:val="00584D76"/>
    <w:rsid w:val="00584F14"/>
    <w:rsid w:val="0058666C"/>
    <w:rsid w:val="00586E98"/>
    <w:rsid w:val="005908FC"/>
    <w:rsid w:val="00590C8C"/>
    <w:rsid w:val="00590CEA"/>
    <w:rsid w:val="00591709"/>
    <w:rsid w:val="00592CE0"/>
    <w:rsid w:val="00593E6D"/>
    <w:rsid w:val="005955A6"/>
    <w:rsid w:val="00595680"/>
    <w:rsid w:val="0059581B"/>
    <w:rsid w:val="00596535"/>
    <w:rsid w:val="005971C0"/>
    <w:rsid w:val="00597D4C"/>
    <w:rsid w:val="00597E9D"/>
    <w:rsid w:val="005A028C"/>
    <w:rsid w:val="005A0883"/>
    <w:rsid w:val="005A123B"/>
    <w:rsid w:val="005A2704"/>
    <w:rsid w:val="005A3B44"/>
    <w:rsid w:val="005A5520"/>
    <w:rsid w:val="005A5C7E"/>
    <w:rsid w:val="005A619A"/>
    <w:rsid w:val="005A7404"/>
    <w:rsid w:val="005A751F"/>
    <w:rsid w:val="005A76E1"/>
    <w:rsid w:val="005A790A"/>
    <w:rsid w:val="005A7B02"/>
    <w:rsid w:val="005A7BC1"/>
    <w:rsid w:val="005A7E9B"/>
    <w:rsid w:val="005B0BCB"/>
    <w:rsid w:val="005B12B5"/>
    <w:rsid w:val="005B1843"/>
    <w:rsid w:val="005B2F03"/>
    <w:rsid w:val="005B3792"/>
    <w:rsid w:val="005B538E"/>
    <w:rsid w:val="005B53AA"/>
    <w:rsid w:val="005B5BA4"/>
    <w:rsid w:val="005B5C69"/>
    <w:rsid w:val="005B61B2"/>
    <w:rsid w:val="005B6E63"/>
    <w:rsid w:val="005B7340"/>
    <w:rsid w:val="005B7C94"/>
    <w:rsid w:val="005B7F23"/>
    <w:rsid w:val="005C35FA"/>
    <w:rsid w:val="005C4FDE"/>
    <w:rsid w:val="005C563A"/>
    <w:rsid w:val="005C62E0"/>
    <w:rsid w:val="005C682E"/>
    <w:rsid w:val="005C689A"/>
    <w:rsid w:val="005C7AAB"/>
    <w:rsid w:val="005D09EC"/>
    <w:rsid w:val="005D11F6"/>
    <w:rsid w:val="005D20C7"/>
    <w:rsid w:val="005D2D96"/>
    <w:rsid w:val="005D3D09"/>
    <w:rsid w:val="005D4027"/>
    <w:rsid w:val="005D430D"/>
    <w:rsid w:val="005D5B13"/>
    <w:rsid w:val="005D6DBA"/>
    <w:rsid w:val="005D77AB"/>
    <w:rsid w:val="005E1AE3"/>
    <w:rsid w:val="005E2529"/>
    <w:rsid w:val="005E2769"/>
    <w:rsid w:val="005E3E6E"/>
    <w:rsid w:val="005E4B77"/>
    <w:rsid w:val="005E4C8D"/>
    <w:rsid w:val="005E4E75"/>
    <w:rsid w:val="005E5A58"/>
    <w:rsid w:val="005E5E7A"/>
    <w:rsid w:val="005E665F"/>
    <w:rsid w:val="005E7CA3"/>
    <w:rsid w:val="005F0AFF"/>
    <w:rsid w:val="005F2187"/>
    <w:rsid w:val="005F4537"/>
    <w:rsid w:val="005F579E"/>
    <w:rsid w:val="005F5DE0"/>
    <w:rsid w:val="005F60FD"/>
    <w:rsid w:val="006001D4"/>
    <w:rsid w:val="0060144F"/>
    <w:rsid w:val="00601461"/>
    <w:rsid w:val="00601501"/>
    <w:rsid w:val="0060250E"/>
    <w:rsid w:val="00603375"/>
    <w:rsid w:val="00603619"/>
    <w:rsid w:val="00603A57"/>
    <w:rsid w:val="0060476F"/>
    <w:rsid w:val="00604E05"/>
    <w:rsid w:val="00605943"/>
    <w:rsid w:val="00606119"/>
    <w:rsid w:val="0061003F"/>
    <w:rsid w:val="00611408"/>
    <w:rsid w:val="00611991"/>
    <w:rsid w:val="006123A9"/>
    <w:rsid w:val="006131F8"/>
    <w:rsid w:val="00614901"/>
    <w:rsid w:val="00614E3A"/>
    <w:rsid w:val="00615232"/>
    <w:rsid w:val="0061557F"/>
    <w:rsid w:val="0061608D"/>
    <w:rsid w:val="00620C99"/>
    <w:rsid w:val="0062153F"/>
    <w:rsid w:val="00621733"/>
    <w:rsid w:val="00623712"/>
    <w:rsid w:val="006244A3"/>
    <w:rsid w:val="00624E17"/>
    <w:rsid w:val="006251DE"/>
    <w:rsid w:val="00625FA9"/>
    <w:rsid w:val="00627007"/>
    <w:rsid w:val="0062722D"/>
    <w:rsid w:val="006307A7"/>
    <w:rsid w:val="00630F5F"/>
    <w:rsid w:val="00631CE4"/>
    <w:rsid w:val="00632D49"/>
    <w:rsid w:val="00633165"/>
    <w:rsid w:val="00633B48"/>
    <w:rsid w:val="00633F07"/>
    <w:rsid w:val="00634DEF"/>
    <w:rsid w:val="00635769"/>
    <w:rsid w:val="00635CE2"/>
    <w:rsid w:val="00636047"/>
    <w:rsid w:val="00636161"/>
    <w:rsid w:val="00636295"/>
    <w:rsid w:val="0063649D"/>
    <w:rsid w:val="006365D4"/>
    <w:rsid w:val="0063689A"/>
    <w:rsid w:val="00641458"/>
    <w:rsid w:val="0064252B"/>
    <w:rsid w:val="00642BBD"/>
    <w:rsid w:val="006434D2"/>
    <w:rsid w:val="00643C30"/>
    <w:rsid w:val="006444F5"/>
    <w:rsid w:val="006450AA"/>
    <w:rsid w:val="006454C5"/>
    <w:rsid w:val="00645EAF"/>
    <w:rsid w:val="00650448"/>
    <w:rsid w:val="0065121B"/>
    <w:rsid w:val="006527EC"/>
    <w:rsid w:val="006535CC"/>
    <w:rsid w:val="006541B7"/>
    <w:rsid w:val="00654CC8"/>
    <w:rsid w:val="006555D1"/>
    <w:rsid w:val="00655A13"/>
    <w:rsid w:val="00655ED2"/>
    <w:rsid w:val="0065608E"/>
    <w:rsid w:val="00656590"/>
    <w:rsid w:val="00656BB5"/>
    <w:rsid w:val="006608F8"/>
    <w:rsid w:val="00660E84"/>
    <w:rsid w:val="00662322"/>
    <w:rsid w:val="00662A29"/>
    <w:rsid w:val="00663515"/>
    <w:rsid w:val="00664F17"/>
    <w:rsid w:val="006662F5"/>
    <w:rsid w:val="006702FA"/>
    <w:rsid w:val="0067114B"/>
    <w:rsid w:val="00671912"/>
    <w:rsid w:val="006725DF"/>
    <w:rsid w:val="00673C02"/>
    <w:rsid w:val="00674A8E"/>
    <w:rsid w:val="0067700F"/>
    <w:rsid w:val="006778B6"/>
    <w:rsid w:val="00677DD8"/>
    <w:rsid w:val="00682572"/>
    <w:rsid w:val="00682CE3"/>
    <w:rsid w:val="00684174"/>
    <w:rsid w:val="00684B05"/>
    <w:rsid w:val="00685B7F"/>
    <w:rsid w:val="006865BA"/>
    <w:rsid w:val="00686C79"/>
    <w:rsid w:val="00687206"/>
    <w:rsid w:val="00692200"/>
    <w:rsid w:val="0069366B"/>
    <w:rsid w:val="006936F0"/>
    <w:rsid w:val="006937A1"/>
    <w:rsid w:val="006944DE"/>
    <w:rsid w:val="006948D4"/>
    <w:rsid w:val="00695B4E"/>
    <w:rsid w:val="00695E46"/>
    <w:rsid w:val="0069682D"/>
    <w:rsid w:val="0069711E"/>
    <w:rsid w:val="00697839"/>
    <w:rsid w:val="00697B86"/>
    <w:rsid w:val="006A0545"/>
    <w:rsid w:val="006A094C"/>
    <w:rsid w:val="006A175F"/>
    <w:rsid w:val="006A1D53"/>
    <w:rsid w:val="006A1E6D"/>
    <w:rsid w:val="006A221E"/>
    <w:rsid w:val="006A32C3"/>
    <w:rsid w:val="006A53AF"/>
    <w:rsid w:val="006A56C2"/>
    <w:rsid w:val="006A619F"/>
    <w:rsid w:val="006A6BA2"/>
    <w:rsid w:val="006A74A0"/>
    <w:rsid w:val="006B007B"/>
    <w:rsid w:val="006B0949"/>
    <w:rsid w:val="006B0B4D"/>
    <w:rsid w:val="006B22DF"/>
    <w:rsid w:val="006B2396"/>
    <w:rsid w:val="006B2DAD"/>
    <w:rsid w:val="006B3E32"/>
    <w:rsid w:val="006B3E89"/>
    <w:rsid w:val="006B4F1D"/>
    <w:rsid w:val="006B6601"/>
    <w:rsid w:val="006B69F7"/>
    <w:rsid w:val="006B748C"/>
    <w:rsid w:val="006B769D"/>
    <w:rsid w:val="006B76C0"/>
    <w:rsid w:val="006B76EB"/>
    <w:rsid w:val="006C1017"/>
    <w:rsid w:val="006C122F"/>
    <w:rsid w:val="006C1D38"/>
    <w:rsid w:val="006C3AF8"/>
    <w:rsid w:val="006C40EB"/>
    <w:rsid w:val="006C499C"/>
    <w:rsid w:val="006C4A73"/>
    <w:rsid w:val="006C5ECA"/>
    <w:rsid w:val="006D0C6E"/>
    <w:rsid w:val="006D10FE"/>
    <w:rsid w:val="006D1529"/>
    <w:rsid w:val="006D2411"/>
    <w:rsid w:val="006D2C00"/>
    <w:rsid w:val="006D40AE"/>
    <w:rsid w:val="006D4542"/>
    <w:rsid w:val="006D5C0A"/>
    <w:rsid w:val="006D5DD0"/>
    <w:rsid w:val="006D74B0"/>
    <w:rsid w:val="006D7FD1"/>
    <w:rsid w:val="006E13CC"/>
    <w:rsid w:val="006E15F8"/>
    <w:rsid w:val="006E17F6"/>
    <w:rsid w:val="006E1E87"/>
    <w:rsid w:val="006E2C4E"/>
    <w:rsid w:val="006E2D92"/>
    <w:rsid w:val="006E3108"/>
    <w:rsid w:val="006E3A93"/>
    <w:rsid w:val="006E3B98"/>
    <w:rsid w:val="006E4554"/>
    <w:rsid w:val="006E4BED"/>
    <w:rsid w:val="006E57A9"/>
    <w:rsid w:val="006E7610"/>
    <w:rsid w:val="006E770C"/>
    <w:rsid w:val="006F009D"/>
    <w:rsid w:val="006F028D"/>
    <w:rsid w:val="006F0A1E"/>
    <w:rsid w:val="006F10D5"/>
    <w:rsid w:val="006F150B"/>
    <w:rsid w:val="006F1B2F"/>
    <w:rsid w:val="006F1C4E"/>
    <w:rsid w:val="006F3472"/>
    <w:rsid w:val="006F3BBD"/>
    <w:rsid w:val="006F4022"/>
    <w:rsid w:val="006F4509"/>
    <w:rsid w:val="006F4CFD"/>
    <w:rsid w:val="006F6042"/>
    <w:rsid w:val="006F79A6"/>
    <w:rsid w:val="007002FC"/>
    <w:rsid w:val="007012FF"/>
    <w:rsid w:val="00701B95"/>
    <w:rsid w:val="0070306C"/>
    <w:rsid w:val="007031B3"/>
    <w:rsid w:val="007034D1"/>
    <w:rsid w:val="007046E6"/>
    <w:rsid w:val="007052CB"/>
    <w:rsid w:val="00705874"/>
    <w:rsid w:val="007058C2"/>
    <w:rsid w:val="00705A24"/>
    <w:rsid w:val="00705A27"/>
    <w:rsid w:val="00706260"/>
    <w:rsid w:val="00706317"/>
    <w:rsid w:val="00706941"/>
    <w:rsid w:val="00710CF8"/>
    <w:rsid w:val="00711D06"/>
    <w:rsid w:val="0071334A"/>
    <w:rsid w:val="00713BB8"/>
    <w:rsid w:val="0071407C"/>
    <w:rsid w:val="007203DD"/>
    <w:rsid w:val="00720C7C"/>
    <w:rsid w:val="0072196F"/>
    <w:rsid w:val="007222AD"/>
    <w:rsid w:val="007226A2"/>
    <w:rsid w:val="00722B59"/>
    <w:rsid w:val="00722BF0"/>
    <w:rsid w:val="00723D2E"/>
    <w:rsid w:val="00724365"/>
    <w:rsid w:val="00725C08"/>
    <w:rsid w:val="00726867"/>
    <w:rsid w:val="0072771A"/>
    <w:rsid w:val="007277FF"/>
    <w:rsid w:val="00732AD9"/>
    <w:rsid w:val="00733032"/>
    <w:rsid w:val="00733AE7"/>
    <w:rsid w:val="00733F22"/>
    <w:rsid w:val="0073479B"/>
    <w:rsid w:val="00734A95"/>
    <w:rsid w:val="00734D39"/>
    <w:rsid w:val="00734EA4"/>
    <w:rsid w:val="007354A3"/>
    <w:rsid w:val="007373D4"/>
    <w:rsid w:val="007402E4"/>
    <w:rsid w:val="00741AB0"/>
    <w:rsid w:val="0074218E"/>
    <w:rsid w:val="007424EA"/>
    <w:rsid w:val="00743B64"/>
    <w:rsid w:val="00743EF2"/>
    <w:rsid w:val="00744543"/>
    <w:rsid w:val="00744FA2"/>
    <w:rsid w:val="0074540A"/>
    <w:rsid w:val="00745C00"/>
    <w:rsid w:val="00746BC1"/>
    <w:rsid w:val="00746C9F"/>
    <w:rsid w:val="00747611"/>
    <w:rsid w:val="0075105E"/>
    <w:rsid w:val="007520F5"/>
    <w:rsid w:val="00752C99"/>
    <w:rsid w:val="007530DF"/>
    <w:rsid w:val="00754281"/>
    <w:rsid w:val="0075434C"/>
    <w:rsid w:val="00756132"/>
    <w:rsid w:val="00756327"/>
    <w:rsid w:val="0075676D"/>
    <w:rsid w:val="00756D78"/>
    <w:rsid w:val="00756E10"/>
    <w:rsid w:val="00757D13"/>
    <w:rsid w:val="00757D94"/>
    <w:rsid w:val="0076130C"/>
    <w:rsid w:val="00761E69"/>
    <w:rsid w:val="0076288E"/>
    <w:rsid w:val="00763BC1"/>
    <w:rsid w:val="00766BC6"/>
    <w:rsid w:val="00766C48"/>
    <w:rsid w:val="00770174"/>
    <w:rsid w:val="00770365"/>
    <w:rsid w:val="00771011"/>
    <w:rsid w:val="00771B44"/>
    <w:rsid w:val="007720D1"/>
    <w:rsid w:val="00772681"/>
    <w:rsid w:val="00773324"/>
    <w:rsid w:val="00774029"/>
    <w:rsid w:val="007748B9"/>
    <w:rsid w:val="007749B2"/>
    <w:rsid w:val="00775CE4"/>
    <w:rsid w:val="00775D53"/>
    <w:rsid w:val="00776D3F"/>
    <w:rsid w:val="00777703"/>
    <w:rsid w:val="0078021A"/>
    <w:rsid w:val="007817D6"/>
    <w:rsid w:val="00781B54"/>
    <w:rsid w:val="00781F51"/>
    <w:rsid w:val="00783C25"/>
    <w:rsid w:val="00787387"/>
    <w:rsid w:val="00787C2A"/>
    <w:rsid w:val="00790323"/>
    <w:rsid w:val="00790AF8"/>
    <w:rsid w:val="00791118"/>
    <w:rsid w:val="0079163A"/>
    <w:rsid w:val="00791EB8"/>
    <w:rsid w:val="0079350F"/>
    <w:rsid w:val="007953E1"/>
    <w:rsid w:val="00795702"/>
    <w:rsid w:val="007961F0"/>
    <w:rsid w:val="00796B2E"/>
    <w:rsid w:val="00796F08"/>
    <w:rsid w:val="00797520"/>
    <w:rsid w:val="00797CF0"/>
    <w:rsid w:val="007A023E"/>
    <w:rsid w:val="007A0560"/>
    <w:rsid w:val="007A2343"/>
    <w:rsid w:val="007A2FAC"/>
    <w:rsid w:val="007A576B"/>
    <w:rsid w:val="007A634C"/>
    <w:rsid w:val="007A65C6"/>
    <w:rsid w:val="007A6772"/>
    <w:rsid w:val="007A6B8F"/>
    <w:rsid w:val="007A7B35"/>
    <w:rsid w:val="007B01D5"/>
    <w:rsid w:val="007B0615"/>
    <w:rsid w:val="007B0690"/>
    <w:rsid w:val="007B09CF"/>
    <w:rsid w:val="007B173C"/>
    <w:rsid w:val="007B1B4B"/>
    <w:rsid w:val="007B1C17"/>
    <w:rsid w:val="007B2941"/>
    <w:rsid w:val="007B316C"/>
    <w:rsid w:val="007B3432"/>
    <w:rsid w:val="007B4301"/>
    <w:rsid w:val="007B4D21"/>
    <w:rsid w:val="007B5F17"/>
    <w:rsid w:val="007B67F3"/>
    <w:rsid w:val="007B6B0A"/>
    <w:rsid w:val="007B707D"/>
    <w:rsid w:val="007B71E9"/>
    <w:rsid w:val="007B73E8"/>
    <w:rsid w:val="007B7F6D"/>
    <w:rsid w:val="007C065F"/>
    <w:rsid w:val="007C0D17"/>
    <w:rsid w:val="007C20F8"/>
    <w:rsid w:val="007C34B1"/>
    <w:rsid w:val="007C410B"/>
    <w:rsid w:val="007C57A1"/>
    <w:rsid w:val="007C63AE"/>
    <w:rsid w:val="007C67F3"/>
    <w:rsid w:val="007C6B8E"/>
    <w:rsid w:val="007C70FA"/>
    <w:rsid w:val="007D2DAD"/>
    <w:rsid w:val="007D3BD8"/>
    <w:rsid w:val="007D3E2E"/>
    <w:rsid w:val="007D41C8"/>
    <w:rsid w:val="007D4A77"/>
    <w:rsid w:val="007D4DBC"/>
    <w:rsid w:val="007D7DC2"/>
    <w:rsid w:val="007E0A46"/>
    <w:rsid w:val="007E1800"/>
    <w:rsid w:val="007E25D8"/>
    <w:rsid w:val="007E26FA"/>
    <w:rsid w:val="007E3919"/>
    <w:rsid w:val="007E4A3A"/>
    <w:rsid w:val="007E585E"/>
    <w:rsid w:val="007E588D"/>
    <w:rsid w:val="007E5B01"/>
    <w:rsid w:val="007E6FC6"/>
    <w:rsid w:val="007E7838"/>
    <w:rsid w:val="007E7AF3"/>
    <w:rsid w:val="007E7ED6"/>
    <w:rsid w:val="007F0499"/>
    <w:rsid w:val="007F178D"/>
    <w:rsid w:val="007F2B44"/>
    <w:rsid w:val="007F3217"/>
    <w:rsid w:val="007F582B"/>
    <w:rsid w:val="007F621A"/>
    <w:rsid w:val="007F660C"/>
    <w:rsid w:val="007F7F4C"/>
    <w:rsid w:val="00800815"/>
    <w:rsid w:val="0080097A"/>
    <w:rsid w:val="00801759"/>
    <w:rsid w:val="00802F35"/>
    <w:rsid w:val="00802F93"/>
    <w:rsid w:val="0080308E"/>
    <w:rsid w:val="00803519"/>
    <w:rsid w:val="00804A4E"/>
    <w:rsid w:val="00806C3E"/>
    <w:rsid w:val="008073EF"/>
    <w:rsid w:val="0081168D"/>
    <w:rsid w:val="00811E8A"/>
    <w:rsid w:val="00812495"/>
    <w:rsid w:val="00813CD5"/>
    <w:rsid w:val="00813E25"/>
    <w:rsid w:val="00813EA9"/>
    <w:rsid w:val="008141DD"/>
    <w:rsid w:val="008146C6"/>
    <w:rsid w:val="00814750"/>
    <w:rsid w:val="0081571A"/>
    <w:rsid w:val="0081591B"/>
    <w:rsid w:val="0081603F"/>
    <w:rsid w:val="008208EC"/>
    <w:rsid w:val="00820D1D"/>
    <w:rsid w:val="008218E6"/>
    <w:rsid w:val="008222AD"/>
    <w:rsid w:val="008225E2"/>
    <w:rsid w:val="00822E28"/>
    <w:rsid w:val="008236BD"/>
    <w:rsid w:val="00826CF9"/>
    <w:rsid w:val="008277E1"/>
    <w:rsid w:val="008304A7"/>
    <w:rsid w:val="00830879"/>
    <w:rsid w:val="00830C7F"/>
    <w:rsid w:val="00830E10"/>
    <w:rsid w:val="00832BFD"/>
    <w:rsid w:val="008330B8"/>
    <w:rsid w:val="00834402"/>
    <w:rsid w:val="00835323"/>
    <w:rsid w:val="00835355"/>
    <w:rsid w:val="00835651"/>
    <w:rsid w:val="00835702"/>
    <w:rsid w:val="00835CA8"/>
    <w:rsid w:val="0083676C"/>
    <w:rsid w:val="0083789A"/>
    <w:rsid w:val="00837ABD"/>
    <w:rsid w:val="00837B83"/>
    <w:rsid w:val="008402AA"/>
    <w:rsid w:val="00840ACD"/>
    <w:rsid w:val="00842874"/>
    <w:rsid w:val="008436C9"/>
    <w:rsid w:val="008436EC"/>
    <w:rsid w:val="00845322"/>
    <w:rsid w:val="00845D00"/>
    <w:rsid w:val="0084732B"/>
    <w:rsid w:val="00847595"/>
    <w:rsid w:val="00847F2B"/>
    <w:rsid w:val="00850020"/>
    <w:rsid w:val="008502A2"/>
    <w:rsid w:val="00850653"/>
    <w:rsid w:val="00850EE3"/>
    <w:rsid w:val="00852151"/>
    <w:rsid w:val="008523BA"/>
    <w:rsid w:val="00852589"/>
    <w:rsid w:val="00852FFC"/>
    <w:rsid w:val="00853272"/>
    <w:rsid w:val="008535C9"/>
    <w:rsid w:val="00854638"/>
    <w:rsid w:val="00854B5A"/>
    <w:rsid w:val="00856A64"/>
    <w:rsid w:val="00856B48"/>
    <w:rsid w:val="00857336"/>
    <w:rsid w:val="00857AC7"/>
    <w:rsid w:val="00860877"/>
    <w:rsid w:val="0086278E"/>
    <w:rsid w:val="008628C7"/>
    <w:rsid w:val="00862B23"/>
    <w:rsid w:val="008636F3"/>
    <w:rsid w:val="00863C4A"/>
    <w:rsid w:val="0086430A"/>
    <w:rsid w:val="008644FB"/>
    <w:rsid w:val="00864CDE"/>
    <w:rsid w:val="0086594E"/>
    <w:rsid w:val="00865E51"/>
    <w:rsid w:val="00866003"/>
    <w:rsid w:val="00866A3B"/>
    <w:rsid w:val="00866D80"/>
    <w:rsid w:val="00867F67"/>
    <w:rsid w:val="00867F90"/>
    <w:rsid w:val="008730D4"/>
    <w:rsid w:val="008735BB"/>
    <w:rsid w:val="008735FB"/>
    <w:rsid w:val="0087463F"/>
    <w:rsid w:val="008746EC"/>
    <w:rsid w:val="00875DD4"/>
    <w:rsid w:val="0087705F"/>
    <w:rsid w:val="008770DA"/>
    <w:rsid w:val="008773B6"/>
    <w:rsid w:val="008775EC"/>
    <w:rsid w:val="00877DAC"/>
    <w:rsid w:val="0088186E"/>
    <w:rsid w:val="00883F90"/>
    <w:rsid w:val="008859EC"/>
    <w:rsid w:val="00885FEB"/>
    <w:rsid w:val="00886BBA"/>
    <w:rsid w:val="00890947"/>
    <w:rsid w:val="00892325"/>
    <w:rsid w:val="00892FED"/>
    <w:rsid w:val="00893D8C"/>
    <w:rsid w:val="008947E2"/>
    <w:rsid w:val="00894BAE"/>
    <w:rsid w:val="00897D46"/>
    <w:rsid w:val="008A04A5"/>
    <w:rsid w:val="008A0B7A"/>
    <w:rsid w:val="008A0BEA"/>
    <w:rsid w:val="008A1707"/>
    <w:rsid w:val="008A25D7"/>
    <w:rsid w:val="008A26CF"/>
    <w:rsid w:val="008A33BA"/>
    <w:rsid w:val="008A3753"/>
    <w:rsid w:val="008A4BC6"/>
    <w:rsid w:val="008A573C"/>
    <w:rsid w:val="008A6249"/>
    <w:rsid w:val="008A6540"/>
    <w:rsid w:val="008A6934"/>
    <w:rsid w:val="008A7D14"/>
    <w:rsid w:val="008A7D2C"/>
    <w:rsid w:val="008B1521"/>
    <w:rsid w:val="008B285C"/>
    <w:rsid w:val="008B2DAD"/>
    <w:rsid w:val="008B35CD"/>
    <w:rsid w:val="008B36DF"/>
    <w:rsid w:val="008B3AF8"/>
    <w:rsid w:val="008B45F1"/>
    <w:rsid w:val="008B7C3A"/>
    <w:rsid w:val="008B7E84"/>
    <w:rsid w:val="008C06C8"/>
    <w:rsid w:val="008C0AE4"/>
    <w:rsid w:val="008C1DCD"/>
    <w:rsid w:val="008C25F3"/>
    <w:rsid w:val="008C272D"/>
    <w:rsid w:val="008C2BBC"/>
    <w:rsid w:val="008C300B"/>
    <w:rsid w:val="008C42CD"/>
    <w:rsid w:val="008C4ADE"/>
    <w:rsid w:val="008C6F02"/>
    <w:rsid w:val="008C73EB"/>
    <w:rsid w:val="008C745C"/>
    <w:rsid w:val="008C76C0"/>
    <w:rsid w:val="008C7843"/>
    <w:rsid w:val="008D1CF3"/>
    <w:rsid w:val="008D200D"/>
    <w:rsid w:val="008D21F9"/>
    <w:rsid w:val="008D39C8"/>
    <w:rsid w:val="008D44E6"/>
    <w:rsid w:val="008D47C4"/>
    <w:rsid w:val="008D582B"/>
    <w:rsid w:val="008D6266"/>
    <w:rsid w:val="008D6771"/>
    <w:rsid w:val="008E0AF4"/>
    <w:rsid w:val="008E2F4C"/>
    <w:rsid w:val="008E3959"/>
    <w:rsid w:val="008E481A"/>
    <w:rsid w:val="008E481C"/>
    <w:rsid w:val="008E4B0E"/>
    <w:rsid w:val="008E612B"/>
    <w:rsid w:val="008E6F4F"/>
    <w:rsid w:val="008E743D"/>
    <w:rsid w:val="008E76DC"/>
    <w:rsid w:val="008E784C"/>
    <w:rsid w:val="008F1B30"/>
    <w:rsid w:val="008F1F1E"/>
    <w:rsid w:val="008F2985"/>
    <w:rsid w:val="008F2BE3"/>
    <w:rsid w:val="008F336D"/>
    <w:rsid w:val="008F527E"/>
    <w:rsid w:val="008F6620"/>
    <w:rsid w:val="008F7426"/>
    <w:rsid w:val="008F74D8"/>
    <w:rsid w:val="008F7AAF"/>
    <w:rsid w:val="008F7F0A"/>
    <w:rsid w:val="00900F01"/>
    <w:rsid w:val="00901235"/>
    <w:rsid w:val="00901A29"/>
    <w:rsid w:val="009027D4"/>
    <w:rsid w:val="00902B87"/>
    <w:rsid w:val="00903D7F"/>
    <w:rsid w:val="009056C6"/>
    <w:rsid w:val="009057A5"/>
    <w:rsid w:val="0090740A"/>
    <w:rsid w:val="00910037"/>
    <w:rsid w:val="00910AEE"/>
    <w:rsid w:val="00911199"/>
    <w:rsid w:val="00911CB6"/>
    <w:rsid w:val="009133C2"/>
    <w:rsid w:val="00913D0E"/>
    <w:rsid w:val="00914262"/>
    <w:rsid w:val="009171CB"/>
    <w:rsid w:val="00917F49"/>
    <w:rsid w:val="009201E0"/>
    <w:rsid w:val="00920836"/>
    <w:rsid w:val="0092087A"/>
    <w:rsid w:val="00921160"/>
    <w:rsid w:val="0092350B"/>
    <w:rsid w:val="00923661"/>
    <w:rsid w:val="00923BA5"/>
    <w:rsid w:val="0092563F"/>
    <w:rsid w:val="00925F98"/>
    <w:rsid w:val="00926B0E"/>
    <w:rsid w:val="00926DB8"/>
    <w:rsid w:val="009271C6"/>
    <w:rsid w:val="00927FC2"/>
    <w:rsid w:val="00927FF1"/>
    <w:rsid w:val="00930A3D"/>
    <w:rsid w:val="00930F23"/>
    <w:rsid w:val="00931733"/>
    <w:rsid w:val="00931ECF"/>
    <w:rsid w:val="00932A9D"/>
    <w:rsid w:val="009345FF"/>
    <w:rsid w:val="00934A42"/>
    <w:rsid w:val="0093661F"/>
    <w:rsid w:val="00940701"/>
    <w:rsid w:val="00940E0D"/>
    <w:rsid w:val="00940F7A"/>
    <w:rsid w:val="00941F38"/>
    <w:rsid w:val="00942DF7"/>
    <w:rsid w:val="00943630"/>
    <w:rsid w:val="00946365"/>
    <w:rsid w:val="009466AF"/>
    <w:rsid w:val="009469E0"/>
    <w:rsid w:val="00947C8D"/>
    <w:rsid w:val="009503B5"/>
    <w:rsid w:val="009505B9"/>
    <w:rsid w:val="00950B33"/>
    <w:rsid w:val="0095130C"/>
    <w:rsid w:val="00951555"/>
    <w:rsid w:val="00951FDA"/>
    <w:rsid w:val="00952B50"/>
    <w:rsid w:val="0095347A"/>
    <w:rsid w:val="00953C83"/>
    <w:rsid w:val="00953E9D"/>
    <w:rsid w:val="009546F1"/>
    <w:rsid w:val="009552B6"/>
    <w:rsid w:val="0095530E"/>
    <w:rsid w:val="00956782"/>
    <w:rsid w:val="00956AF1"/>
    <w:rsid w:val="00960041"/>
    <w:rsid w:val="00960AB6"/>
    <w:rsid w:val="00960DF0"/>
    <w:rsid w:val="00960F8E"/>
    <w:rsid w:val="0096186A"/>
    <w:rsid w:val="00961941"/>
    <w:rsid w:val="00963717"/>
    <w:rsid w:val="00963985"/>
    <w:rsid w:val="00963B32"/>
    <w:rsid w:val="00963CFC"/>
    <w:rsid w:val="0096478C"/>
    <w:rsid w:val="00965B23"/>
    <w:rsid w:val="0096600D"/>
    <w:rsid w:val="0096642D"/>
    <w:rsid w:val="00966E89"/>
    <w:rsid w:val="00967661"/>
    <w:rsid w:val="00970801"/>
    <w:rsid w:val="00970D6E"/>
    <w:rsid w:val="0097133C"/>
    <w:rsid w:val="00971725"/>
    <w:rsid w:val="0097604E"/>
    <w:rsid w:val="0097609A"/>
    <w:rsid w:val="00977437"/>
    <w:rsid w:val="00980482"/>
    <w:rsid w:val="0098291E"/>
    <w:rsid w:val="00982CB2"/>
    <w:rsid w:val="00982D6F"/>
    <w:rsid w:val="00983F6F"/>
    <w:rsid w:val="00986427"/>
    <w:rsid w:val="0098799D"/>
    <w:rsid w:val="0099006A"/>
    <w:rsid w:val="00990AE8"/>
    <w:rsid w:val="00990FD7"/>
    <w:rsid w:val="00992E55"/>
    <w:rsid w:val="00995170"/>
    <w:rsid w:val="0099660F"/>
    <w:rsid w:val="0099677A"/>
    <w:rsid w:val="009971E1"/>
    <w:rsid w:val="00997D2C"/>
    <w:rsid w:val="00997DCD"/>
    <w:rsid w:val="009A1BB7"/>
    <w:rsid w:val="009A2C9F"/>
    <w:rsid w:val="009A33D1"/>
    <w:rsid w:val="009A38FB"/>
    <w:rsid w:val="009A5510"/>
    <w:rsid w:val="009A642F"/>
    <w:rsid w:val="009A7297"/>
    <w:rsid w:val="009A7404"/>
    <w:rsid w:val="009B0784"/>
    <w:rsid w:val="009B106A"/>
    <w:rsid w:val="009B1971"/>
    <w:rsid w:val="009B29D0"/>
    <w:rsid w:val="009B2BC8"/>
    <w:rsid w:val="009B3134"/>
    <w:rsid w:val="009B43F6"/>
    <w:rsid w:val="009B5F34"/>
    <w:rsid w:val="009B5F8D"/>
    <w:rsid w:val="009B634D"/>
    <w:rsid w:val="009B6C20"/>
    <w:rsid w:val="009C0249"/>
    <w:rsid w:val="009C041F"/>
    <w:rsid w:val="009C0521"/>
    <w:rsid w:val="009C0FD5"/>
    <w:rsid w:val="009C183E"/>
    <w:rsid w:val="009C41DE"/>
    <w:rsid w:val="009C4B91"/>
    <w:rsid w:val="009C4EC7"/>
    <w:rsid w:val="009C57FB"/>
    <w:rsid w:val="009C5895"/>
    <w:rsid w:val="009C599D"/>
    <w:rsid w:val="009C5D8F"/>
    <w:rsid w:val="009C636B"/>
    <w:rsid w:val="009C7DBF"/>
    <w:rsid w:val="009D2A90"/>
    <w:rsid w:val="009D356E"/>
    <w:rsid w:val="009D6BBA"/>
    <w:rsid w:val="009D77B2"/>
    <w:rsid w:val="009D799B"/>
    <w:rsid w:val="009E08A9"/>
    <w:rsid w:val="009E0E16"/>
    <w:rsid w:val="009E1304"/>
    <w:rsid w:val="009E1753"/>
    <w:rsid w:val="009E3504"/>
    <w:rsid w:val="009E4ED9"/>
    <w:rsid w:val="009E5AF3"/>
    <w:rsid w:val="009E741C"/>
    <w:rsid w:val="009F0D36"/>
    <w:rsid w:val="009F1483"/>
    <w:rsid w:val="009F2416"/>
    <w:rsid w:val="009F3A91"/>
    <w:rsid w:val="009F3AF6"/>
    <w:rsid w:val="009F52B9"/>
    <w:rsid w:val="009F6B90"/>
    <w:rsid w:val="009F7A78"/>
    <w:rsid w:val="00A001F5"/>
    <w:rsid w:val="00A01309"/>
    <w:rsid w:val="00A023F3"/>
    <w:rsid w:val="00A02871"/>
    <w:rsid w:val="00A02AE6"/>
    <w:rsid w:val="00A031CC"/>
    <w:rsid w:val="00A038A1"/>
    <w:rsid w:val="00A03FA7"/>
    <w:rsid w:val="00A06191"/>
    <w:rsid w:val="00A063C0"/>
    <w:rsid w:val="00A06A60"/>
    <w:rsid w:val="00A07A8C"/>
    <w:rsid w:val="00A07CB9"/>
    <w:rsid w:val="00A07FAA"/>
    <w:rsid w:val="00A10257"/>
    <w:rsid w:val="00A11075"/>
    <w:rsid w:val="00A11519"/>
    <w:rsid w:val="00A11BF6"/>
    <w:rsid w:val="00A12139"/>
    <w:rsid w:val="00A1265E"/>
    <w:rsid w:val="00A12EA9"/>
    <w:rsid w:val="00A13A9D"/>
    <w:rsid w:val="00A14A64"/>
    <w:rsid w:val="00A14B52"/>
    <w:rsid w:val="00A14F6A"/>
    <w:rsid w:val="00A15982"/>
    <w:rsid w:val="00A164D8"/>
    <w:rsid w:val="00A16BBE"/>
    <w:rsid w:val="00A1702A"/>
    <w:rsid w:val="00A20EC0"/>
    <w:rsid w:val="00A2216D"/>
    <w:rsid w:val="00A2247B"/>
    <w:rsid w:val="00A22E01"/>
    <w:rsid w:val="00A24148"/>
    <w:rsid w:val="00A2542E"/>
    <w:rsid w:val="00A25439"/>
    <w:rsid w:val="00A25861"/>
    <w:rsid w:val="00A26C5A"/>
    <w:rsid w:val="00A26C61"/>
    <w:rsid w:val="00A26F0A"/>
    <w:rsid w:val="00A27710"/>
    <w:rsid w:val="00A27EF2"/>
    <w:rsid w:val="00A302EE"/>
    <w:rsid w:val="00A30A79"/>
    <w:rsid w:val="00A30AC2"/>
    <w:rsid w:val="00A321D1"/>
    <w:rsid w:val="00A322A4"/>
    <w:rsid w:val="00A324D1"/>
    <w:rsid w:val="00A32E24"/>
    <w:rsid w:val="00A33143"/>
    <w:rsid w:val="00A332D3"/>
    <w:rsid w:val="00A34B0B"/>
    <w:rsid w:val="00A35F1B"/>
    <w:rsid w:val="00A37457"/>
    <w:rsid w:val="00A37821"/>
    <w:rsid w:val="00A37B91"/>
    <w:rsid w:val="00A400E5"/>
    <w:rsid w:val="00A407AA"/>
    <w:rsid w:val="00A40E5B"/>
    <w:rsid w:val="00A41BE6"/>
    <w:rsid w:val="00A41D33"/>
    <w:rsid w:val="00A426B1"/>
    <w:rsid w:val="00A42C54"/>
    <w:rsid w:val="00A42F71"/>
    <w:rsid w:val="00A4394C"/>
    <w:rsid w:val="00A43E42"/>
    <w:rsid w:val="00A453EF"/>
    <w:rsid w:val="00A469FB"/>
    <w:rsid w:val="00A505AF"/>
    <w:rsid w:val="00A50A26"/>
    <w:rsid w:val="00A51D1A"/>
    <w:rsid w:val="00A52244"/>
    <w:rsid w:val="00A52AB8"/>
    <w:rsid w:val="00A53E6D"/>
    <w:rsid w:val="00A54209"/>
    <w:rsid w:val="00A54DC3"/>
    <w:rsid w:val="00A552BD"/>
    <w:rsid w:val="00A558D4"/>
    <w:rsid w:val="00A55A53"/>
    <w:rsid w:val="00A55C84"/>
    <w:rsid w:val="00A55E00"/>
    <w:rsid w:val="00A567F0"/>
    <w:rsid w:val="00A56F9A"/>
    <w:rsid w:val="00A574FB"/>
    <w:rsid w:val="00A61033"/>
    <w:rsid w:val="00A61057"/>
    <w:rsid w:val="00A63127"/>
    <w:rsid w:val="00A650B8"/>
    <w:rsid w:val="00A65548"/>
    <w:rsid w:val="00A65D63"/>
    <w:rsid w:val="00A66368"/>
    <w:rsid w:val="00A669ED"/>
    <w:rsid w:val="00A66AEB"/>
    <w:rsid w:val="00A67B3C"/>
    <w:rsid w:val="00A70D8C"/>
    <w:rsid w:val="00A722A1"/>
    <w:rsid w:val="00A72BC9"/>
    <w:rsid w:val="00A76FE0"/>
    <w:rsid w:val="00A77DF2"/>
    <w:rsid w:val="00A80959"/>
    <w:rsid w:val="00A820BB"/>
    <w:rsid w:val="00A824D5"/>
    <w:rsid w:val="00A825E0"/>
    <w:rsid w:val="00A82BE0"/>
    <w:rsid w:val="00A82E92"/>
    <w:rsid w:val="00A83029"/>
    <w:rsid w:val="00A85451"/>
    <w:rsid w:val="00A85F5F"/>
    <w:rsid w:val="00A86498"/>
    <w:rsid w:val="00A876A6"/>
    <w:rsid w:val="00A90B4F"/>
    <w:rsid w:val="00A90F73"/>
    <w:rsid w:val="00A91B6A"/>
    <w:rsid w:val="00A92D67"/>
    <w:rsid w:val="00A938A6"/>
    <w:rsid w:val="00A9416F"/>
    <w:rsid w:val="00A944C1"/>
    <w:rsid w:val="00A94D52"/>
    <w:rsid w:val="00A9550A"/>
    <w:rsid w:val="00A95B5E"/>
    <w:rsid w:val="00A9617F"/>
    <w:rsid w:val="00A97682"/>
    <w:rsid w:val="00AA113C"/>
    <w:rsid w:val="00AA11B5"/>
    <w:rsid w:val="00AA1330"/>
    <w:rsid w:val="00AA163B"/>
    <w:rsid w:val="00AA175E"/>
    <w:rsid w:val="00AA1970"/>
    <w:rsid w:val="00AA19BA"/>
    <w:rsid w:val="00AA211B"/>
    <w:rsid w:val="00AA353C"/>
    <w:rsid w:val="00AA371E"/>
    <w:rsid w:val="00AA3D9C"/>
    <w:rsid w:val="00AA40DA"/>
    <w:rsid w:val="00AA46EC"/>
    <w:rsid w:val="00AA4905"/>
    <w:rsid w:val="00AA52A1"/>
    <w:rsid w:val="00AA5E2E"/>
    <w:rsid w:val="00AA610F"/>
    <w:rsid w:val="00AA724A"/>
    <w:rsid w:val="00AA779D"/>
    <w:rsid w:val="00AA7C20"/>
    <w:rsid w:val="00AB23B6"/>
    <w:rsid w:val="00AB2F0E"/>
    <w:rsid w:val="00AB498A"/>
    <w:rsid w:val="00AB51E7"/>
    <w:rsid w:val="00AB5329"/>
    <w:rsid w:val="00AB59D7"/>
    <w:rsid w:val="00AB5C26"/>
    <w:rsid w:val="00AB62EB"/>
    <w:rsid w:val="00AB7D8D"/>
    <w:rsid w:val="00AB7F9D"/>
    <w:rsid w:val="00AC0590"/>
    <w:rsid w:val="00AC06C1"/>
    <w:rsid w:val="00AC0940"/>
    <w:rsid w:val="00AC0A66"/>
    <w:rsid w:val="00AC13EF"/>
    <w:rsid w:val="00AC1F35"/>
    <w:rsid w:val="00AC213D"/>
    <w:rsid w:val="00AC243B"/>
    <w:rsid w:val="00AC2531"/>
    <w:rsid w:val="00AC26F6"/>
    <w:rsid w:val="00AC2765"/>
    <w:rsid w:val="00AC2B32"/>
    <w:rsid w:val="00AC338C"/>
    <w:rsid w:val="00AC36D2"/>
    <w:rsid w:val="00AC40BE"/>
    <w:rsid w:val="00AC4D2B"/>
    <w:rsid w:val="00AC53F6"/>
    <w:rsid w:val="00AC6E9D"/>
    <w:rsid w:val="00AC7B51"/>
    <w:rsid w:val="00AC7BCE"/>
    <w:rsid w:val="00AC7D69"/>
    <w:rsid w:val="00AD172B"/>
    <w:rsid w:val="00AD2459"/>
    <w:rsid w:val="00AD27B3"/>
    <w:rsid w:val="00AD553D"/>
    <w:rsid w:val="00AD5A05"/>
    <w:rsid w:val="00AD5FA2"/>
    <w:rsid w:val="00AD73B1"/>
    <w:rsid w:val="00AD742A"/>
    <w:rsid w:val="00AD77DC"/>
    <w:rsid w:val="00AE08E9"/>
    <w:rsid w:val="00AE09BE"/>
    <w:rsid w:val="00AE1E0F"/>
    <w:rsid w:val="00AE2022"/>
    <w:rsid w:val="00AE3B32"/>
    <w:rsid w:val="00AE4D30"/>
    <w:rsid w:val="00AE4E73"/>
    <w:rsid w:val="00AE5410"/>
    <w:rsid w:val="00AE5F5C"/>
    <w:rsid w:val="00AE5FD0"/>
    <w:rsid w:val="00AE6085"/>
    <w:rsid w:val="00AE66FC"/>
    <w:rsid w:val="00AE68B7"/>
    <w:rsid w:val="00AE71CD"/>
    <w:rsid w:val="00AE7382"/>
    <w:rsid w:val="00AE7B94"/>
    <w:rsid w:val="00AE7DC6"/>
    <w:rsid w:val="00AF01C3"/>
    <w:rsid w:val="00AF0B2E"/>
    <w:rsid w:val="00AF23F1"/>
    <w:rsid w:val="00AF3324"/>
    <w:rsid w:val="00AF36C6"/>
    <w:rsid w:val="00AF4B4F"/>
    <w:rsid w:val="00AF6343"/>
    <w:rsid w:val="00AF6A27"/>
    <w:rsid w:val="00AF7748"/>
    <w:rsid w:val="00AF776A"/>
    <w:rsid w:val="00AF7C33"/>
    <w:rsid w:val="00B012CE"/>
    <w:rsid w:val="00B01C57"/>
    <w:rsid w:val="00B02B97"/>
    <w:rsid w:val="00B035C1"/>
    <w:rsid w:val="00B04B65"/>
    <w:rsid w:val="00B04C39"/>
    <w:rsid w:val="00B057C1"/>
    <w:rsid w:val="00B068F4"/>
    <w:rsid w:val="00B07569"/>
    <w:rsid w:val="00B100F4"/>
    <w:rsid w:val="00B12319"/>
    <w:rsid w:val="00B129AE"/>
    <w:rsid w:val="00B12B49"/>
    <w:rsid w:val="00B12CC6"/>
    <w:rsid w:val="00B12EFB"/>
    <w:rsid w:val="00B14298"/>
    <w:rsid w:val="00B155F2"/>
    <w:rsid w:val="00B162A8"/>
    <w:rsid w:val="00B16C5E"/>
    <w:rsid w:val="00B1755C"/>
    <w:rsid w:val="00B17576"/>
    <w:rsid w:val="00B1782E"/>
    <w:rsid w:val="00B1787B"/>
    <w:rsid w:val="00B20449"/>
    <w:rsid w:val="00B205B7"/>
    <w:rsid w:val="00B2067D"/>
    <w:rsid w:val="00B220C3"/>
    <w:rsid w:val="00B22110"/>
    <w:rsid w:val="00B229C3"/>
    <w:rsid w:val="00B24D8F"/>
    <w:rsid w:val="00B267A6"/>
    <w:rsid w:val="00B2685B"/>
    <w:rsid w:val="00B26C77"/>
    <w:rsid w:val="00B27641"/>
    <w:rsid w:val="00B27D04"/>
    <w:rsid w:val="00B309D7"/>
    <w:rsid w:val="00B335EE"/>
    <w:rsid w:val="00B34081"/>
    <w:rsid w:val="00B35A74"/>
    <w:rsid w:val="00B36846"/>
    <w:rsid w:val="00B37180"/>
    <w:rsid w:val="00B37B1F"/>
    <w:rsid w:val="00B404C9"/>
    <w:rsid w:val="00B40550"/>
    <w:rsid w:val="00B4057B"/>
    <w:rsid w:val="00B4144F"/>
    <w:rsid w:val="00B42A69"/>
    <w:rsid w:val="00B42F5E"/>
    <w:rsid w:val="00B43449"/>
    <w:rsid w:val="00B43CEF"/>
    <w:rsid w:val="00B4407F"/>
    <w:rsid w:val="00B44549"/>
    <w:rsid w:val="00B44815"/>
    <w:rsid w:val="00B45ECF"/>
    <w:rsid w:val="00B472F3"/>
    <w:rsid w:val="00B50250"/>
    <w:rsid w:val="00B51234"/>
    <w:rsid w:val="00B5150A"/>
    <w:rsid w:val="00B51B65"/>
    <w:rsid w:val="00B526AE"/>
    <w:rsid w:val="00B529FA"/>
    <w:rsid w:val="00B52A72"/>
    <w:rsid w:val="00B544EF"/>
    <w:rsid w:val="00B55691"/>
    <w:rsid w:val="00B56D0A"/>
    <w:rsid w:val="00B56ED4"/>
    <w:rsid w:val="00B576FA"/>
    <w:rsid w:val="00B60A24"/>
    <w:rsid w:val="00B61200"/>
    <w:rsid w:val="00B61B84"/>
    <w:rsid w:val="00B631CE"/>
    <w:rsid w:val="00B63699"/>
    <w:rsid w:val="00B644A2"/>
    <w:rsid w:val="00B64BDB"/>
    <w:rsid w:val="00B64EB1"/>
    <w:rsid w:val="00B664FD"/>
    <w:rsid w:val="00B66CCE"/>
    <w:rsid w:val="00B67942"/>
    <w:rsid w:val="00B70F50"/>
    <w:rsid w:val="00B725CC"/>
    <w:rsid w:val="00B72D43"/>
    <w:rsid w:val="00B73F08"/>
    <w:rsid w:val="00B74F2E"/>
    <w:rsid w:val="00B75935"/>
    <w:rsid w:val="00B765B6"/>
    <w:rsid w:val="00B768FE"/>
    <w:rsid w:val="00B77964"/>
    <w:rsid w:val="00B77C2C"/>
    <w:rsid w:val="00B8013F"/>
    <w:rsid w:val="00B82020"/>
    <w:rsid w:val="00B82941"/>
    <w:rsid w:val="00B82B64"/>
    <w:rsid w:val="00B82D38"/>
    <w:rsid w:val="00B83053"/>
    <w:rsid w:val="00B854D7"/>
    <w:rsid w:val="00B855C2"/>
    <w:rsid w:val="00B86C94"/>
    <w:rsid w:val="00B90A69"/>
    <w:rsid w:val="00B90CB9"/>
    <w:rsid w:val="00B9114B"/>
    <w:rsid w:val="00B920AE"/>
    <w:rsid w:val="00B92E26"/>
    <w:rsid w:val="00B93846"/>
    <w:rsid w:val="00B939CF"/>
    <w:rsid w:val="00B9441F"/>
    <w:rsid w:val="00B94896"/>
    <w:rsid w:val="00B954E9"/>
    <w:rsid w:val="00B959BE"/>
    <w:rsid w:val="00B95ABC"/>
    <w:rsid w:val="00B95C4B"/>
    <w:rsid w:val="00B965A3"/>
    <w:rsid w:val="00B970B3"/>
    <w:rsid w:val="00B9735E"/>
    <w:rsid w:val="00B9746A"/>
    <w:rsid w:val="00BA0E93"/>
    <w:rsid w:val="00BA1326"/>
    <w:rsid w:val="00BA1971"/>
    <w:rsid w:val="00BA1F60"/>
    <w:rsid w:val="00BA2992"/>
    <w:rsid w:val="00BA58ED"/>
    <w:rsid w:val="00BA622A"/>
    <w:rsid w:val="00BA75FB"/>
    <w:rsid w:val="00BB030F"/>
    <w:rsid w:val="00BB0BA3"/>
    <w:rsid w:val="00BB0C4A"/>
    <w:rsid w:val="00BB1077"/>
    <w:rsid w:val="00BB121D"/>
    <w:rsid w:val="00BB1317"/>
    <w:rsid w:val="00BB19F7"/>
    <w:rsid w:val="00BB1C7F"/>
    <w:rsid w:val="00BB352D"/>
    <w:rsid w:val="00BB359B"/>
    <w:rsid w:val="00BB36DC"/>
    <w:rsid w:val="00BB3F0D"/>
    <w:rsid w:val="00BB5693"/>
    <w:rsid w:val="00BB6541"/>
    <w:rsid w:val="00BB662F"/>
    <w:rsid w:val="00BB727A"/>
    <w:rsid w:val="00BB76F9"/>
    <w:rsid w:val="00BC0D61"/>
    <w:rsid w:val="00BC1D28"/>
    <w:rsid w:val="00BC29A0"/>
    <w:rsid w:val="00BC4430"/>
    <w:rsid w:val="00BC44C9"/>
    <w:rsid w:val="00BC6418"/>
    <w:rsid w:val="00BC7F1F"/>
    <w:rsid w:val="00BD03C2"/>
    <w:rsid w:val="00BD1D1F"/>
    <w:rsid w:val="00BD2185"/>
    <w:rsid w:val="00BD3DB0"/>
    <w:rsid w:val="00BD3FE3"/>
    <w:rsid w:val="00BD41CD"/>
    <w:rsid w:val="00BD5169"/>
    <w:rsid w:val="00BD5CCA"/>
    <w:rsid w:val="00BD5DED"/>
    <w:rsid w:val="00BD7A89"/>
    <w:rsid w:val="00BE11D7"/>
    <w:rsid w:val="00BE155B"/>
    <w:rsid w:val="00BE1634"/>
    <w:rsid w:val="00BE227F"/>
    <w:rsid w:val="00BE22C6"/>
    <w:rsid w:val="00BE243B"/>
    <w:rsid w:val="00BE29DF"/>
    <w:rsid w:val="00BE36B8"/>
    <w:rsid w:val="00BE4192"/>
    <w:rsid w:val="00BE49A4"/>
    <w:rsid w:val="00BE4EA7"/>
    <w:rsid w:val="00BE665D"/>
    <w:rsid w:val="00BE6B79"/>
    <w:rsid w:val="00BE6BF2"/>
    <w:rsid w:val="00BF0349"/>
    <w:rsid w:val="00BF0B2D"/>
    <w:rsid w:val="00BF11F5"/>
    <w:rsid w:val="00BF2E4B"/>
    <w:rsid w:val="00BF43C7"/>
    <w:rsid w:val="00BF54EC"/>
    <w:rsid w:val="00BF5A3A"/>
    <w:rsid w:val="00BF5ED0"/>
    <w:rsid w:val="00BF6933"/>
    <w:rsid w:val="00BF73C1"/>
    <w:rsid w:val="00BF7547"/>
    <w:rsid w:val="00C00427"/>
    <w:rsid w:val="00C007B5"/>
    <w:rsid w:val="00C0195B"/>
    <w:rsid w:val="00C02BAF"/>
    <w:rsid w:val="00C03150"/>
    <w:rsid w:val="00C03280"/>
    <w:rsid w:val="00C03962"/>
    <w:rsid w:val="00C03A52"/>
    <w:rsid w:val="00C04C8A"/>
    <w:rsid w:val="00C05D4D"/>
    <w:rsid w:val="00C05EFB"/>
    <w:rsid w:val="00C064C3"/>
    <w:rsid w:val="00C06A17"/>
    <w:rsid w:val="00C07777"/>
    <w:rsid w:val="00C10572"/>
    <w:rsid w:val="00C1179F"/>
    <w:rsid w:val="00C119AB"/>
    <w:rsid w:val="00C11A5F"/>
    <w:rsid w:val="00C1259C"/>
    <w:rsid w:val="00C12755"/>
    <w:rsid w:val="00C13686"/>
    <w:rsid w:val="00C150F0"/>
    <w:rsid w:val="00C15AA3"/>
    <w:rsid w:val="00C1635C"/>
    <w:rsid w:val="00C17BAD"/>
    <w:rsid w:val="00C209C8"/>
    <w:rsid w:val="00C20A7B"/>
    <w:rsid w:val="00C20E86"/>
    <w:rsid w:val="00C21BD5"/>
    <w:rsid w:val="00C22FC7"/>
    <w:rsid w:val="00C2300B"/>
    <w:rsid w:val="00C2359E"/>
    <w:rsid w:val="00C23917"/>
    <w:rsid w:val="00C26D0E"/>
    <w:rsid w:val="00C312AE"/>
    <w:rsid w:val="00C316A5"/>
    <w:rsid w:val="00C318E5"/>
    <w:rsid w:val="00C3233A"/>
    <w:rsid w:val="00C3240B"/>
    <w:rsid w:val="00C32ADD"/>
    <w:rsid w:val="00C32DDD"/>
    <w:rsid w:val="00C33A63"/>
    <w:rsid w:val="00C346EC"/>
    <w:rsid w:val="00C34DCC"/>
    <w:rsid w:val="00C35819"/>
    <w:rsid w:val="00C416DB"/>
    <w:rsid w:val="00C4198F"/>
    <w:rsid w:val="00C43C33"/>
    <w:rsid w:val="00C4417C"/>
    <w:rsid w:val="00C45DBB"/>
    <w:rsid w:val="00C47488"/>
    <w:rsid w:val="00C479F5"/>
    <w:rsid w:val="00C47A05"/>
    <w:rsid w:val="00C47B1E"/>
    <w:rsid w:val="00C47BAC"/>
    <w:rsid w:val="00C5118D"/>
    <w:rsid w:val="00C514F1"/>
    <w:rsid w:val="00C51F80"/>
    <w:rsid w:val="00C548D7"/>
    <w:rsid w:val="00C54992"/>
    <w:rsid w:val="00C55661"/>
    <w:rsid w:val="00C55E03"/>
    <w:rsid w:val="00C570FE"/>
    <w:rsid w:val="00C57720"/>
    <w:rsid w:val="00C5785C"/>
    <w:rsid w:val="00C57E43"/>
    <w:rsid w:val="00C60D8C"/>
    <w:rsid w:val="00C6151C"/>
    <w:rsid w:val="00C61850"/>
    <w:rsid w:val="00C61F61"/>
    <w:rsid w:val="00C62451"/>
    <w:rsid w:val="00C62ED9"/>
    <w:rsid w:val="00C634FC"/>
    <w:rsid w:val="00C639C4"/>
    <w:rsid w:val="00C63C4D"/>
    <w:rsid w:val="00C63F47"/>
    <w:rsid w:val="00C64462"/>
    <w:rsid w:val="00C644CE"/>
    <w:rsid w:val="00C649B5"/>
    <w:rsid w:val="00C7050F"/>
    <w:rsid w:val="00C713A8"/>
    <w:rsid w:val="00C716F6"/>
    <w:rsid w:val="00C735A2"/>
    <w:rsid w:val="00C74780"/>
    <w:rsid w:val="00C7514A"/>
    <w:rsid w:val="00C75FFA"/>
    <w:rsid w:val="00C77BC0"/>
    <w:rsid w:val="00C80839"/>
    <w:rsid w:val="00C82877"/>
    <w:rsid w:val="00C82A16"/>
    <w:rsid w:val="00C83AA7"/>
    <w:rsid w:val="00C8437E"/>
    <w:rsid w:val="00C843F2"/>
    <w:rsid w:val="00C851FC"/>
    <w:rsid w:val="00C90BA3"/>
    <w:rsid w:val="00C91E4D"/>
    <w:rsid w:val="00C93647"/>
    <w:rsid w:val="00C9371C"/>
    <w:rsid w:val="00C94010"/>
    <w:rsid w:val="00C9467B"/>
    <w:rsid w:val="00C953BE"/>
    <w:rsid w:val="00C9555E"/>
    <w:rsid w:val="00C95E6E"/>
    <w:rsid w:val="00C96755"/>
    <w:rsid w:val="00C97B0E"/>
    <w:rsid w:val="00CA09A7"/>
    <w:rsid w:val="00CA1653"/>
    <w:rsid w:val="00CA1CC0"/>
    <w:rsid w:val="00CA3213"/>
    <w:rsid w:val="00CA43A4"/>
    <w:rsid w:val="00CA509B"/>
    <w:rsid w:val="00CA5239"/>
    <w:rsid w:val="00CA6581"/>
    <w:rsid w:val="00CA7180"/>
    <w:rsid w:val="00CA7C81"/>
    <w:rsid w:val="00CA7D70"/>
    <w:rsid w:val="00CB09D5"/>
    <w:rsid w:val="00CB307C"/>
    <w:rsid w:val="00CB3AC5"/>
    <w:rsid w:val="00CB4089"/>
    <w:rsid w:val="00CB440C"/>
    <w:rsid w:val="00CB4A71"/>
    <w:rsid w:val="00CB4B35"/>
    <w:rsid w:val="00CB4CC4"/>
    <w:rsid w:val="00CB5A5D"/>
    <w:rsid w:val="00CB5C1B"/>
    <w:rsid w:val="00CB64D2"/>
    <w:rsid w:val="00CB683C"/>
    <w:rsid w:val="00CB6964"/>
    <w:rsid w:val="00CB7907"/>
    <w:rsid w:val="00CC0808"/>
    <w:rsid w:val="00CC0A56"/>
    <w:rsid w:val="00CC0BAA"/>
    <w:rsid w:val="00CC0EE1"/>
    <w:rsid w:val="00CC1C40"/>
    <w:rsid w:val="00CC1CAA"/>
    <w:rsid w:val="00CC25D0"/>
    <w:rsid w:val="00CC2DFD"/>
    <w:rsid w:val="00CC334D"/>
    <w:rsid w:val="00CC4A3B"/>
    <w:rsid w:val="00CC594B"/>
    <w:rsid w:val="00CC639B"/>
    <w:rsid w:val="00CC6629"/>
    <w:rsid w:val="00CD1E00"/>
    <w:rsid w:val="00CD2377"/>
    <w:rsid w:val="00CD2B30"/>
    <w:rsid w:val="00CD3F48"/>
    <w:rsid w:val="00CD4991"/>
    <w:rsid w:val="00CD4B83"/>
    <w:rsid w:val="00CD4D73"/>
    <w:rsid w:val="00CD52E2"/>
    <w:rsid w:val="00CD58DB"/>
    <w:rsid w:val="00CD5D5A"/>
    <w:rsid w:val="00CE0A72"/>
    <w:rsid w:val="00CE0F11"/>
    <w:rsid w:val="00CE1426"/>
    <w:rsid w:val="00CE1854"/>
    <w:rsid w:val="00CE20FB"/>
    <w:rsid w:val="00CE23F0"/>
    <w:rsid w:val="00CE28FC"/>
    <w:rsid w:val="00CE2F80"/>
    <w:rsid w:val="00CE3687"/>
    <w:rsid w:val="00CE5AC5"/>
    <w:rsid w:val="00CE686B"/>
    <w:rsid w:val="00CE767E"/>
    <w:rsid w:val="00CE7825"/>
    <w:rsid w:val="00CF0533"/>
    <w:rsid w:val="00CF192B"/>
    <w:rsid w:val="00CF1CD1"/>
    <w:rsid w:val="00CF210D"/>
    <w:rsid w:val="00CF259F"/>
    <w:rsid w:val="00CF33C5"/>
    <w:rsid w:val="00CF3DD8"/>
    <w:rsid w:val="00CF3EA0"/>
    <w:rsid w:val="00CF447B"/>
    <w:rsid w:val="00CF45C2"/>
    <w:rsid w:val="00CF4842"/>
    <w:rsid w:val="00CF48E9"/>
    <w:rsid w:val="00CF535E"/>
    <w:rsid w:val="00CF5CF3"/>
    <w:rsid w:val="00CF67C1"/>
    <w:rsid w:val="00CF6D90"/>
    <w:rsid w:val="00CF7304"/>
    <w:rsid w:val="00CF7396"/>
    <w:rsid w:val="00CF75D2"/>
    <w:rsid w:val="00CF7DBD"/>
    <w:rsid w:val="00D00C7A"/>
    <w:rsid w:val="00D0109A"/>
    <w:rsid w:val="00D02441"/>
    <w:rsid w:val="00D02730"/>
    <w:rsid w:val="00D03E86"/>
    <w:rsid w:val="00D04D06"/>
    <w:rsid w:val="00D05D9B"/>
    <w:rsid w:val="00D05DBF"/>
    <w:rsid w:val="00D0600C"/>
    <w:rsid w:val="00D06276"/>
    <w:rsid w:val="00D0739E"/>
    <w:rsid w:val="00D07539"/>
    <w:rsid w:val="00D10034"/>
    <w:rsid w:val="00D1135B"/>
    <w:rsid w:val="00D113F3"/>
    <w:rsid w:val="00D11DDC"/>
    <w:rsid w:val="00D12A6C"/>
    <w:rsid w:val="00D12ACB"/>
    <w:rsid w:val="00D136CF"/>
    <w:rsid w:val="00D14490"/>
    <w:rsid w:val="00D1488C"/>
    <w:rsid w:val="00D14CA0"/>
    <w:rsid w:val="00D15A71"/>
    <w:rsid w:val="00D15E93"/>
    <w:rsid w:val="00D162F6"/>
    <w:rsid w:val="00D163F9"/>
    <w:rsid w:val="00D16F92"/>
    <w:rsid w:val="00D17565"/>
    <w:rsid w:val="00D17BB3"/>
    <w:rsid w:val="00D17D4A"/>
    <w:rsid w:val="00D20E14"/>
    <w:rsid w:val="00D20F60"/>
    <w:rsid w:val="00D21B56"/>
    <w:rsid w:val="00D22592"/>
    <w:rsid w:val="00D2369A"/>
    <w:rsid w:val="00D23907"/>
    <w:rsid w:val="00D23A37"/>
    <w:rsid w:val="00D23BA5"/>
    <w:rsid w:val="00D23E51"/>
    <w:rsid w:val="00D26426"/>
    <w:rsid w:val="00D265B2"/>
    <w:rsid w:val="00D30BFB"/>
    <w:rsid w:val="00D30E26"/>
    <w:rsid w:val="00D31B84"/>
    <w:rsid w:val="00D31C79"/>
    <w:rsid w:val="00D32967"/>
    <w:rsid w:val="00D32DEF"/>
    <w:rsid w:val="00D3303C"/>
    <w:rsid w:val="00D33E9E"/>
    <w:rsid w:val="00D33FD4"/>
    <w:rsid w:val="00D3468A"/>
    <w:rsid w:val="00D36AD9"/>
    <w:rsid w:val="00D36DB0"/>
    <w:rsid w:val="00D375A9"/>
    <w:rsid w:val="00D40463"/>
    <w:rsid w:val="00D40544"/>
    <w:rsid w:val="00D41B99"/>
    <w:rsid w:val="00D41C23"/>
    <w:rsid w:val="00D42158"/>
    <w:rsid w:val="00D44864"/>
    <w:rsid w:val="00D45038"/>
    <w:rsid w:val="00D45295"/>
    <w:rsid w:val="00D4564F"/>
    <w:rsid w:val="00D45DBE"/>
    <w:rsid w:val="00D4659F"/>
    <w:rsid w:val="00D46D82"/>
    <w:rsid w:val="00D47A79"/>
    <w:rsid w:val="00D505CD"/>
    <w:rsid w:val="00D505D5"/>
    <w:rsid w:val="00D507CF"/>
    <w:rsid w:val="00D50802"/>
    <w:rsid w:val="00D52741"/>
    <w:rsid w:val="00D52A6F"/>
    <w:rsid w:val="00D5351F"/>
    <w:rsid w:val="00D542AB"/>
    <w:rsid w:val="00D54EF3"/>
    <w:rsid w:val="00D55C39"/>
    <w:rsid w:val="00D55F70"/>
    <w:rsid w:val="00D56285"/>
    <w:rsid w:val="00D5643D"/>
    <w:rsid w:val="00D57A41"/>
    <w:rsid w:val="00D602B2"/>
    <w:rsid w:val="00D607C5"/>
    <w:rsid w:val="00D60CFA"/>
    <w:rsid w:val="00D616F0"/>
    <w:rsid w:val="00D628CA"/>
    <w:rsid w:val="00D62B21"/>
    <w:rsid w:val="00D63965"/>
    <w:rsid w:val="00D63B9E"/>
    <w:rsid w:val="00D7022C"/>
    <w:rsid w:val="00D70755"/>
    <w:rsid w:val="00D71515"/>
    <w:rsid w:val="00D725C6"/>
    <w:rsid w:val="00D7312E"/>
    <w:rsid w:val="00D73A9F"/>
    <w:rsid w:val="00D743E1"/>
    <w:rsid w:val="00D74C03"/>
    <w:rsid w:val="00D74FDE"/>
    <w:rsid w:val="00D753B7"/>
    <w:rsid w:val="00D75B8B"/>
    <w:rsid w:val="00D76A27"/>
    <w:rsid w:val="00D77D6F"/>
    <w:rsid w:val="00D801E8"/>
    <w:rsid w:val="00D808A4"/>
    <w:rsid w:val="00D80AB0"/>
    <w:rsid w:val="00D80C2F"/>
    <w:rsid w:val="00D80D0A"/>
    <w:rsid w:val="00D814F8"/>
    <w:rsid w:val="00D816B9"/>
    <w:rsid w:val="00D83F18"/>
    <w:rsid w:val="00D840A2"/>
    <w:rsid w:val="00D84ADF"/>
    <w:rsid w:val="00D85122"/>
    <w:rsid w:val="00D85827"/>
    <w:rsid w:val="00D858C0"/>
    <w:rsid w:val="00D86213"/>
    <w:rsid w:val="00D863B6"/>
    <w:rsid w:val="00D87F2A"/>
    <w:rsid w:val="00D90216"/>
    <w:rsid w:val="00D9059C"/>
    <w:rsid w:val="00D908AA"/>
    <w:rsid w:val="00D91048"/>
    <w:rsid w:val="00D913A7"/>
    <w:rsid w:val="00D9206F"/>
    <w:rsid w:val="00D929CF"/>
    <w:rsid w:val="00D92ACB"/>
    <w:rsid w:val="00D930DF"/>
    <w:rsid w:val="00D93125"/>
    <w:rsid w:val="00D94636"/>
    <w:rsid w:val="00D955CD"/>
    <w:rsid w:val="00D97006"/>
    <w:rsid w:val="00D97BD6"/>
    <w:rsid w:val="00DA0C15"/>
    <w:rsid w:val="00DA0C9C"/>
    <w:rsid w:val="00DA1A9E"/>
    <w:rsid w:val="00DA26EF"/>
    <w:rsid w:val="00DA4202"/>
    <w:rsid w:val="00DA5952"/>
    <w:rsid w:val="00DA5DA8"/>
    <w:rsid w:val="00DA61B7"/>
    <w:rsid w:val="00DA6212"/>
    <w:rsid w:val="00DA63F9"/>
    <w:rsid w:val="00DA6A07"/>
    <w:rsid w:val="00DA6A47"/>
    <w:rsid w:val="00DA6B65"/>
    <w:rsid w:val="00DA7D60"/>
    <w:rsid w:val="00DB0962"/>
    <w:rsid w:val="00DB0D45"/>
    <w:rsid w:val="00DB2101"/>
    <w:rsid w:val="00DB236F"/>
    <w:rsid w:val="00DB3A91"/>
    <w:rsid w:val="00DB3F25"/>
    <w:rsid w:val="00DB49D3"/>
    <w:rsid w:val="00DB4CFD"/>
    <w:rsid w:val="00DB5BD7"/>
    <w:rsid w:val="00DB5EAB"/>
    <w:rsid w:val="00DC1B74"/>
    <w:rsid w:val="00DC28D5"/>
    <w:rsid w:val="00DC2C57"/>
    <w:rsid w:val="00DC35E4"/>
    <w:rsid w:val="00DC4705"/>
    <w:rsid w:val="00DC5995"/>
    <w:rsid w:val="00DC5C7C"/>
    <w:rsid w:val="00DC7620"/>
    <w:rsid w:val="00DD06E2"/>
    <w:rsid w:val="00DD3648"/>
    <w:rsid w:val="00DD4164"/>
    <w:rsid w:val="00DD41EA"/>
    <w:rsid w:val="00DD5BCC"/>
    <w:rsid w:val="00DD6CE4"/>
    <w:rsid w:val="00DD6E34"/>
    <w:rsid w:val="00DD6EC6"/>
    <w:rsid w:val="00DE0D90"/>
    <w:rsid w:val="00DE0DD8"/>
    <w:rsid w:val="00DE1C91"/>
    <w:rsid w:val="00DE359B"/>
    <w:rsid w:val="00DE464E"/>
    <w:rsid w:val="00DE46FE"/>
    <w:rsid w:val="00DE4738"/>
    <w:rsid w:val="00DE650F"/>
    <w:rsid w:val="00DF0044"/>
    <w:rsid w:val="00DF022A"/>
    <w:rsid w:val="00DF08F4"/>
    <w:rsid w:val="00DF105D"/>
    <w:rsid w:val="00DF16A4"/>
    <w:rsid w:val="00DF2079"/>
    <w:rsid w:val="00DF263F"/>
    <w:rsid w:val="00DF2BD4"/>
    <w:rsid w:val="00DF4746"/>
    <w:rsid w:val="00DF6B5B"/>
    <w:rsid w:val="00DF6DFA"/>
    <w:rsid w:val="00E003FB"/>
    <w:rsid w:val="00E03506"/>
    <w:rsid w:val="00E03E65"/>
    <w:rsid w:val="00E0584A"/>
    <w:rsid w:val="00E05BF1"/>
    <w:rsid w:val="00E07630"/>
    <w:rsid w:val="00E101E0"/>
    <w:rsid w:val="00E1044A"/>
    <w:rsid w:val="00E10FC3"/>
    <w:rsid w:val="00E11B6F"/>
    <w:rsid w:val="00E11E55"/>
    <w:rsid w:val="00E12223"/>
    <w:rsid w:val="00E133AD"/>
    <w:rsid w:val="00E14160"/>
    <w:rsid w:val="00E149BD"/>
    <w:rsid w:val="00E15173"/>
    <w:rsid w:val="00E152F6"/>
    <w:rsid w:val="00E15561"/>
    <w:rsid w:val="00E1590A"/>
    <w:rsid w:val="00E15B68"/>
    <w:rsid w:val="00E1611B"/>
    <w:rsid w:val="00E16183"/>
    <w:rsid w:val="00E1624C"/>
    <w:rsid w:val="00E16F98"/>
    <w:rsid w:val="00E1720F"/>
    <w:rsid w:val="00E172DE"/>
    <w:rsid w:val="00E17391"/>
    <w:rsid w:val="00E17583"/>
    <w:rsid w:val="00E20633"/>
    <w:rsid w:val="00E20AEB"/>
    <w:rsid w:val="00E21E16"/>
    <w:rsid w:val="00E22778"/>
    <w:rsid w:val="00E23649"/>
    <w:rsid w:val="00E23887"/>
    <w:rsid w:val="00E240D8"/>
    <w:rsid w:val="00E27AF5"/>
    <w:rsid w:val="00E30D84"/>
    <w:rsid w:val="00E30FCC"/>
    <w:rsid w:val="00E30FD5"/>
    <w:rsid w:val="00E313A5"/>
    <w:rsid w:val="00E32B18"/>
    <w:rsid w:val="00E341FC"/>
    <w:rsid w:val="00E3483C"/>
    <w:rsid w:val="00E35BA1"/>
    <w:rsid w:val="00E367C5"/>
    <w:rsid w:val="00E37768"/>
    <w:rsid w:val="00E37834"/>
    <w:rsid w:val="00E40FB0"/>
    <w:rsid w:val="00E40FF0"/>
    <w:rsid w:val="00E4158B"/>
    <w:rsid w:val="00E415D5"/>
    <w:rsid w:val="00E4308C"/>
    <w:rsid w:val="00E449C4"/>
    <w:rsid w:val="00E45311"/>
    <w:rsid w:val="00E46749"/>
    <w:rsid w:val="00E46AF8"/>
    <w:rsid w:val="00E4771D"/>
    <w:rsid w:val="00E510C5"/>
    <w:rsid w:val="00E513AB"/>
    <w:rsid w:val="00E51C51"/>
    <w:rsid w:val="00E5256C"/>
    <w:rsid w:val="00E538B7"/>
    <w:rsid w:val="00E538EE"/>
    <w:rsid w:val="00E546C7"/>
    <w:rsid w:val="00E54C6F"/>
    <w:rsid w:val="00E554E0"/>
    <w:rsid w:val="00E55D56"/>
    <w:rsid w:val="00E55E9B"/>
    <w:rsid w:val="00E60CEA"/>
    <w:rsid w:val="00E62408"/>
    <w:rsid w:val="00E634F8"/>
    <w:rsid w:val="00E63567"/>
    <w:rsid w:val="00E65635"/>
    <w:rsid w:val="00E66270"/>
    <w:rsid w:val="00E66493"/>
    <w:rsid w:val="00E66736"/>
    <w:rsid w:val="00E67C8F"/>
    <w:rsid w:val="00E67F5B"/>
    <w:rsid w:val="00E67F6C"/>
    <w:rsid w:val="00E71EE6"/>
    <w:rsid w:val="00E727FA"/>
    <w:rsid w:val="00E7344B"/>
    <w:rsid w:val="00E73DF2"/>
    <w:rsid w:val="00E750C3"/>
    <w:rsid w:val="00E75514"/>
    <w:rsid w:val="00E75540"/>
    <w:rsid w:val="00E765A9"/>
    <w:rsid w:val="00E76988"/>
    <w:rsid w:val="00E76AB3"/>
    <w:rsid w:val="00E77404"/>
    <w:rsid w:val="00E7746D"/>
    <w:rsid w:val="00E774AE"/>
    <w:rsid w:val="00E77A38"/>
    <w:rsid w:val="00E77EDD"/>
    <w:rsid w:val="00E80222"/>
    <w:rsid w:val="00E8179E"/>
    <w:rsid w:val="00E8283E"/>
    <w:rsid w:val="00E82F42"/>
    <w:rsid w:val="00E85081"/>
    <w:rsid w:val="00E85324"/>
    <w:rsid w:val="00E861C7"/>
    <w:rsid w:val="00E86EC8"/>
    <w:rsid w:val="00E86F06"/>
    <w:rsid w:val="00E87141"/>
    <w:rsid w:val="00E87BA3"/>
    <w:rsid w:val="00E90A0C"/>
    <w:rsid w:val="00E91269"/>
    <w:rsid w:val="00E92EAC"/>
    <w:rsid w:val="00E94908"/>
    <w:rsid w:val="00E94B25"/>
    <w:rsid w:val="00E95E1E"/>
    <w:rsid w:val="00E9603C"/>
    <w:rsid w:val="00E96623"/>
    <w:rsid w:val="00EA23FE"/>
    <w:rsid w:val="00EA36D1"/>
    <w:rsid w:val="00EA4047"/>
    <w:rsid w:val="00EA409D"/>
    <w:rsid w:val="00EA477E"/>
    <w:rsid w:val="00EA4E2C"/>
    <w:rsid w:val="00EA5019"/>
    <w:rsid w:val="00EA54B1"/>
    <w:rsid w:val="00EA5B1E"/>
    <w:rsid w:val="00EB16F9"/>
    <w:rsid w:val="00EB1ED7"/>
    <w:rsid w:val="00EB28AD"/>
    <w:rsid w:val="00EB2BB0"/>
    <w:rsid w:val="00EB2DBF"/>
    <w:rsid w:val="00EB2E8E"/>
    <w:rsid w:val="00EB3589"/>
    <w:rsid w:val="00EB41A2"/>
    <w:rsid w:val="00EB41BB"/>
    <w:rsid w:val="00EB4E6E"/>
    <w:rsid w:val="00EB5C05"/>
    <w:rsid w:val="00EB5D30"/>
    <w:rsid w:val="00EB65F7"/>
    <w:rsid w:val="00EB7442"/>
    <w:rsid w:val="00EC0081"/>
    <w:rsid w:val="00EC12E1"/>
    <w:rsid w:val="00EC15D8"/>
    <w:rsid w:val="00EC1EC5"/>
    <w:rsid w:val="00EC204D"/>
    <w:rsid w:val="00EC221B"/>
    <w:rsid w:val="00EC27A5"/>
    <w:rsid w:val="00EC46BC"/>
    <w:rsid w:val="00EC477F"/>
    <w:rsid w:val="00EC497A"/>
    <w:rsid w:val="00EC53F1"/>
    <w:rsid w:val="00EC56E6"/>
    <w:rsid w:val="00EC5D91"/>
    <w:rsid w:val="00EC6268"/>
    <w:rsid w:val="00EC6E65"/>
    <w:rsid w:val="00EC7A18"/>
    <w:rsid w:val="00EC7BED"/>
    <w:rsid w:val="00EC7D80"/>
    <w:rsid w:val="00ED000B"/>
    <w:rsid w:val="00ED0F3F"/>
    <w:rsid w:val="00ED16B3"/>
    <w:rsid w:val="00ED1F7E"/>
    <w:rsid w:val="00ED2193"/>
    <w:rsid w:val="00ED2297"/>
    <w:rsid w:val="00ED2966"/>
    <w:rsid w:val="00ED2F4B"/>
    <w:rsid w:val="00ED38B9"/>
    <w:rsid w:val="00ED3B58"/>
    <w:rsid w:val="00ED4679"/>
    <w:rsid w:val="00ED49B2"/>
    <w:rsid w:val="00ED5A0F"/>
    <w:rsid w:val="00EE12B2"/>
    <w:rsid w:val="00EE18E3"/>
    <w:rsid w:val="00EE1A2A"/>
    <w:rsid w:val="00EE27DC"/>
    <w:rsid w:val="00EE29E2"/>
    <w:rsid w:val="00EE2D84"/>
    <w:rsid w:val="00EE3BBF"/>
    <w:rsid w:val="00EE66BB"/>
    <w:rsid w:val="00EE6B82"/>
    <w:rsid w:val="00EF0E73"/>
    <w:rsid w:val="00EF13E8"/>
    <w:rsid w:val="00EF38E2"/>
    <w:rsid w:val="00EF3FEF"/>
    <w:rsid w:val="00EF48A1"/>
    <w:rsid w:val="00EF4F2B"/>
    <w:rsid w:val="00EF5A50"/>
    <w:rsid w:val="00EF5C9D"/>
    <w:rsid w:val="00EF5DE7"/>
    <w:rsid w:val="00EF6D25"/>
    <w:rsid w:val="00EF6E29"/>
    <w:rsid w:val="00EF6EEF"/>
    <w:rsid w:val="00EF717C"/>
    <w:rsid w:val="00EF7210"/>
    <w:rsid w:val="00F0018A"/>
    <w:rsid w:val="00F01B9A"/>
    <w:rsid w:val="00F01FC2"/>
    <w:rsid w:val="00F02557"/>
    <w:rsid w:val="00F070FA"/>
    <w:rsid w:val="00F10918"/>
    <w:rsid w:val="00F11210"/>
    <w:rsid w:val="00F11806"/>
    <w:rsid w:val="00F11DD4"/>
    <w:rsid w:val="00F1244F"/>
    <w:rsid w:val="00F12FD9"/>
    <w:rsid w:val="00F13384"/>
    <w:rsid w:val="00F155E1"/>
    <w:rsid w:val="00F15F6D"/>
    <w:rsid w:val="00F16DDA"/>
    <w:rsid w:val="00F17035"/>
    <w:rsid w:val="00F1776C"/>
    <w:rsid w:val="00F17820"/>
    <w:rsid w:val="00F2167A"/>
    <w:rsid w:val="00F22013"/>
    <w:rsid w:val="00F22E3F"/>
    <w:rsid w:val="00F23757"/>
    <w:rsid w:val="00F247C3"/>
    <w:rsid w:val="00F269A1"/>
    <w:rsid w:val="00F30DEA"/>
    <w:rsid w:val="00F31F38"/>
    <w:rsid w:val="00F32653"/>
    <w:rsid w:val="00F32BEC"/>
    <w:rsid w:val="00F33CF0"/>
    <w:rsid w:val="00F33FD5"/>
    <w:rsid w:val="00F34160"/>
    <w:rsid w:val="00F34C54"/>
    <w:rsid w:val="00F35878"/>
    <w:rsid w:val="00F36369"/>
    <w:rsid w:val="00F36493"/>
    <w:rsid w:val="00F36F6D"/>
    <w:rsid w:val="00F37FB1"/>
    <w:rsid w:val="00F403BE"/>
    <w:rsid w:val="00F409FA"/>
    <w:rsid w:val="00F40AD4"/>
    <w:rsid w:val="00F41391"/>
    <w:rsid w:val="00F417F9"/>
    <w:rsid w:val="00F426FF"/>
    <w:rsid w:val="00F42915"/>
    <w:rsid w:val="00F42AAF"/>
    <w:rsid w:val="00F42AB0"/>
    <w:rsid w:val="00F42C70"/>
    <w:rsid w:val="00F42CD8"/>
    <w:rsid w:val="00F509A2"/>
    <w:rsid w:val="00F51278"/>
    <w:rsid w:val="00F52822"/>
    <w:rsid w:val="00F52D52"/>
    <w:rsid w:val="00F52F84"/>
    <w:rsid w:val="00F534D7"/>
    <w:rsid w:val="00F5394A"/>
    <w:rsid w:val="00F53A99"/>
    <w:rsid w:val="00F53CFD"/>
    <w:rsid w:val="00F552A8"/>
    <w:rsid w:val="00F55756"/>
    <w:rsid w:val="00F55B23"/>
    <w:rsid w:val="00F56681"/>
    <w:rsid w:val="00F56AF8"/>
    <w:rsid w:val="00F5750A"/>
    <w:rsid w:val="00F61181"/>
    <w:rsid w:val="00F612A4"/>
    <w:rsid w:val="00F62343"/>
    <w:rsid w:val="00F63978"/>
    <w:rsid w:val="00F65A6D"/>
    <w:rsid w:val="00F65DCA"/>
    <w:rsid w:val="00F66716"/>
    <w:rsid w:val="00F66990"/>
    <w:rsid w:val="00F67A12"/>
    <w:rsid w:val="00F7241C"/>
    <w:rsid w:val="00F733DA"/>
    <w:rsid w:val="00F73AD6"/>
    <w:rsid w:val="00F7414B"/>
    <w:rsid w:val="00F7684E"/>
    <w:rsid w:val="00F77561"/>
    <w:rsid w:val="00F7788E"/>
    <w:rsid w:val="00F81728"/>
    <w:rsid w:val="00F819FF"/>
    <w:rsid w:val="00F822B3"/>
    <w:rsid w:val="00F8327C"/>
    <w:rsid w:val="00F839C9"/>
    <w:rsid w:val="00F83B96"/>
    <w:rsid w:val="00F84B6D"/>
    <w:rsid w:val="00F86462"/>
    <w:rsid w:val="00F867EE"/>
    <w:rsid w:val="00F86A53"/>
    <w:rsid w:val="00F86EA0"/>
    <w:rsid w:val="00F87047"/>
    <w:rsid w:val="00F876A5"/>
    <w:rsid w:val="00F87BEB"/>
    <w:rsid w:val="00F87C2E"/>
    <w:rsid w:val="00F87D35"/>
    <w:rsid w:val="00F9045F"/>
    <w:rsid w:val="00F924D5"/>
    <w:rsid w:val="00F92AA1"/>
    <w:rsid w:val="00F92AC5"/>
    <w:rsid w:val="00F93931"/>
    <w:rsid w:val="00F94F8A"/>
    <w:rsid w:val="00F94FF3"/>
    <w:rsid w:val="00F95125"/>
    <w:rsid w:val="00F958F1"/>
    <w:rsid w:val="00F96155"/>
    <w:rsid w:val="00F96CB7"/>
    <w:rsid w:val="00F97C14"/>
    <w:rsid w:val="00F97F30"/>
    <w:rsid w:val="00FA02C1"/>
    <w:rsid w:val="00FA1D4F"/>
    <w:rsid w:val="00FA39BE"/>
    <w:rsid w:val="00FA44BB"/>
    <w:rsid w:val="00FA5CD9"/>
    <w:rsid w:val="00FA71B8"/>
    <w:rsid w:val="00FA77EC"/>
    <w:rsid w:val="00FA7A06"/>
    <w:rsid w:val="00FB0758"/>
    <w:rsid w:val="00FB099B"/>
    <w:rsid w:val="00FB0DFB"/>
    <w:rsid w:val="00FB1077"/>
    <w:rsid w:val="00FB12A7"/>
    <w:rsid w:val="00FB13C0"/>
    <w:rsid w:val="00FB1537"/>
    <w:rsid w:val="00FB1D0E"/>
    <w:rsid w:val="00FB2538"/>
    <w:rsid w:val="00FB38B4"/>
    <w:rsid w:val="00FB3F9A"/>
    <w:rsid w:val="00FB46ED"/>
    <w:rsid w:val="00FB480C"/>
    <w:rsid w:val="00FB4DA7"/>
    <w:rsid w:val="00FB6CCC"/>
    <w:rsid w:val="00FB7A4D"/>
    <w:rsid w:val="00FB7CC0"/>
    <w:rsid w:val="00FB7DAB"/>
    <w:rsid w:val="00FC01BD"/>
    <w:rsid w:val="00FC0B6F"/>
    <w:rsid w:val="00FC0DED"/>
    <w:rsid w:val="00FC0EF6"/>
    <w:rsid w:val="00FC117B"/>
    <w:rsid w:val="00FC180C"/>
    <w:rsid w:val="00FC337D"/>
    <w:rsid w:val="00FC35DC"/>
    <w:rsid w:val="00FC5762"/>
    <w:rsid w:val="00FC5B41"/>
    <w:rsid w:val="00FC5D76"/>
    <w:rsid w:val="00FC5EF0"/>
    <w:rsid w:val="00FC60FC"/>
    <w:rsid w:val="00FC6288"/>
    <w:rsid w:val="00FC6929"/>
    <w:rsid w:val="00FC7A6E"/>
    <w:rsid w:val="00FC7C35"/>
    <w:rsid w:val="00FD02A0"/>
    <w:rsid w:val="00FD03D1"/>
    <w:rsid w:val="00FD05E4"/>
    <w:rsid w:val="00FD0744"/>
    <w:rsid w:val="00FD13C2"/>
    <w:rsid w:val="00FD35D2"/>
    <w:rsid w:val="00FD4E85"/>
    <w:rsid w:val="00FD5128"/>
    <w:rsid w:val="00FD7522"/>
    <w:rsid w:val="00FD7CF5"/>
    <w:rsid w:val="00FE05B2"/>
    <w:rsid w:val="00FE1EC0"/>
    <w:rsid w:val="00FE2D13"/>
    <w:rsid w:val="00FE3A4F"/>
    <w:rsid w:val="00FE3C8D"/>
    <w:rsid w:val="00FE644C"/>
    <w:rsid w:val="00FE7E3C"/>
    <w:rsid w:val="00FF051E"/>
    <w:rsid w:val="00FF0991"/>
    <w:rsid w:val="00FF1392"/>
    <w:rsid w:val="00FF1FC6"/>
    <w:rsid w:val="00FF2A64"/>
    <w:rsid w:val="00FF3E79"/>
    <w:rsid w:val="00FF46C5"/>
    <w:rsid w:val="00FF543B"/>
    <w:rsid w:val="00FF5D06"/>
    <w:rsid w:val="00FF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872D27"/>
  <w15:chartTrackingRefBased/>
  <w15:docId w15:val="{ACD380A5-BC00-4E0C-9619-1073AC9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4E"/>
    <w:pPr>
      <w:spacing w:after="200" w:line="276" w:lineRule="auto"/>
    </w:pPr>
    <w:rPr>
      <w:sz w:val="24"/>
      <w:lang w:val="en-GB"/>
    </w:rPr>
  </w:style>
  <w:style w:type="paragraph" w:styleId="Overskrift1">
    <w:name w:val="heading 1"/>
    <w:basedOn w:val="Normal"/>
    <w:next w:val="Normal"/>
    <w:link w:val="Overskrift1Tegn"/>
    <w:uiPriority w:val="9"/>
    <w:qFormat/>
    <w:rsid w:val="00197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7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454CD"/>
    <w:pPr>
      <w:keepNext/>
      <w:keepLines/>
      <w:numPr>
        <w:ilvl w:val="2"/>
        <w:numId w:val="4"/>
      </w:numPr>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1454C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454C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454C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1454C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1454C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54C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755C"/>
    <w:pPr>
      <w:ind w:left="720"/>
      <w:contextualSpacing/>
    </w:pPr>
  </w:style>
  <w:style w:type="character" w:customStyle="1" w:styleId="Overskrift1Tegn">
    <w:name w:val="Overskrift 1 Tegn"/>
    <w:basedOn w:val="Standardskrifttypeiafsnit"/>
    <w:link w:val="Overskrift1"/>
    <w:uiPriority w:val="9"/>
    <w:rsid w:val="00B1755C"/>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9"/>
    <w:rsid w:val="00034E32"/>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1454CD"/>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rsid w:val="001454CD"/>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1454CD"/>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1454CD"/>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1454CD"/>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1454CD"/>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1454CD"/>
    <w:rPr>
      <w:rFonts w:asciiTheme="majorHAnsi" w:eastAsiaTheme="majorEastAsia" w:hAnsiTheme="majorHAnsi" w:cstheme="majorBidi"/>
      <w:i/>
      <w:iCs/>
      <w:color w:val="272727" w:themeColor="text1" w:themeTint="D8"/>
      <w:sz w:val="21"/>
      <w:szCs w:val="21"/>
      <w:lang w:val="da-DK"/>
    </w:rPr>
  </w:style>
  <w:style w:type="paragraph" w:styleId="Ingenafstand">
    <w:name w:val="No Spacing"/>
    <w:uiPriority w:val="1"/>
    <w:qFormat/>
    <w:rsid w:val="0009227E"/>
    <w:pPr>
      <w:spacing w:after="0" w:line="240" w:lineRule="auto"/>
    </w:pPr>
    <w:rPr>
      <w:lang w:val="da-DK"/>
    </w:rPr>
  </w:style>
  <w:style w:type="paragraph" w:customStyle="1" w:styleId="Default">
    <w:name w:val="Default"/>
    <w:rsid w:val="00CC1C40"/>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0525B7"/>
    <w:rPr>
      <w:sz w:val="16"/>
      <w:szCs w:val="16"/>
    </w:rPr>
  </w:style>
  <w:style w:type="paragraph" w:styleId="Kommentartekst">
    <w:name w:val="annotation text"/>
    <w:basedOn w:val="Normal"/>
    <w:link w:val="KommentartekstTegn"/>
    <w:uiPriority w:val="99"/>
    <w:unhideWhenUsed/>
    <w:rsid w:val="000525B7"/>
    <w:pPr>
      <w:spacing w:line="240" w:lineRule="auto"/>
    </w:pPr>
    <w:rPr>
      <w:sz w:val="20"/>
      <w:szCs w:val="20"/>
    </w:rPr>
  </w:style>
  <w:style w:type="character" w:customStyle="1" w:styleId="KommentartekstTegn">
    <w:name w:val="Kommentartekst Tegn"/>
    <w:basedOn w:val="Standardskrifttypeiafsnit"/>
    <w:link w:val="Kommentartekst"/>
    <w:uiPriority w:val="99"/>
    <w:rsid w:val="000525B7"/>
    <w:rPr>
      <w:sz w:val="20"/>
      <w:szCs w:val="20"/>
      <w:lang w:val="da-DK"/>
    </w:rPr>
  </w:style>
  <w:style w:type="paragraph" w:styleId="Kommentaremne">
    <w:name w:val="annotation subject"/>
    <w:basedOn w:val="Kommentartekst"/>
    <w:next w:val="Kommentartekst"/>
    <w:link w:val="KommentaremneTegn"/>
    <w:uiPriority w:val="99"/>
    <w:semiHidden/>
    <w:unhideWhenUsed/>
    <w:rsid w:val="000525B7"/>
    <w:rPr>
      <w:b/>
      <w:bCs/>
    </w:rPr>
  </w:style>
  <w:style w:type="character" w:customStyle="1" w:styleId="KommentaremneTegn">
    <w:name w:val="Kommentaremne Tegn"/>
    <w:basedOn w:val="KommentartekstTegn"/>
    <w:link w:val="Kommentaremne"/>
    <w:uiPriority w:val="99"/>
    <w:semiHidden/>
    <w:rsid w:val="000525B7"/>
    <w:rPr>
      <w:b/>
      <w:bCs/>
      <w:sz w:val="20"/>
      <w:szCs w:val="20"/>
      <w:lang w:val="da-DK"/>
    </w:rPr>
  </w:style>
  <w:style w:type="paragraph" w:styleId="Markeringsbobletekst">
    <w:name w:val="Balloon Text"/>
    <w:basedOn w:val="Normal"/>
    <w:link w:val="MarkeringsbobletekstTegn"/>
    <w:uiPriority w:val="99"/>
    <w:semiHidden/>
    <w:unhideWhenUsed/>
    <w:rsid w:val="000525B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25B7"/>
    <w:rPr>
      <w:rFonts w:ascii="Segoe UI" w:hAnsi="Segoe UI" w:cs="Segoe UI"/>
      <w:sz w:val="18"/>
      <w:szCs w:val="18"/>
      <w:lang w:val="da-DK"/>
    </w:rPr>
  </w:style>
  <w:style w:type="paragraph" w:styleId="NormalWeb">
    <w:name w:val="Normal (Web)"/>
    <w:basedOn w:val="Normal"/>
    <w:uiPriority w:val="99"/>
    <w:unhideWhenUsed/>
    <w:rsid w:val="007F582B"/>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Standardskrifttypeiafsnit"/>
    <w:uiPriority w:val="99"/>
    <w:unhideWhenUsed/>
    <w:rsid w:val="00327452"/>
    <w:rPr>
      <w:color w:val="0000FF"/>
      <w:u w:val="single"/>
    </w:rPr>
  </w:style>
  <w:style w:type="character" w:styleId="Fremhv">
    <w:name w:val="Emphasis"/>
    <w:basedOn w:val="Standardskrifttypeiafsnit"/>
    <w:uiPriority w:val="20"/>
    <w:qFormat/>
    <w:rsid w:val="00327452"/>
    <w:rPr>
      <w:i/>
      <w:iCs/>
    </w:rPr>
  </w:style>
  <w:style w:type="paragraph" w:styleId="Fodnotetekst">
    <w:name w:val="footnote text"/>
    <w:basedOn w:val="Normal"/>
    <w:link w:val="FodnotetekstTegn"/>
    <w:uiPriority w:val="99"/>
    <w:semiHidden/>
    <w:unhideWhenUsed/>
    <w:rsid w:val="00603A5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03A57"/>
    <w:rPr>
      <w:sz w:val="20"/>
      <w:szCs w:val="20"/>
      <w:lang w:val="da-DK"/>
    </w:rPr>
  </w:style>
  <w:style w:type="character" w:styleId="Fodnotehenvisning">
    <w:name w:val="footnote reference"/>
    <w:basedOn w:val="Standardskrifttypeiafsnit"/>
    <w:uiPriority w:val="99"/>
    <w:semiHidden/>
    <w:unhideWhenUsed/>
    <w:rsid w:val="00603A57"/>
    <w:rPr>
      <w:vertAlign w:val="superscript"/>
    </w:rPr>
  </w:style>
  <w:style w:type="character" w:customStyle="1" w:styleId="element-citation">
    <w:name w:val="element-citation"/>
    <w:basedOn w:val="Standardskrifttypeiafsnit"/>
    <w:rsid w:val="00A55A53"/>
  </w:style>
  <w:style w:type="character" w:customStyle="1" w:styleId="ref-journal">
    <w:name w:val="ref-journal"/>
    <w:basedOn w:val="Standardskrifttypeiafsnit"/>
    <w:rsid w:val="00A55A53"/>
  </w:style>
  <w:style w:type="character" w:customStyle="1" w:styleId="ref-vol">
    <w:name w:val="ref-vol"/>
    <w:basedOn w:val="Standardskrifttypeiafsnit"/>
    <w:rsid w:val="00A55A53"/>
  </w:style>
  <w:style w:type="character" w:customStyle="1" w:styleId="nowrap">
    <w:name w:val="nowrap"/>
    <w:basedOn w:val="Standardskrifttypeiafsnit"/>
    <w:rsid w:val="00A55A53"/>
  </w:style>
  <w:style w:type="character" w:customStyle="1" w:styleId="highwire-cite-metadata-journal">
    <w:name w:val="highwire-cite-metadata-journal"/>
    <w:basedOn w:val="Standardskrifttypeiafsnit"/>
    <w:rsid w:val="003678FB"/>
  </w:style>
  <w:style w:type="character" w:customStyle="1" w:styleId="highwire-cite-metadata-date">
    <w:name w:val="highwire-cite-metadata-date"/>
    <w:basedOn w:val="Standardskrifttypeiafsnit"/>
    <w:rsid w:val="003678FB"/>
  </w:style>
  <w:style w:type="character" w:customStyle="1" w:styleId="highwire-cite-metadata-volume-pages">
    <w:name w:val="highwire-cite-metadata-volume-pages"/>
    <w:basedOn w:val="Standardskrifttypeiafsnit"/>
    <w:rsid w:val="003678FB"/>
  </w:style>
  <w:style w:type="character" w:customStyle="1" w:styleId="highwire-cite-metadata-doi">
    <w:name w:val="highwire-cite-metadata-doi"/>
    <w:basedOn w:val="Standardskrifttypeiafsnit"/>
    <w:rsid w:val="003678FB"/>
  </w:style>
  <w:style w:type="character" w:customStyle="1" w:styleId="highwire-cite-authors">
    <w:name w:val="highwire-cite-authors"/>
    <w:basedOn w:val="Standardskrifttypeiafsnit"/>
    <w:rsid w:val="00EC27A5"/>
  </w:style>
  <w:style w:type="character" w:customStyle="1" w:styleId="nlm-surname">
    <w:name w:val="nlm-surname"/>
    <w:basedOn w:val="Standardskrifttypeiafsnit"/>
    <w:rsid w:val="00EC27A5"/>
  </w:style>
  <w:style w:type="character" w:customStyle="1" w:styleId="highwire-cite-year">
    <w:name w:val="highwire-cite-year"/>
    <w:basedOn w:val="Standardskrifttypeiafsnit"/>
    <w:rsid w:val="00EC27A5"/>
  </w:style>
  <w:style w:type="character" w:customStyle="1" w:styleId="highwire-cite-title">
    <w:name w:val="highwire-cite-title"/>
    <w:basedOn w:val="Standardskrifttypeiafsnit"/>
    <w:rsid w:val="00EC27A5"/>
  </w:style>
  <w:style w:type="character" w:customStyle="1" w:styleId="highwire-cite-journal">
    <w:name w:val="highwire-cite-journal"/>
    <w:basedOn w:val="Standardskrifttypeiafsnit"/>
    <w:rsid w:val="00EC27A5"/>
  </w:style>
  <w:style w:type="character" w:customStyle="1" w:styleId="highwire-cite-volume-issue">
    <w:name w:val="highwire-cite-volume-issue"/>
    <w:basedOn w:val="Standardskrifttypeiafsnit"/>
    <w:rsid w:val="00EC27A5"/>
  </w:style>
  <w:style w:type="character" w:customStyle="1" w:styleId="highwire-cite-pages">
    <w:name w:val="highwire-cite-pages"/>
    <w:basedOn w:val="Standardskrifttypeiafsnit"/>
    <w:rsid w:val="00EC27A5"/>
  </w:style>
  <w:style w:type="character" w:customStyle="1" w:styleId="highwire-cite-doi">
    <w:name w:val="highwire-cite-doi"/>
    <w:basedOn w:val="Standardskrifttypeiafsnit"/>
    <w:rsid w:val="00EC27A5"/>
  </w:style>
  <w:style w:type="character" w:customStyle="1" w:styleId="rmq-annotator-hl">
    <w:name w:val="rmq-annotator-hl"/>
    <w:basedOn w:val="Standardskrifttypeiafsnit"/>
    <w:rsid w:val="00DF16A4"/>
  </w:style>
  <w:style w:type="character" w:styleId="Strk">
    <w:name w:val="Strong"/>
    <w:basedOn w:val="Standardskrifttypeiafsnit"/>
    <w:uiPriority w:val="22"/>
    <w:qFormat/>
    <w:rsid w:val="00A65D63"/>
    <w:rPr>
      <w:b/>
      <w:bCs/>
    </w:rPr>
  </w:style>
  <w:style w:type="character" w:customStyle="1" w:styleId="highwire-citation-authors">
    <w:name w:val="highwire-citation-authors"/>
    <w:basedOn w:val="Standardskrifttypeiafsnit"/>
    <w:rsid w:val="00117F93"/>
  </w:style>
  <w:style w:type="character" w:customStyle="1" w:styleId="highwire-citation-author">
    <w:name w:val="highwire-citation-author"/>
    <w:basedOn w:val="Standardskrifttypeiafsnit"/>
    <w:rsid w:val="00117F93"/>
  </w:style>
  <w:style w:type="character" w:customStyle="1" w:styleId="nlm-given-names">
    <w:name w:val="nlm-given-names"/>
    <w:basedOn w:val="Standardskrifttypeiafsnit"/>
    <w:rsid w:val="00117F93"/>
  </w:style>
  <w:style w:type="character" w:customStyle="1" w:styleId="highwire-cite-metadata-volume">
    <w:name w:val="highwire-cite-metadata-volume"/>
    <w:basedOn w:val="Standardskrifttypeiafsnit"/>
    <w:rsid w:val="00117F93"/>
  </w:style>
  <w:style w:type="character" w:customStyle="1" w:styleId="highwire-cite-metadata-issue">
    <w:name w:val="highwire-cite-metadata-issue"/>
    <w:basedOn w:val="Standardskrifttypeiafsnit"/>
    <w:rsid w:val="00117F93"/>
  </w:style>
  <w:style w:type="character" w:customStyle="1" w:styleId="highwire-cite-metadata-pages">
    <w:name w:val="highwire-cite-metadata-pages"/>
    <w:basedOn w:val="Standardskrifttypeiafsnit"/>
    <w:rsid w:val="00117F93"/>
  </w:style>
  <w:style w:type="character" w:customStyle="1" w:styleId="label">
    <w:name w:val="label"/>
    <w:basedOn w:val="Standardskrifttypeiafsnit"/>
    <w:rsid w:val="00117F93"/>
  </w:style>
  <w:style w:type="paragraph" w:customStyle="1" w:styleId="tiny-space-below">
    <w:name w:val="tiny-space-below"/>
    <w:basedOn w:val="Normal"/>
    <w:rsid w:val="00045E71"/>
    <w:pPr>
      <w:spacing w:before="100" w:beforeAutospacing="1" w:after="100" w:afterAutospacing="1" w:line="240" w:lineRule="auto"/>
    </w:pPr>
    <w:rPr>
      <w:rFonts w:ascii="Times New Roman" w:eastAsia="Times New Roman" w:hAnsi="Times New Roman" w:cs="Times New Roman"/>
      <w:szCs w:val="24"/>
      <w:lang w:val="en-US"/>
    </w:rPr>
  </w:style>
  <w:style w:type="character" w:styleId="HTML-citat">
    <w:name w:val="HTML Cite"/>
    <w:basedOn w:val="Standardskrifttypeiafsnit"/>
    <w:uiPriority w:val="99"/>
    <w:semiHidden/>
    <w:unhideWhenUsed/>
    <w:rsid w:val="00045E71"/>
    <w:rPr>
      <w:i/>
      <w:iCs/>
    </w:rPr>
  </w:style>
  <w:style w:type="character" w:customStyle="1" w:styleId="show-context-button">
    <w:name w:val="show-context-button"/>
    <w:basedOn w:val="Standardskrifttypeiafsnit"/>
    <w:rsid w:val="00045E71"/>
  </w:style>
  <w:style w:type="character" w:customStyle="1" w:styleId="visually-hidden">
    <w:name w:val="visually-hidden"/>
    <w:basedOn w:val="Standardskrifttypeiafsnit"/>
    <w:rsid w:val="00045E71"/>
  </w:style>
  <w:style w:type="character" w:customStyle="1" w:styleId="indented-counter">
    <w:name w:val="indented-counter"/>
    <w:basedOn w:val="Standardskrifttypeiafsnit"/>
    <w:rsid w:val="00045E71"/>
  </w:style>
  <w:style w:type="character" w:customStyle="1" w:styleId="ref-label">
    <w:name w:val="ref-label"/>
    <w:basedOn w:val="Standardskrifttypeiafsnit"/>
    <w:rsid w:val="009A2C9F"/>
  </w:style>
  <w:style w:type="character" w:customStyle="1" w:styleId="cit-auth">
    <w:name w:val="cit-auth"/>
    <w:basedOn w:val="Standardskrifttypeiafsnit"/>
    <w:rsid w:val="009A2C9F"/>
  </w:style>
  <w:style w:type="character" w:customStyle="1" w:styleId="cit-name-surname">
    <w:name w:val="cit-name-surname"/>
    <w:basedOn w:val="Standardskrifttypeiafsnit"/>
    <w:rsid w:val="009A2C9F"/>
  </w:style>
  <w:style w:type="character" w:customStyle="1" w:styleId="cit-name-given-names">
    <w:name w:val="cit-name-given-names"/>
    <w:basedOn w:val="Standardskrifttypeiafsnit"/>
    <w:rsid w:val="009A2C9F"/>
  </w:style>
  <w:style w:type="character" w:customStyle="1" w:styleId="cit-etal">
    <w:name w:val="cit-etal"/>
    <w:basedOn w:val="Standardskrifttypeiafsnit"/>
    <w:rsid w:val="009A2C9F"/>
  </w:style>
  <w:style w:type="character" w:customStyle="1" w:styleId="cit-article-title">
    <w:name w:val="cit-article-title"/>
    <w:basedOn w:val="Standardskrifttypeiafsnit"/>
    <w:rsid w:val="009A2C9F"/>
  </w:style>
  <w:style w:type="character" w:customStyle="1" w:styleId="cit-pub-date">
    <w:name w:val="cit-pub-date"/>
    <w:basedOn w:val="Standardskrifttypeiafsnit"/>
    <w:rsid w:val="009A2C9F"/>
  </w:style>
  <w:style w:type="character" w:customStyle="1" w:styleId="cit-vol">
    <w:name w:val="cit-vol"/>
    <w:basedOn w:val="Standardskrifttypeiafsnit"/>
    <w:rsid w:val="009A2C9F"/>
  </w:style>
  <w:style w:type="character" w:customStyle="1" w:styleId="cit-issue">
    <w:name w:val="cit-issue"/>
    <w:basedOn w:val="Standardskrifttypeiafsnit"/>
    <w:rsid w:val="009A2C9F"/>
  </w:style>
  <w:style w:type="character" w:customStyle="1" w:styleId="cit-fpage">
    <w:name w:val="cit-fpage"/>
    <w:basedOn w:val="Standardskrifttypeiafsnit"/>
    <w:rsid w:val="009A2C9F"/>
  </w:style>
  <w:style w:type="character" w:customStyle="1" w:styleId="cit-lpage">
    <w:name w:val="cit-lpage"/>
    <w:basedOn w:val="Standardskrifttypeiafsnit"/>
    <w:rsid w:val="009A2C9F"/>
  </w:style>
  <w:style w:type="character" w:customStyle="1" w:styleId="cit-reflinks-abstract">
    <w:name w:val="cit-reflinks-abstract"/>
    <w:basedOn w:val="Standardskrifttypeiafsnit"/>
    <w:rsid w:val="009A2C9F"/>
  </w:style>
  <w:style w:type="character" w:customStyle="1" w:styleId="cit-sep">
    <w:name w:val="cit-sep"/>
    <w:basedOn w:val="Standardskrifttypeiafsnit"/>
    <w:rsid w:val="009A2C9F"/>
  </w:style>
  <w:style w:type="character" w:customStyle="1" w:styleId="cit-reflinks-full-text">
    <w:name w:val="cit-reflinks-full-text"/>
    <w:basedOn w:val="Standardskrifttypeiafsnit"/>
    <w:rsid w:val="009A2C9F"/>
  </w:style>
  <w:style w:type="character" w:customStyle="1" w:styleId="free-full-text">
    <w:name w:val="free-full-text"/>
    <w:basedOn w:val="Standardskrifttypeiafsnit"/>
    <w:rsid w:val="009A2C9F"/>
  </w:style>
  <w:style w:type="paragraph" w:styleId="Strktcitat">
    <w:name w:val="Intense Quote"/>
    <w:basedOn w:val="Normal"/>
    <w:next w:val="Normal"/>
    <w:link w:val="StrktcitatTegn"/>
    <w:uiPriority w:val="30"/>
    <w:qFormat/>
    <w:rsid w:val="004804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80424"/>
    <w:rPr>
      <w:i/>
      <w:iCs/>
      <w:color w:val="5B9BD5" w:themeColor="accent1"/>
      <w:lang w:val="da-DK"/>
    </w:rPr>
  </w:style>
  <w:style w:type="paragraph" w:styleId="Korrektur">
    <w:name w:val="Revision"/>
    <w:hidden/>
    <w:uiPriority w:val="99"/>
    <w:semiHidden/>
    <w:rsid w:val="004538FF"/>
    <w:pPr>
      <w:spacing w:after="0" w:line="240" w:lineRule="auto"/>
    </w:pPr>
    <w:rPr>
      <w:lang w:val="da-DK"/>
    </w:rPr>
  </w:style>
  <w:style w:type="paragraph" w:styleId="Billedtekst">
    <w:name w:val="caption"/>
    <w:basedOn w:val="Normal"/>
    <w:next w:val="Normal"/>
    <w:uiPriority w:val="35"/>
    <w:unhideWhenUsed/>
    <w:qFormat/>
    <w:rsid w:val="004666AF"/>
    <w:pPr>
      <w:spacing w:line="240" w:lineRule="auto"/>
    </w:pPr>
    <w:rPr>
      <w:i/>
      <w:iCs/>
      <w:color w:val="44546A" w:themeColor="text2"/>
      <w:sz w:val="18"/>
      <w:szCs w:val="18"/>
    </w:rPr>
  </w:style>
  <w:style w:type="paragraph" w:styleId="Overskrift">
    <w:name w:val="TOC Heading"/>
    <w:basedOn w:val="Overskrift1"/>
    <w:next w:val="Normal"/>
    <w:uiPriority w:val="39"/>
    <w:unhideWhenUsed/>
    <w:qFormat/>
    <w:rsid w:val="004666AF"/>
    <w:pPr>
      <w:spacing w:line="259" w:lineRule="auto"/>
      <w:outlineLvl w:val="9"/>
    </w:pPr>
    <w:rPr>
      <w:lang w:val="en-US"/>
    </w:rPr>
  </w:style>
  <w:style w:type="paragraph" w:styleId="Indholdsfortegnelse1">
    <w:name w:val="toc 1"/>
    <w:basedOn w:val="Normal"/>
    <w:next w:val="Normal"/>
    <w:autoRedefine/>
    <w:uiPriority w:val="39"/>
    <w:unhideWhenUsed/>
    <w:rsid w:val="004666AF"/>
    <w:pPr>
      <w:spacing w:after="100"/>
    </w:pPr>
  </w:style>
  <w:style w:type="paragraph" w:styleId="Indholdsfortegnelse2">
    <w:name w:val="toc 2"/>
    <w:basedOn w:val="Normal"/>
    <w:next w:val="Normal"/>
    <w:autoRedefine/>
    <w:uiPriority w:val="39"/>
    <w:unhideWhenUsed/>
    <w:rsid w:val="004666AF"/>
    <w:pPr>
      <w:spacing w:after="100"/>
      <w:ind w:left="220"/>
    </w:pPr>
  </w:style>
  <w:style w:type="paragraph" w:styleId="Indholdsfortegnelse3">
    <w:name w:val="toc 3"/>
    <w:basedOn w:val="Normal"/>
    <w:next w:val="Normal"/>
    <w:autoRedefine/>
    <w:uiPriority w:val="39"/>
    <w:unhideWhenUsed/>
    <w:rsid w:val="004666AF"/>
    <w:pPr>
      <w:spacing w:after="100"/>
      <w:ind w:left="440"/>
    </w:pPr>
  </w:style>
  <w:style w:type="table" w:styleId="Tabel-Gitter">
    <w:name w:val="Table Grid"/>
    <w:basedOn w:val="Tabel-Normal"/>
    <w:uiPriority w:val="39"/>
    <w:rsid w:val="0015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55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55D6D"/>
    <w:rPr>
      <w:rFonts w:asciiTheme="majorHAnsi" w:eastAsiaTheme="majorEastAsia" w:hAnsiTheme="majorHAnsi" w:cstheme="majorBidi"/>
      <w:spacing w:val="-10"/>
      <w:kern w:val="28"/>
      <w:sz w:val="56"/>
      <w:szCs w:val="56"/>
      <w:lang w:val="da-DK"/>
    </w:rPr>
  </w:style>
  <w:style w:type="paragraph" w:styleId="Citat">
    <w:name w:val="Quote"/>
    <w:basedOn w:val="Normal"/>
    <w:next w:val="Normal"/>
    <w:link w:val="CitatTegn"/>
    <w:uiPriority w:val="29"/>
    <w:qFormat/>
    <w:rsid w:val="00155D6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55D6D"/>
    <w:rPr>
      <w:i/>
      <w:iCs/>
      <w:color w:val="404040" w:themeColor="text1" w:themeTint="BF"/>
      <w:lang w:val="da-DK"/>
    </w:rPr>
  </w:style>
  <w:style w:type="character" w:styleId="Svagfremhvning">
    <w:name w:val="Subtle Emphasis"/>
    <w:basedOn w:val="Standardskrifttypeiafsnit"/>
    <w:uiPriority w:val="19"/>
    <w:qFormat/>
    <w:rsid w:val="00155D6D"/>
    <w:rPr>
      <w:i/>
      <w:iCs/>
      <w:color w:val="404040" w:themeColor="text1" w:themeTint="BF"/>
    </w:rPr>
  </w:style>
  <w:style w:type="paragraph" w:styleId="Listeoverfigurer">
    <w:name w:val="table of figures"/>
    <w:basedOn w:val="Normal"/>
    <w:next w:val="Normal"/>
    <w:uiPriority w:val="99"/>
    <w:unhideWhenUsed/>
    <w:rsid w:val="00066FC1"/>
    <w:pPr>
      <w:spacing w:after="0"/>
    </w:pPr>
  </w:style>
  <w:style w:type="character" w:styleId="Linjenummer">
    <w:name w:val="line number"/>
    <w:basedOn w:val="Standardskrifttypeiafsnit"/>
    <w:uiPriority w:val="99"/>
    <w:semiHidden/>
    <w:unhideWhenUsed/>
    <w:rsid w:val="007F0499"/>
  </w:style>
  <w:style w:type="paragraph" w:styleId="Sidehoved">
    <w:name w:val="header"/>
    <w:basedOn w:val="Normal"/>
    <w:link w:val="SidehovedTegn"/>
    <w:uiPriority w:val="99"/>
    <w:unhideWhenUsed/>
    <w:rsid w:val="007F0499"/>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F0499"/>
    <w:rPr>
      <w:lang w:val="da-DK"/>
    </w:rPr>
  </w:style>
  <w:style w:type="paragraph" w:styleId="Sidefod">
    <w:name w:val="footer"/>
    <w:basedOn w:val="Normal"/>
    <w:link w:val="SidefodTegn"/>
    <w:uiPriority w:val="99"/>
    <w:unhideWhenUsed/>
    <w:rsid w:val="007F0499"/>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F0499"/>
    <w:rPr>
      <w:lang w:val="da-DK"/>
    </w:rPr>
  </w:style>
  <w:style w:type="paragraph" w:styleId="Opstilling-punkttegn">
    <w:name w:val="List Bullet"/>
    <w:basedOn w:val="Normal"/>
    <w:uiPriority w:val="99"/>
    <w:unhideWhenUsed/>
    <w:rsid w:val="004E43DA"/>
    <w:pPr>
      <w:numPr>
        <w:numId w:val="28"/>
      </w:numPr>
      <w:contextualSpacing/>
    </w:pPr>
  </w:style>
  <w:style w:type="character" w:styleId="BesgtLink">
    <w:name w:val="FollowedHyperlink"/>
    <w:basedOn w:val="Standardskrifttypeiafsnit"/>
    <w:uiPriority w:val="99"/>
    <w:semiHidden/>
    <w:unhideWhenUsed/>
    <w:rsid w:val="0019722B"/>
    <w:rPr>
      <w:color w:val="954F72" w:themeColor="followedHyperlink"/>
      <w:u w:val="single"/>
    </w:rPr>
  </w:style>
  <w:style w:type="paragraph" w:styleId="Opstilling-talellerbogst">
    <w:name w:val="List Number"/>
    <w:basedOn w:val="Normal"/>
    <w:uiPriority w:val="99"/>
    <w:unhideWhenUsed/>
    <w:rsid w:val="00FC180C"/>
    <w:pPr>
      <w:numPr>
        <w:numId w:val="29"/>
      </w:numPr>
      <w:contextualSpacing/>
    </w:pPr>
  </w:style>
  <w:style w:type="character" w:customStyle="1" w:styleId="info-card-footnote">
    <w:name w:val="info-card-footnote"/>
    <w:basedOn w:val="Standardskrifttypeiafsnit"/>
    <w:rsid w:val="00B04C39"/>
  </w:style>
  <w:style w:type="paragraph" w:customStyle="1" w:styleId="xl65">
    <w:name w:val="xl65"/>
    <w:basedOn w:val="Normal"/>
    <w:rsid w:val="003955FE"/>
    <w:pPr>
      <w:pBdr>
        <w:top w:val="single" w:sz="4" w:space="0" w:color="auto"/>
        <w:left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66">
    <w:name w:val="xl66"/>
    <w:basedOn w:val="Normal"/>
    <w:rsid w:val="003955FE"/>
    <w:pPr>
      <w:pBdr>
        <w:top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67">
    <w:name w:val="xl67"/>
    <w:basedOn w:val="Normal"/>
    <w:rsid w:val="003955FE"/>
    <w:pPr>
      <w:pBdr>
        <w:top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68">
    <w:name w:val="xl68"/>
    <w:basedOn w:val="Normal"/>
    <w:rsid w:val="003955FE"/>
    <w:pPr>
      <w:pBdr>
        <w:top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69">
    <w:name w:val="xl69"/>
    <w:basedOn w:val="Normal"/>
    <w:rsid w:val="003955FE"/>
    <w:pPr>
      <w:pBdr>
        <w:top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0">
    <w:name w:val="xl70"/>
    <w:basedOn w:val="Normal"/>
    <w:rsid w:val="003955FE"/>
    <w:pPr>
      <w:pBdr>
        <w:top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1">
    <w:name w:val="xl71"/>
    <w:basedOn w:val="Normal"/>
    <w:rsid w:val="003955FE"/>
    <w:pPr>
      <w:pBdr>
        <w:top w:val="single" w:sz="4" w:space="0" w:color="auto"/>
        <w:right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2">
    <w:name w:val="xl72"/>
    <w:basedOn w:val="Normal"/>
    <w:rsid w:val="003955FE"/>
    <w:pPr>
      <w:pBdr>
        <w:left w:val="single" w:sz="4" w:space="0" w:color="auto"/>
        <w:bottom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3">
    <w:name w:val="xl73"/>
    <w:basedOn w:val="Normal"/>
    <w:rsid w:val="003955FE"/>
    <w:pPr>
      <w:pBdr>
        <w:bottom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4">
    <w:name w:val="xl74"/>
    <w:basedOn w:val="Normal"/>
    <w:rsid w:val="003955FE"/>
    <w:pPr>
      <w:pBdr>
        <w:bottom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5">
    <w:name w:val="xl75"/>
    <w:basedOn w:val="Normal"/>
    <w:rsid w:val="003955FE"/>
    <w:pPr>
      <w:pBdr>
        <w:bottom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6">
    <w:name w:val="xl76"/>
    <w:basedOn w:val="Normal"/>
    <w:rsid w:val="003955FE"/>
    <w:pPr>
      <w:pBdr>
        <w:bottom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7">
    <w:name w:val="xl77"/>
    <w:basedOn w:val="Normal"/>
    <w:rsid w:val="003955FE"/>
    <w:pPr>
      <w:pBdr>
        <w:bottom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8">
    <w:name w:val="xl78"/>
    <w:basedOn w:val="Normal"/>
    <w:rsid w:val="003955FE"/>
    <w:pPr>
      <w:pBdr>
        <w:bottom w:val="single" w:sz="4" w:space="0" w:color="auto"/>
        <w:right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79">
    <w:name w:val="xl79"/>
    <w:basedOn w:val="Normal"/>
    <w:rsid w:val="003955F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0">
    <w:name w:val="xl80"/>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1">
    <w:name w:val="xl81"/>
    <w:basedOn w:val="Normal"/>
    <w:rsid w:val="003955FE"/>
    <w:pP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82">
    <w:name w:val="xl82"/>
    <w:basedOn w:val="Normal"/>
    <w:rsid w:val="003955FE"/>
    <w:pPr>
      <w:pBdr>
        <w:bottom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83">
    <w:name w:val="xl83"/>
    <w:basedOn w:val="Normal"/>
    <w:rsid w:val="003955F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4">
    <w:name w:val="xl84"/>
    <w:basedOn w:val="Normal"/>
    <w:rsid w:val="003955FE"/>
    <w:pPr>
      <w:pBdr>
        <w:top w:val="single" w:sz="4" w:space="0" w:color="auto"/>
        <w:left w:val="single" w:sz="4" w:space="0" w:color="auto"/>
        <w:right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n-US"/>
    </w:rPr>
  </w:style>
  <w:style w:type="paragraph" w:customStyle="1" w:styleId="xl85">
    <w:name w:val="xl85"/>
    <w:basedOn w:val="Normal"/>
    <w:rsid w:val="003955FE"/>
    <w:pPr>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6">
    <w:name w:val="xl86"/>
    <w:basedOn w:val="Normal"/>
    <w:rsid w:val="003955FE"/>
    <w:pPr>
      <w:pBdr>
        <w:left w:val="single" w:sz="4" w:space="0" w:color="auto"/>
        <w:right w:val="single" w:sz="4" w:space="0" w:color="auto"/>
      </w:pBdr>
      <w:shd w:val="clear" w:color="000000" w:fill="595959"/>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7">
    <w:name w:val="xl87"/>
    <w:basedOn w:val="Normal"/>
    <w:rsid w:val="003955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8">
    <w:name w:val="xl88"/>
    <w:basedOn w:val="Normal"/>
    <w:rsid w:val="003955F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89">
    <w:name w:val="xl89"/>
    <w:basedOn w:val="Normal"/>
    <w:rsid w:val="003955F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0">
    <w:name w:val="xl90"/>
    <w:basedOn w:val="Normal"/>
    <w:rsid w:val="003955F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1">
    <w:name w:val="xl91"/>
    <w:basedOn w:val="Normal"/>
    <w:rsid w:val="003955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2">
    <w:name w:val="xl92"/>
    <w:basedOn w:val="Normal"/>
    <w:rsid w:val="003955F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3">
    <w:name w:val="xl93"/>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4">
    <w:name w:val="xl94"/>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5">
    <w:name w:val="xl95"/>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6">
    <w:name w:val="xl96"/>
    <w:basedOn w:val="Normal"/>
    <w:rsid w:val="003955F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7">
    <w:name w:val="xl97"/>
    <w:basedOn w:val="Normal"/>
    <w:rsid w:val="003955F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98">
    <w:name w:val="xl98"/>
    <w:basedOn w:val="Normal"/>
    <w:rsid w:val="003955FE"/>
    <w:pP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99">
    <w:name w:val="xl99"/>
    <w:basedOn w:val="Normal"/>
    <w:rsid w:val="003955FE"/>
    <w:pPr>
      <w:pBdr>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100">
    <w:name w:val="xl100"/>
    <w:basedOn w:val="Normal"/>
    <w:rsid w:val="003955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1">
    <w:name w:val="xl101"/>
    <w:basedOn w:val="Normal"/>
    <w:rsid w:val="003955F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2">
    <w:name w:val="xl102"/>
    <w:basedOn w:val="Normal"/>
    <w:rsid w:val="003955F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3">
    <w:name w:val="xl103"/>
    <w:basedOn w:val="Normal"/>
    <w:rsid w:val="003955FE"/>
    <w:pPr>
      <w:pBdr>
        <w:bottom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104">
    <w:name w:val="xl104"/>
    <w:basedOn w:val="Normal"/>
    <w:rsid w:val="003955F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5">
    <w:name w:val="xl105"/>
    <w:basedOn w:val="Normal"/>
    <w:rsid w:val="003955F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6">
    <w:name w:val="xl106"/>
    <w:basedOn w:val="Normal"/>
    <w:rsid w:val="003955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7">
    <w:name w:val="xl107"/>
    <w:basedOn w:val="Normal"/>
    <w:rsid w:val="003955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08">
    <w:name w:val="xl108"/>
    <w:basedOn w:val="Normal"/>
    <w:rsid w:val="003955FE"/>
    <w:pP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color w:val="006100"/>
      <w:szCs w:val="24"/>
      <w:lang w:val="en-US"/>
    </w:rPr>
  </w:style>
  <w:style w:type="paragraph" w:customStyle="1" w:styleId="xl109">
    <w:name w:val="xl109"/>
    <w:basedOn w:val="Normal"/>
    <w:rsid w:val="003955F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0">
    <w:name w:val="xl110"/>
    <w:basedOn w:val="Normal"/>
    <w:rsid w:val="003955F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1">
    <w:name w:val="xl111"/>
    <w:basedOn w:val="Normal"/>
    <w:rsid w:val="003955FE"/>
    <w:pPr>
      <w:pBdr>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112">
    <w:name w:val="xl112"/>
    <w:basedOn w:val="Normal"/>
    <w:rsid w:val="003955FE"/>
    <w:pPr>
      <w:pBdr>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lang w:val="en-US"/>
    </w:rPr>
  </w:style>
  <w:style w:type="paragraph" w:customStyle="1" w:styleId="xl113">
    <w:name w:val="xl113"/>
    <w:basedOn w:val="Normal"/>
    <w:rsid w:val="003955FE"/>
    <w:pP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Cs w:val="24"/>
      <w:lang w:val="en-US"/>
    </w:rPr>
  </w:style>
  <w:style w:type="paragraph" w:customStyle="1" w:styleId="xl114">
    <w:name w:val="xl114"/>
    <w:basedOn w:val="Normal"/>
    <w:rsid w:val="003955F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5">
    <w:name w:val="xl115"/>
    <w:basedOn w:val="Normal"/>
    <w:rsid w:val="003955F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6">
    <w:name w:val="xl116"/>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7">
    <w:name w:val="xl117"/>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8">
    <w:name w:val="xl118"/>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19">
    <w:name w:val="xl119"/>
    <w:basedOn w:val="Normal"/>
    <w:rsid w:val="003955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20">
    <w:name w:val="xl120"/>
    <w:basedOn w:val="Normal"/>
    <w:rsid w:val="003955F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21">
    <w:name w:val="xl121"/>
    <w:basedOn w:val="Normal"/>
    <w:rsid w:val="003955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val="en-US"/>
    </w:rPr>
  </w:style>
  <w:style w:type="paragraph" w:customStyle="1" w:styleId="xl122">
    <w:name w:val="xl122"/>
    <w:basedOn w:val="Normal"/>
    <w:rsid w:val="003955FE"/>
    <w:pPr>
      <w:pBdr>
        <w:bottom w:val="single" w:sz="4" w:space="0" w:color="auto"/>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Cs w:val="24"/>
      <w:lang w:val="en-US"/>
    </w:rPr>
  </w:style>
  <w:style w:type="character" w:customStyle="1" w:styleId="Ulstomtale1">
    <w:name w:val="Uløst omtale1"/>
    <w:basedOn w:val="Standardskrifttypeiafsnit"/>
    <w:uiPriority w:val="99"/>
    <w:semiHidden/>
    <w:unhideWhenUsed/>
    <w:rsid w:val="00D02441"/>
    <w:rPr>
      <w:color w:val="605E5C"/>
      <w:shd w:val="clear" w:color="auto" w:fill="E1DFDD"/>
    </w:rPr>
  </w:style>
  <w:style w:type="character" w:customStyle="1" w:styleId="parsubtitle">
    <w:name w:val="par_subtitle"/>
    <w:basedOn w:val="Standardskrifttypeiafsnit"/>
    <w:rsid w:val="008A04A5"/>
  </w:style>
  <w:style w:type="character" w:styleId="Slutnotehenvisning">
    <w:name w:val="endnote reference"/>
    <w:basedOn w:val="Standardskrifttypeiafsnit"/>
    <w:uiPriority w:val="99"/>
    <w:semiHidden/>
    <w:unhideWhenUsed/>
    <w:rsid w:val="00284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557">
      <w:bodyDiv w:val="1"/>
      <w:marLeft w:val="0"/>
      <w:marRight w:val="0"/>
      <w:marTop w:val="0"/>
      <w:marBottom w:val="0"/>
      <w:divBdr>
        <w:top w:val="none" w:sz="0" w:space="0" w:color="auto"/>
        <w:left w:val="none" w:sz="0" w:space="0" w:color="auto"/>
        <w:bottom w:val="none" w:sz="0" w:space="0" w:color="auto"/>
        <w:right w:val="none" w:sz="0" w:space="0" w:color="auto"/>
      </w:divBdr>
    </w:div>
    <w:div w:id="41752052">
      <w:bodyDiv w:val="1"/>
      <w:marLeft w:val="0"/>
      <w:marRight w:val="0"/>
      <w:marTop w:val="0"/>
      <w:marBottom w:val="0"/>
      <w:divBdr>
        <w:top w:val="none" w:sz="0" w:space="0" w:color="auto"/>
        <w:left w:val="none" w:sz="0" w:space="0" w:color="auto"/>
        <w:bottom w:val="none" w:sz="0" w:space="0" w:color="auto"/>
        <w:right w:val="none" w:sz="0" w:space="0" w:color="auto"/>
      </w:divBdr>
    </w:div>
    <w:div w:id="59376212">
      <w:bodyDiv w:val="1"/>
      <w:marLeft w:val="0"/>
      <w:marRight w:val="0"/>
      <w:marTop w:val="0"/>
      <w:marBottom w:val="0"/>
      <w:divBdr>
        <w:top w:val="none" w:sz="0" w:space="0" w:color="auto"/>
        <w:left w:val="none" w:sz="0" w:space="0" w:color="auto"/>
        <w:bottom w:val="none" w:sz="0" w:space="0" w:color="auto"/>
        <w:right w:val="none" w:sz="0" w:space="0" w:color="auto"/>
      </w:divBdr>
    </w:div>
    <w:div w:id="68427645">
      <w:bodyDiv w:val="1"/>
      <w:marLeft w:val="0"/>
      <w:marRight w:val="0"/>
      <w:marTop w:val="0"/>
      <w:marBottom w:val="0"/>
      <w:divBdr>
        <w:top w:val="none" w:sz="0" w:space="0" w:color="auto"/>
        <w:left w:val="none" w:sz="0" w:space="0" w:color="auto"/>
        <w:bottom w:val="none" w:sz="0" w:space="0" w:color="auto"/>
        <w:right w:val="none" w:sz="0" w:space="0" w:color="auto"/>
      </w:divBdr>
    </w:div>
    <w:div w:id="87433832">
      <w:bodyDiv w:val="1"/>
      <w:marLeft w:val="0"/>
      <w:marRight w:val="0"/>
      <w:marTop w:val="0"/>
      <w:marBottom w:val="0"/>
      <w:divBdr>
        <w:top w:val="none" w:sz="0" w:space="0" w:color="auto"/>
        <w:left w:val="none" w:sz="0" w:space="0" w:color="auto"/>
        <w:bottom w:val="none" w:sz="0" w:space="0" w:color="auto"/>
        <w:right w:val="none" w:sz="0" w:space="0" w:color="auto"/>
      </w:divBdr>
    </w:div>
    <w:div w:id="108933251">
      <w:bodyDiv w:val="1"/>
      <w:marLeft w:val="0"/>
      <w:marRight w:val="0"/>
      <w:marTop w:val="0"/>
      <w:marBottom w:val="0"/>
      <w:divBdr>
        <w:top w:val="none" w:sz="0" w:space="0" w:color="auto"/>
        <w:left w:val="none" w:sz="0" w:space="0" w:color="auto"/>
        <w:bottom w:val="none" w:sz="0" w:space="0" w:color="auto"/>
        <w:right w:val="none" w:sz="0" w:space="0" w:color="auto"/>
      </w:divBdr>
    </w:div>
    <w:div w:id="126900227">
      <w:bodyDiv w:val="1"/>
      <w:marLeft w:val="0"/>
      <w:marRight w:val="0"/>
      <w:marTop w:val="0"/>
      <w:marBottom w:val="0"/>
      <w:divBdr>
        <w:top w:val="none" w:sz="0" w:space="0" w:color="auto"/>
        <w:left w:val="none" w:sz="0" w:space="0" w:color="auto"/>
        <w:bottom w:val="none" w:sz="0" w:space="0" w:color="auto"/>
        <w:right w:val="none" w:sz="0" w:space="0" w:color="auto"/>
      </w:divBdr>
    </w:div>
    <w:div w:id="159465983">
      <w:bodyDiv w:val="1"/>
      <w:marLeft w:val="0"/>
      <w:marRight w:val="0"/>
      <w:marTop w:val="0"/>
      <w:marBottom w:val="0"/>
      <w:divBdr>
        <w:top w:val="none" w:sz="0" w:space="0" w:color="auto"/>
        <w:left w:val="none" w:sz="0" w:space="0" w:color="auto"/>
        <w:bottom w:val="none" w:sz="0" w:space="0" w:color="auto"/>
        <w:right w:val="none" w:sz="0" w:space="0" w:color="auto"/>
      </w:divBdr>
    </w:div>
    <w:div w:id="169368198">
      <w:bodyDiv w:val="1"/>
      <w:marLeft w:val="0"/>
      <w:marRight w:val="0"/>
      <w:marTop w:val="0"/>
      <w:marBottom w:val="0"/>
      <w:divBdr>
        <w:top w:val="none" w:sz="0" w:space="0" w:color="auto"/>
        <w:left w:val="none" w:sz="0" w:space="0" w:color="auto"/>
        <w:bottom w:val="none" w:sz="0" w:space="0" w:color="auto"/>
        <w:right w:val="none" w:sz="0" w:space="0" w:color="auto"/>
      </w:divBdr>
    </w:div>
    <w:div w:id="186719488">
      <w:bodyDiv w:val="1"/>
      <w:marLeft w:val="0"/>
      <w:marRight w:val="0"/>
      <w:marTop w:val="0"/>
      <w:marBottom w:val="0"/>
      <w:divBdr>
        <w:top w:val="none" w:sz="0" w:space="0" w:color="auto"/>
        <w:left w:val="none" w:sz="0" w:space="0" w:color="auto"/>
        <w:bottom w:val="none" w:sz="0" w:space="0" w:color="auto"/>
        <w:right w:val="none" w:sz="0" w:space="0" w:color="auto"/>
      </w:divBdr>
    </w:div>
    <w:div w:id="191111814">
      <w:bodyDiv w:val="1"/>
      <w:marLeft w:val="0"/>
      <w:marRight w:val="0"/>
      <w:marTop w:val="0"/>
      <w:marBottom w:val="0"/>
      <w:divBdr>
        <w:top w:val="none" w:sz="0" w:space="0" w:color="auto"/>
        <w:left w:val="none" w:sz="0" w:space="0" w:color="auto"/>
        <w:bottom w:val="none" w:sz="0" w:space="0" w:color="auto"/>
        <w:right w:val="none" w:sz="0" w:space="0" w:color="auto"/>
      </w:divBdr>
    </w:div>
    <w:div w:id="198933106">
      <w:bodyDiv w:val="1"/>
      <w:marLeft w:val="0"/>
      <w:marRight w:val="0"/>
      <w:marTop w:val="0"/>
      <w:marBottom w:val="0"/>
      <w:divBdr>
        <w:top w:val="none" w:sz="0" w:space="0" w:color="auto"/>
        <w:left w:val="none" w:sz="0" w:space="0" w:color="auto"/>
        <w:bottom w:val="none" w:sz="0" w:space="0" w:color="auto"/>
        <w:right w:val="none" w:sz="0" w:space="0" w:color="auto"/>
      </w:divBdr>
    </w:div>
    <w:div w:id="233124561">
      <w:bodyDiv w:val="1"/>
      <w:marLeft w:val="0"/>
      <w:marRight w:val="0"/>
      <w:marTop w:val="0"/>
      <w:marBottom w:val="0"/>
      <w:divBdr>
        <w:top w:val="none" w:sz="0" w:space="0" w:color="auto"/>
        <w:left w:val="none" w:sz="0" w:space="0" w:color="auto"/>
        <w:bottom w:val="none" w:sz="0" w:space="0" w:color="auto"/>
        <w:right w:val="none" w:sz="0" w:space="0" w:color="auto"/>
      </w:divBdr>
    </w:div>
    <w:div w:id="236407171">
      <w:bodyDiv w:val="1"/>
      <w:marLeft w:val="0"/>
      <w:marRight w:val="0"/>
      <w:marTop w:val="0"/>
      <w:marBottom w:val="0"/>
      <w:divBdr>
        <w:top w:val="none" w:sz="0" w:space="0" w:color="auto"/>
        <w:left w:val="none" w:sz="0" w:space="0" w:color="auto"/>
        <w:bottom w:val="none" w:sz="0" w:space="0" w:color="auto"/>
        <w:right w:val="none" w:sz="0" w:space="0" w:color="auto"/>
      </w:divBdr>
    </w:div>
    <w:div w:id="284776048">
      <w:bodyDiv w:val="1"/>
      <w:marLeft w:val="0"/>
      <w:marRight w:val="0"/>
      <w:marTop w:val="0"/>
      <w:marBottom w:val="0"/>
      <w:divBdr>
        <w:top w:val="none" w:sz="0" w:space="0" w:color="auto"/>
        <w:left w:val="none" w:sz="0" w:space="0" w:color="auto"/>
        <w:bottom w:val="none" w:sz="0" w:space="0" w:color="auto"/>
        <w:right w:val="none" w:sz="0" w:space="0" w:color="auto"/>
      </w:divBdr>
    </w:div>
    <w:div w:id="288705945">
      <w:bodyDiv w:val="1"/>
      <w:marLeft w:val="0"/>
      <w:marRight w:val="0"/>
      <w:marTop w:val="0"/>
      <w:marBottom w:val="0"/>
      <w:divBdr>
        <w:top w:val="none" w:sz="0" w:space="0" w:color="auto"/>
        <w:left w:val="none" w:sz="0" w:space="0" w:color="auto"/>
        <w:bottom w:val="none" w:sz="0" w:space="0" w:color="auto"/>
        <w:right w:val="none" w:sz="0" w:space="0" w:color="auto"/>
      </w:divBdr>
    </w:div>
    <w:div w:id="294992403">
      <w:bodyDiv w:val="1"/>
      <w:marLeft w:val="0"/>
      <w:marRight w:val="0"/>
      <w:marTop w:val="0"/>
      <w:marBottom w:val="0"/>
      <w:divBdr>
        <w:top w:val="none" w:sz="0" w:space="0" w:color="auto"/>
        <w:left w:val="none" w:sz="0" w:space="0" w:color="auto"/>
        <w:bottom w:val="none" w:sz="0" w:space="0" w:color="auto"/>
        <w:right w:val="none" w:sz="0" w:space="0" w:color="auto"/>
      </w:divBdr>
    </w:div>
    <w:div w:id="299773757">
      <w:bodyDiv w:val="1"/>
      <w:marLeft w:val="0"/>
      <w:marRight w:val="0"/>
      <w:marTop w:val="0"/>
      <w:marBottom w:val="0"/>
      <w:divBdr>
        <w:top w:val="none" w:sz="0" w:space="0" w:color="auto"/>
        <w:left w:val="none" w:sz="0" w:space="0" w:color="auto"/>
        <w:bottom w:val="none" w:sz="0" w:space="0" w:color="auto"/>
        <w:right w:val="none" w:sz="0" w:space="0" w:color="auto"/>
      </w:divBdr>
    </w:div>
    <w:div w:id="341207464">
      <w:bodyDiv w:val="1"/>
      <w:marLeft w:val="0"/>
      <w:marRight w:val="0"/>
      <w:marTop w:val="0"/>
      <w:marBottom w:val="0"/>
      <w:divBdr>
        <w:top w:val="none" w:sz="0" w:space="0" w:color="auto"/>
        <w:left w:val="none" w:sz="0" w:space="0" w:color="auto"/>
        <w:bottom w:val="none" w:sz="0" w:space="0" w:color="auto"/>
        <w:right w:val="none" w:sz="0" w:space="0" w:color="auto"/>
      </w:divBdr>
    </w:div>
    <w:div w:id="357698671">
      <w:bodyDiv w:val="1"/>
      <w:marLeft w:val="0"/>
      <w:marRight w:val="0"/>
      <w:marTop w:val="0"/>
      <w:marBottom w:val="0"/>
      <w:divBdr>
        <w:top w:val="none" w:sz="0" w:space="0" w:color="auto"/>
        <w:left w:val="none" w:sz="0" w:space="0" w:color="auto"/>
        <w:bottom w:val="none" w:sz="0" w:space="0" w:color="auto"/>
        <w:right w:val="none" w:sz="0" w:space="0" w:color="auto"/>
      </w:divBdr>
    </w:div>
    <w:div w:id="377243979">
      <w:bodyDiv w:val="1"/>
      <w:marLeft w:val="0"/>
      <w:marRight w:val="0"/>
      <w:marTop w:val="0"/>
      <w:marBottom w:val="0"/>
      <w:divBdr>
        <w:top w:val="none" w:sz="0" w:space="0" w:color="auto"/>
        <w:left w:val="none" w:sz="0" w:space="0" w:color="auto"/>
        <w:bottom w:val="none" w:sz="0" w:space="0" w:color="auto"/>
        <w:right w:val="none" w:sz="0" w:space="0" w:color="auto"/>
      </w:divBdr>
    </w:div>
    <w:div w:id="382871594">
      <w:bodyDiv w:val="1"/>
      <w:marLeft w:val="0"/>
      <w:marRight w:val="0"/>
      <w:marTop w:val="0"/>
      <w:marBottom w:val="0"/>
      <w:divBdr>
        <w:top w:val="none" w:sz="0" w:space="0" w:color="auto"/>
        <w:left w:val="none" w:sz="0" w:space="0" w:color="auto"/>
        <w:bottom w:val="none" w:sz="0" w:space="0" w:color="auto"/>
        <w:right w:val="none" w:sz="0" w:space="0" w:color="auto"/>
      </w:divBdr>
    </w:div>
    <w:div w:id="396323028">
      <w:bodyDiv w:val="1"/>
      <w:marLeft w:val="0"/>
      <w:marRight w:val="0"/>
      <w:marTop w:val="0"/>
      <w:marBottom w:val="0"/>
      <w:divBdr>
        <w:top w:val="none" w:sz="0" w:space="0" w:color="auto"/>
        <w:left w:val="none" w:sz="0" w:space="0" w:color="auto"/>
        <w:bottom w:val="none" w:sz="0" w:space="0" w:color="auto"/>
        <w:right w:val="none" w:sz="0" w:space="0" w:color="auto"/>
      </w:divBdr>
    </w:div>
    <w:div w:id="398869612">
      <w:bodyDiv w:val="1"/>
      <w:marLeft w:val="0"/>
      <w:marRight w:val="0"/>
      <w:marTop w:val="0"/>
      <w:marBottom w:val="0"/>
      <w:divBdr>
        <w:top w:val="none" w:sz="0" w:space="0" w:color="auto"/>
        <w:left w:val="none" w:sz="0" w:space="0" w:color="auto"/>
        <w:bottom w:val="none" w:sz="0" w:space="0" w:color="auto"/>
        <w:right w:val="none" w:sz="0" w:space="0" w:color="auto"/>
      </w:divBdr>
    </w:div>
    <w:div w:id="421024956">
      <w:bodyDiv w:val="1"/>
      <w:marLeft w:val="0"/>
      <w:marRight w:val="0"/>
      <w:marTop w:val="0"/>
      <w:marBottom w:val="0"/>
      <w:divBdr>
        <w:top w:val="none" w:sz="0" w:space="0" w:color="auto"/>
        <w:left w:val="none" w:sz="0" w:space="0" w:color="auto"/>
        <w:bottom w:val="none" w:sz="0" w:space="0" w:color="auto"/>
        <w:right w:val="none" w:sz="0" w:space="0" w:color="auto"/>
      </w:divBdr>
    </w:div>
    <w:div w:id="437599047">
      <w:bodyDiv w:val="1"/>
      <w:marLeft w:val="0"/>
      <w:marRight w:val="0"/>
      <w:marTop w:val="0"/>
      <w:marBottom w:val="0"/>
      <w:divBdr>
        <w:top w:val="none" w:sz="0" w:space="0" w:color="auto"/>
        <w:left w:val="none" w:sz="0" w:space="0" w:color="auto"/>
        <w:bottom w:val="none" w:sz="0" w:space="0" w:color="auto"/>
        <w:right w:val="none" w:sz="0" w:space="0" w:color="auto"/>
      </w:divBdr>
    </w:div>
    <w:div w:id="457577568">
      <w:bodyDiv w:val="1"/>
      <w:marLeft w:val="0"/>
      <w:marRight w:val="0"/>
      <w:marTop w:val="0"/>
      <w:marBottom w:val="0"/>
      <w:divBdr>
        <w:top w:val="none" w:sz="0" w:space="0" w:color="auto"/>
        <w:left w:val="none" w:sz="0" w:space="0" w:color="auto"/>
        <w:bottom w:val="none" w:sz="0" w:space="0" w:color="auto"/>
        <w:right w:val="none" w:sz="0" w:space="0" w:color="auto"/>
      </w:divBdr>
    </w:div>
    <w:div w:id="495536370">
      <w:bodyDiv w:val="1"/>
      <w:marLeft w:val="0"/>
      <w:marRight w:val="0"/>
      <w:marTop w:val="0"/>
      <w:marBottom w:val="0"/>
      <w:divBdr>
        <w:top w:val="none" w:sz="0" w:space="0" w:color="auto"/>
        <w:left w:val="none" w:sz="0" w:space="0" w:color="auto"/>
        <w:bottom w:val="none" w:sz="0" w:space="0" w:color="auto"/>
        <w:right w:val="none" w:sz="0" w:space="0" w:color="auto"/>
      </w:divBdr>
    </w:div>
    <w:div w:id="501899667">
      <w:bodyDiv w:val="1"/>
      <w:marLeft w:val="0"/>
      <w:marRight w:val="0"/>
      <w:marTop w:val="0"/>
      <w:marBottom w:val="0"/>
      <w:divBdr>
        <w:top w:val="none" w:sz="0" w:space="0" w:color="auto"/>
        <w:left w:val="none" w:sz="0" w:space="0" w:color="auto"/>
        <w:bottom w:val="none" w:sz="0" w:space="0" w:color="auto"/>
        <w:right w:val="none" w:sz="0" w:space="0" w:color="auto"/>
      </w:divBdr>
    </w:div>
    <w:div w:id="510799314">
      <w:bodyDiv w:val="1"/>
      <w:marLeft w:val="0"/>
      <w:marRight w:val="0"/>
      <w:marTop w:val="0"/>
      <w:marBottom w:val="0"/>
      <w:divBdr>
        <w:top w:val="none" w:sz="0" w:space="0" w:color="auto"/>
        <w:left w:val="none" w:sz="0" w:space="0" w:color="auto"/>
        <w:bottom w:val="none" w:sz="0" w:space="0" w:color="auto"/>
        <w:right w:val="none" w:sz="0" w:space="0" w:color="auto"/>
      </w:divBdr>
    </w:div>
    <w:div w:id="553740660">
      <w:bodyDiv w:val="1"/>
      <w:marLeft w:val="0"/>
      <w:marRight w:val="0"/>
      <w:marTop w:val="0"/>
      <w:marBottom w:val="0"/>
      <w:divBdr>
        <w:top w:val="none" w:sz="0" w:space="0" w:color="auto"/>
        <w:left w:val="none" w:sz="0" w:space="0" w:color="auto"/>
        <w:bottom w:val="none" w:sz="0" w:space="0" w:color="auto"/>
        <w:right w:val="none" w:sz="0" w:space="0" w:color="auto"/>
      </w:divBdr>
    </w:div>
    <w:div w:id="634219563">
      <w:bodyDiv w:val="1"/>
      <w:marLeft w:val="0"/>
      <w:marRight w:val="0"/>
      <w:marTop w:val="0"/>
      <w:marBottom w:val="0"/>
      <w:divBdr>
        <w:top w:val="none" w:sz="0" w:space="0" w:color="auto"/>
        <w:left w:val="none" w:sz="0" w:space="0" w:color="auto"/>
        <w:bottom w:val="none" w:sz="0" w:space="0" w:color="auto"/>
        <w:right w:val="none" w:sz="0" w:space="0" w:color="auto"/>
      </w:divBdr>
    </w:div>
    <w:div w:id="644890157">
      <w:bodyDiv w:val="1"/>
      <w:marLeft w:val="0"/>
      <w:marRight w:val="0"/>
      <w:marTop w:val="0"/>
      <w:marBottom w:val="0"/>
      <w:divBdr>
        <w:top w:val="none" w:sz="0" w:space="0" w:color="auto"/>
        <w:left w:val="none" w:sz="0" w:space="0" w:color="auto"/>
        <w:bottom w:val="none" w:sz="0" w:space="0" w:color="auto"/>
        <w:right w:val="none" w:sz="0" w:space="0" w:color="auto"/>
      </w:divBdr>
    </w:div>
    <w:div w:id="649946542">
      <w:bodyDiv w:val="1"/>
      <w:marLeft w:val="0"/>
      <w:marRight w:val="0"/>
      <w:marTop w:val="0"/>
      <w:marBottom w:val="0"/>
      <w:divBdr>
        <w:top w:val="none" w:sz="0" w:space="0" w:color="auto"/>
        <w:left w:val="none" w:sz="0" w:space="0" w:color="auto"/>
        <w:bottom w:val="none" w:sz="0" w:space="0" w:color="auto"/>
        <w:right w:val="none" w:sz="0" w:space="0" w:color="auto"/>
      </w:divBdr>
    </w:div>
    <w:div w:id="662978498">
      <w:bodyDiv w:val="1"/>
      <w:marLeft w:val="0"/>
      <w:marRight w:val="0"/>
      <w:marTop w:val="0"/>
      <w:marBottom w:val="0"/>
      <w:divBdr>
        <w:top w:val="none" w:sz="0" w:space="0" w:color="auto"/>
        <w:left w:val="none" w:sz="0" w:space="0" w:color="auto"/>
        <w:bottom w:val="none" w:sz="0" w:space="0" w:color="auto"/>
        <w:right w:val="none" w:sz="0" w:space="0" w:color="auto"/>
      </w:divBdr>
    </w:div>
    <w:div w:id="688795713">
      <w:bodyDiv w:val="1"/>
      <w:marLeft w:val="0"/>
      <w:marRight w:val="0"/>
      <w:marTop w:val="0"/>
      <w:marBottom w:val="0"/>
      <w:divBdr>
        <w:top w:val="none" w:sz="0" w:space="0" w:color="auto"/>
        <w:left w:val="none" w:sz="0" w:space="0" w:color="auto"/>
        <w:bottom w:val="none" w:sz="0" w:space="0" w:color="auto"/>
        <w:right w:val="none" w:sz="0" w:space="0" w:color="auto"/>
      </w:divBdr>
    </w:div>
    <w:div w:id="732390065">
      <w:bodyDiv w:val="1"/>
      <w:marLeft w:val="0"/>
      <w:marRight w:val="0"/>
      <w:marTop w:val="0"/>
      <w:marBottom w:val="0"/>
      <w:divBdr>
        <w:top w:val="none" w:sz="0" w:space="0" w:color="auto"/>
        <w:left w:val="none" w:sz="0" w:space="0" w:color="auto"/>
        <w:bottom w:val="none" w:sz="0" w:space="0" w:color="auto"/>
        <w:right w:val="none" w:sz="0" w:space="0" w:color="auto"/>
      </w:divBdr>
    </w:div>
    <w:div w:id="736778669">
      <w:bodyDiv w:val="1"/>
      <w:marLeft w:val="0"/>
      <w:marRight w:val="0"/>
      <w:marTop w:val="0"/>
      <w:marBottom w:val="0"/>
      <w:divBdr>
        <w:top w:val="none" w:sz="0" w:space="0" w:color="auto"/>
        <w:left w:val="none" w:sz="0" w:space="0" w:color="auto"/>
        <w:bottom w:val="none" w:sz="0" w:space="0" w:color="auto"/>
        <w:right w:val="none" w:sz="0" w:space="0" w:color="auto"/>
      </w:divBdr>
    </w:div>
    <w:div w:id="775563340">
      <w:bodyDiv w:val="1"/>
      <w:marLeft w:val="0"/>
      <w:marRight w:val="0"/>
      <w:marTop w:val="0"/>
      <w:marBottom w:val="0"/>
      <w:divBdr>
        <w:top w:val="none" w:sz="0" w:space="0" w:color="auto"/>
        <w:left w:val="none" w:sz="0" w:space="0" w:color="auto"/>
        <w:bottom w:val="none" w:sz="0" w:space="0" w:color="auto"/>
        <w:right w:val="none" w:sz="0" w:space="0" w:color="auto"/>
      </w:divBdr>
    </w:div>
    <w:div w:id="782965467">
      <w:bodyDiv w:val="1"/>
      <w:marLeft w:val="0"/>
      <w:marRight w:val="0"/>
      <w:marTop w:val="0"/>
      <w:marBottom w:val="0"/>
      <w:divBdr>
        <w:top w:val="none" w:sz="0" w:space="0" w:color="auto"/>
        <w:left w:val="none" w:sz="0" w:space="0" w:color="auto"/>
        <w:bottom w:val="none" w:sz="0" w:space="0" w:color="auto"/>
        <w:right w:val="none" w:sz="0" w:space="0" w:color="auto"/>
      </w:divBdr>
    </w:div>
    <w:div w:id="788276778">
      <w:bodyDiv w:val="1"/>
      <w:marLeft w:val="0"/>
      <w:marRight w:val="0"/>
      <w:marTop w:val="0"/>
      <w:marBottom w:val="0"/>
      <w:divBdr>
        <w:top w:val="none" w:sz="0" w:space="0" w:color="auto"/>
        <w:left w:val="none" w:sz="0" w:space="0" w:color="auto"/>
        <w:bottom w:val="none" w:sz="0" w:space="0" w:color="auto"/>
        <w:right w:val="none" w:sz="0" w:space="0" w:color="auto"/>
      </w:divBdr>
    </w:div>
    <w:div w:id="794448637">
      <w:bodyDiv w:val="1"/>
      <w:marLeft w:val="0"/>
      <w:marRight w:val="0"/>
      <w:marTop w:val="0"/>
      <w:marBottom w:val="0"/>
      <w:divBdr>
        <w:top w:val="none" w:sz="0" w:space="0" w:color="auto"/>
        <w:left w:val="none" w:sz="0" w:space="0" w:color="auto"/>
        <w:bottom w:val="none" w:sz="0" w:space="0" w:color="auto"/>
        <w:right w:val="none" w:sz="0" w:space="0" w:color="auto"/>
      </w:divBdr>
    </w:div>
    <w:div w:id="825510635">
      <w:bodyDiv w:val="1"/>
      <w:marLeft w:val="0"/>
      <w:marRight w:val="0"/>
      <w:marTop w:val="0"/>
      <w:marBottom w:val="0"/>
      <w:divBdr>
        <w:top w:val="none" w:sz="0" w:space="0" w:color="auto"/>
        <w:left w:val="none" w:sz="0" w:space="0" w:color="auto"/>
        <w:bottom w:val="none" w:sz="0" w:space="0" w:color="auto"/>
        <w:right w:val="none" w:sz="0" w:space="0" w:color="auto"/>
      </w:divBdr>
    </w:div>
    <w:div w:id="842626352">
      <w:bodyDiv w:val="1"/>
      <w:marLeft w:val="0"/>
      <w:marRight w:val="0"/>
      <w:marTop w:val="0"/>
      <w:marBottom w:val="0"/>
      <w:divBdr>
        <w:top w:val="none" w:sz="0" w:space="0" w:color="auto"/>
        <w:left w:val="none" w:sz="0" w:space="0" w:color="auto"/>
        <w:bottom w:val="none" w:sz="0" w:space="0" w:color="auto"/>
        <w:right w:val="none" w:sz="0" w:space="0" w:color="auto"/>
      </w:divBdr>
    </w:div>
    <w:div w:id="847988034">
      <w:bodyDiv w:val="1"/>
      <w:marLeft w:val="0"/>
      <w:marRight w:val="0"/>
      <w:marTop w:val="0"/>
      <w:marBottom w:val="0"/>
      <w:divBdr>
        <w:top w:val="none" w:sz="0" w:space="0" w:color="auto"/>
        <w:left w:val="none" w:sz="0" w:space="0" w:color="auto"/>
        <w:bottom w:val="none" w:sz="0" w:space="0" w:color="auto"/>
        <w:right w:val="none" w:sz="0" w:space="0" w:color="auto"/>
      </w:divBdr>
    </w:div>
    <w:div w:id="871765461">
      <w:bodyDiv w:val="1"/>
      <w:marLeft w:val="0"/>
      <w:marRight w:val="0"/>
      <w:marTop w:val="0"/>
      <w:marBottom w:val="0"/>
      <w:divBdr>
        <w:top w:val="none" w:sz="0" w:space="0" w:color="auto"/>
        <w:left w:val="none" w:sz="0" w:space="0" w:color="auto"/>
        <w:bottom w:val="none" w:sz="0" w:space="0" w:color="auto"/>
        <w:right w:val="none" w:sz="0" w:space="0" w:color="auto"/>
      </w:divBdr>
    </w:div>
    <w:div w:id="876695452">
      <w:bodyDiv w:val="1"/>
      <w:marLeft w:val="0"/>
      <w:marRight w:val="0"/>
      <w:marTop w:val="0"/>
      <w:marBottom w:val="0"/>
      <w:divBdr>
        <w:top w:val="none" w:sz="0" w:space="0" w:color="auto"/>
        <w:left w:val="none" w:sz="0" w:space="0" w:color="auto"/>
        <w:bottom w:val="none" w:sz="0" w:space="0" w:color="auto"/>
        <w:right w:val="none" w:sz="0" w:space="0" w:color="auto"/>
      </w:divBdr>
    </w:div>
    <w:div w:id="885676771">
      <w:bodyDiv w:val="1"/>
      <w:marLeft w:val="0"/>
      <w:marRight w:val="0"/>
      <w:marTop w:val="0"/>
      <w:marBottom w:val="0"/>
      <w:divBdr>
        <w:top w:val="none" w:sz="0" w:space="0" w:color="auto"/>
        <w:left w:val="none" w:sz="0" w:space="0" w:color="auto"/>
        <w:bottom w:val="none" w:sz="0" w:space="0" w:color="auto"/>
        <w:right w:val="none" w:sz="0" w:space="0" w:color="auto"/>
      </w:divBdr>
    </w:div>
    <w:div w:id="901789278">
      <w:bodyDiv w:val="1"/>
      <w:marLeft w:val="0"/>
      <w:marRight w:val="0"/>
      <w:marTop w:val="0"/>
      <w:marBottom w:val="0"/>
      <w:divBdr>
        <w:top w:val="none" w:sz="0" w:space="0" w:color="auto"/>
        <w:left w:val="none" w:sz="0" w:space="0" w:color="auto"/>
        <w:bottom w:val="none" w:sz="0" w:space="0" w:color="auto"/>
        <w:right w:val="none" w:sz="0" w:space="0" w:color="auto"/>
      </w:divBdr>
    </w:div>
    <w:div w:id="910774859">
      <w:bodyDiv w:val="1"/>
      <w:marLeft w:val="0"/>
      <w:marRight w:val="0"/>
      <w:marTop w:val="0"/>
      <w:marBottom w:val="0"/>
      <w:divBdr>
        <w:top w:val="none" w:sz="0" w:space="0" w:color="auto"/>
        <w:left w:val="none" w:sz="0" w:space="0" w:color="auto"/>
        <w:bottom w:val="none" w:sz="0" w:space="0" w:color="auto"/>
        <w:right w:val="none" w:sz="0" w:space="0" w:color="auto"/>
      </w:divBdr>
    </w:div>
    <w:div w:id="932783212">
      <w:bodyDiv w:val="1"/>
      <w:marLeft w:val="0"/>
      <w:marRight w:val="0"/>
      <w:marTop w:val="0"/>
      <w:marBottom w:val="0"/>
      <w:divBdr>
        <w:top w:val="none" w:sz="0" w:space="0" w:color="auto"/>
        <w:left w:val="none" w:sz="0" w:space="0" w:color="auto"/>
        <w:bottom w:val="none" w:sz="0" w:space="0" w:color="auto"/>
        <w:right w:val="none" w:sz="0" w:space="0" w:color="auto"/>
      </w:divBdr>
    </w:div>
    <w:div w:id="937062834">
      <w:bodyDiv w:val="1"/>
      <w:marLeft w:val="0"/>
      <w:marRight w:val="0"/>
      <w:marTop w:val="0"/>
      <w:marBottom w:val="0"/>
      <w:divBdr>
        <w:top w:val="none" w:sz="0" w:space="0" w:color="auto"/>
        <w:left w:val="none" w:sz="0" w:space="0" w:color="auto"/>
        <w:bottom w:val="none" w:sz="0" w:space="0" w:color="auto"/>
        <w:right w:val="none" w:sz="0" w:space="0" w:color="auto"/>
      </w:divBdr>
    </w:div>
    <w:div w:id="962611734">
      <w:bodyDiv w:val="1"/>
      <w:marLeft w:val="0"/>
      <w:marRight w:val="0"/>
      <w:marTop w:val="0"/>
      <w:marBottom w:val="0"/>
      <w:divBdr>
        <w:top w:val="none" w:sz="0" w:space="0" w:color="auto"/>
        <w:left w:val="none" w:sz="0" w:space="0" w:color="auto"/>
        <w:bottom w:val="none" w:sz="0" w:space="0" w:color="auto"/>
        <w:right w:val="none" w:sz="0" w:space="0" w:color="auto"/>
      </w:divBdr>
    </w:div>
    <w:div w:id="965044668">
      <w:bodyDiv w:val="1"/>
      <w:marLeft w:val="0"/>
      <w:marRight w:val="0"/>
      <w:marTop w:val="0"/>
      <w:marBottom w:val="0"/>
      <w:divBdr>
        <w:top w:val="none" w:sz="0" w:space="0" w:color="auto"/>
        <w:left w:val="none" w:sz="0" w:space="0" w:color="auto"/>
        <w:bottom w:val="none" w:sz="0" w:space="0" w:color="auto"/>
        <w:right w:val="none" w:sz="0" w:space="0" w:color="auto"/>
      </w:divBdr>
    </w:div>
    <w:div w:id="985666761">
      <w:bodyDiv w:val="1"/>
      <w:marLeft w:val="0"/>
      <w:marRight w:val="0"/>
      <w:marTop w:val="0"/>
      <w:marBottom w:val="0"/>
      <w:divBdr>
        <w:top w:val="none" w:sz="0" w:space="0" w:color="auto"/>
        <w:left w:val="none" w:sz="0" w:space="0" w:color="auto"/>
        <w:bottom w:val="none" w:sz="0" w:space="0" w:color="auto"/>
        <w:right w:val="none" w:sz="0" w:space="0" w:color="auto"/>
      </w:divBdr>
    </w:div>
    <w:div w:id="1010182594">
      <w:bodyDiv w:val="1"/>
      <w:marLeft w:val="0"/>
      <w:marRight w:val="0"/>
      <w:marTop w:val="0"/>
      <w:marBottom w:val="0"/>
      <w:divBdr>
        <w:top w:val="none" w:sz="0" w:space="0" w:color="auto"/>
        <w:left w:val="none" w:sz="0" w:space="0" w:color="auto"/>
        <w:bottom w:val="none" w:sz="0" w:space="0" w:color="auto"/>
        <w:right w:val="none" w:sz="0" w:space="0" w:color="auto"/>
      </w:divBdr>
    </w:div>
    <w:div w:id="1010718044">
      <w:bodyDiv w:val="1"/>
      <w:marLeft w:val="0"/>
      <w:marRight w:val="0"/>
      <w:marTop w:val="0"/>
      <w:marBottom w:val="0"/>
      <w:divBdr>
        <w:top w:val="none" w:sz="0" w:space="0" w:color="auto"/>
        <w:left w:val="none" w:sz="0" w:space="0" w:color="auto"/>
        <w:bottom w:val="none" w:sz="0" w:space="0" w:color="auto"/>
        <w:right w:val="none" w:sz="0" w:space="0" w:color="auto"/>
      </w:divBdr>
    </w:div>
    <w:div w:id="1023092121">
      <w:bodyDiv w:val="1"/>
      <w:marLeft w:val="0"/>
      <w:marRight w:val="0"/>
      <w:marTop w:val="0"/>
      <w:marBottom w:val="0"/>
      <w:divBdr>
        <w:top w:val="none" w:sz="0" w:space="0" w:color="auto"/>
        <w:left w:val="none" w:sz="0" w:space="0" w:color="auto"/>
        <w:bottom w:val="none" w:sz="0" w:space="0" w:color="auto"/>
        <w:right w:val="none" w:sz="0" w:space="0" w:color="auto"/>
      </w:divBdr>
    </w:div>
    <w:div w:id="1023555301">
      <w:bodyDiv w:val="1"/>
      <w:marLeft w:val="0"/>
      <w:marRight w:val="0"/>
      <w:marTop w:val="0"/>
      <w:marBottom w:val="0"/>
      <w:divBdr>
        <w:top w:val="none" w:sz="0" w:space="0" w:color="auto"/>
        <w:left w:val="none" w:sz="0" w:space="0" w:color="auto"/>
        <w:bottom w:val="none" w:sz="0" w:space="0" w:color="auto"/>
        <w:right w:val="none" w:sz="0" w:space="0" w:color="auto"/>
      </w:divBdr>
    </w:div>
    <w:div w:id="1033269640">
      <w:bodyDiv w:val="1"/>
      <w:marLeft w:val="0"/>
      <w:marRight w:val="0"/>
      <w:marTop w:val="0"/>
      <w:marBottom w:val="0"/>
      <w:divBdr>
        <w:top w:val="none" w:sz="0" w:space="0" w:color="auto"/>
        <w:left w:val="none" w:sz="0" w:space="0" w:color="auto"/>
        <w:bottom w:val="none" w:sz="0" w:space="0" w:color="auto"/>
        <w:right w:val="none" w:sz="0" w:space="0" w:color="auto"/>
      </w:divBdr>
    </w:div>
    <w:div w:id="1049305957">
      <w:bodyDiv w:val="1"/>
      <w:marLeft w:val="0"/>
      <w:marRight w:val="0"/>
      <w:marTop w:val="0"/>
      <w:marBottom w:val="0"/>
      <w:divBdr>
        <w:top w:val="none" w:sz="0" w:space="0" w:color="auto"/>
        <w:left w:val="none" w:sz="0" w:space="0" w:color="auto"/>
        <w:bottom w:val="none" w:sz="0" w:space="0" w:color="auto"/>
        <w:right w:val="none" w:sz="0" w:space="0" w:color="auto"/>
      </w:divBdr>
    </w:div>
    <w:div w:id="1063261977">
      <w:bodyDiv w:val="1"/>
      <w:marLeft w:val="0"/>
      <w:marRight w:val="0"/>
      <w:marTop w:val="0"/>
      <w:marBottom w:val="0"/>
      <w:divBdr>
        <w:top w:val="none" w:sz="0" w:space="0" w:color="auto"/>
        <w:left w:val="none" w:sz="0" w:space="0" w:color="auto"/>
        <w:bottom w:val="none" w:sz="0" w:space="0" w:color="auto"/>
        <w:right w:val="none" w:sz="0" w:space="0" w:color="auto"/>
      </w:divBdr>
    </w:div>
    <w:div w:id="1084448427">
      <w:bodyDiv w:val="1"/>
      <w:marLeft w:val="0"/>
      <w:marRight w:val="0"/>
      <w:marTop w:val="0"/>
      <w:marBottom w:val="0"/>
      <w:divBdr>
        <w:top w:val="none" w:sz="0" w:space="0" w:color="auto"/>
        <w:left w:val="none" w:sz="0" w:space="0" w:color="auto"/>
        <w:bottom w:val="none" w:sz="0" w:space="0" w:color="auto"/>
        <w:right w:val="none" w:sz="0" w:space="0" w:color="auto"/>
      </w:divBdr>
    </w:div>
    <w:div w:id="1089155982">
      <w:bodyDiv w:val="1"/>
      <w:marLeft w:val="0"/>
      <w:marRight w:val="0"/>
      <w:marTop w:val="0"/>
      <w:marBottom w:val="0"/>
      <w:divBdr>
        <w:top w:val="none" w:sz="0" w:space="0" w:color="auto"/>
        <w:left w:val="none" w:sz="0" w:space="0" w:color="auto"/>
        <w:bottom w:val="none" w:sz="0" w:space="0" w:color="auto"/>
        <w:right w:val="none" w:sz="0" w:space="0" w:color="auto"/>
      </w:divBdr>
    </w:div>
    <w:div w:id="1091971424">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65707511">
      <w:bodyDiv w:val="1"/>
      <w:marLeft w:val="0"/>
      <w:marRight w:val="0"/>
      <w:marTop w:val="0"/>
      <w:marBottom w:val="0"/>
      <w:divBdr>
        <w:top w:val="none" w:sz="0" w:space="0" w:color="auto"/>
        <w:left w:val="none" w:sz="0" w:space="0" w:color="auto"/>
        <w:bottom w:val="none" w:sz="0" w:space="0" w:color="auto"/>
        <w:right w:val="none" w:sz="0" w:space="0" w:color="auto"/>
      </w:divBdr>
    </w:div>
    <w:div w:id="1172720529">
      <w:bodyDiv w:val="1"/>
      <w:marLeft w:val="0"/>
      <w:marRight w:val="0"/>
      <w:marTop w:val="0"/>
      <w:marBottom w:val="0"/>
      <w:divBdr>
        <w:top w:val="none" w:sz="0" w:space="0" w:color="auto"/>
        <w:left w:val="none" w:sz="0" w:space="0" w:color="auto"/>
        <w:bottom w:val="none" w:sz="0" w:space="0" w:color="auto"/>
        <w:right w:val="none" w:sz="0" w:space="0" w:color="auto"/>
      </w:divBdr>
    </w:div>
    <w:div w:id="1181092315">
      <w:bodyDiv w:val="1"/>
      <w:marLeft w:val="0"/>
      <w:marRight w:val="0"/>
      <w:marTop w:val="0"/>
      <w:marBottom w:val="0"/>
      <w:divBdr>
        <w:top w:val="none" w:sz="0" w:space="0" w:color="auto"/>
        <w:left w:val="none" w:sz="0" w:space="0" w:color="auto"/>
        <w:bottom w:val="none" w:sz="0" w:space="0" w:color="auto"/>
        <w:right w:val="none" w:sz="0" w:space="0" w:color="auto"/>
      </w:divBdr>
    </w:div>
    <w:div w:id="1211695778">
      <w:bodyDiv w:val="1"/>
      <w:marLeft w:val="0"/>
      <w:marRight w:val="0"/>
      <w:marTop w:val="0"/>
      <w:marBottom w:val="0"/>
      <w:divBdr>
        <w:top w:val="none" w:sz="0" w:space="0" w:color="auto"/>
        <w:left w:val="none" w:sz="0" w:space="0" w:color="auto"/>
        <w:bottom w:val="none" w:sz="0" w:space="0" w:color="auto"/>
        <w:right w:val="none" w:sz="0" w:space="0" w:color="auto"/>
      </w:divBdr>
    </w:div>
    <w:div w:id="1215653233">
      <w:bodyDiv w:val="1"/>
      <w:marLeft w:val="0"/>
      <w:marRight w:val="0"/>
      <w:marTop w:val="0"/>
      <w:marBottom w:val="0"/>
      <w:divBdr>
        <w:top w:val="none" w:sz="0" w:space="0" w:color="auto"/>
        <w:left w:val="none" w:sz="0" w:space="0" w:color="auto"/>
        <w:bottom w:val="none" w:sz="0" w:space="0" w:color="auto"/>
        <w:right w:val="none" w:sz="0" w:space="0" w:color="auto"/>
      </w:divBdr>
    </w:div>
    <w:div w:id="1242301834">
      <w:bodyDiv w:val="1"/>
      <w:marLeft w:val="0"/>
      <w:marRight w:val="0"/>
      <w:marTop w:val="0"/>
      <w:marBottom w:val="0"/>
      <w:divBdr>
        <w:top w:val="none" w:sz="0" w:space="0" w:color="auto"/>
        <w:left w:val="none" w:sz="0" w:space="0" w:color="auto"/>
        <w:bottom w:val="none" w:sz="0" w:space="0" w:color="auto"/>
        <w:right w:val="none" w:sz="0" w:space="0" w:color="auto"/>
      </w:divBdr>
    </w:div>
    <w:div w:id="1242567190">
      <w:bodyDiv w:val="1"/>
      <w:marLeft w:val="0"/>
      <w:marRight w:val="0"/>
      <w:marTop w:val="0"/>
      <w:marBottom w:val="0"/>
      <w:divBdr>
        <w:top w:val="none" w:sz="0" w:space="0" w:color="auto"/>
        <w:left w:val="none" w:sz="0" w:space="0" w:color="auto"/>
        <w:bottom w:val="none" w:sz="0" w:space="0" w:color="auto"/>
        <w:right w:val="none" w:sz="0" w:space="0" w:color="auto"/>
      </w:divBdr>
    </w:div>
    <w:div w:id="1243948252">
      <w:bodyDiv w:val="1"/>
      <w:marLeft w:val="0"/>
      <w:marRight w:val="0"/>
      <w:marTop w:val="0"/>
      <w:marBottom w:val="0"/>
      <w:divBdr>
        <w:top w:val="none" w:sz="0" w:space="0" w:color="auto"/>
        <w:left w:val="none" w:sz="0" w:space="0" w:color="auto"/>
        <w:bottom w:val="none" w:sz="0" w:space="0" w:color="auto"/>
        <w:right w:val="none" w:sz="0" w:space="0" w:color="auto"/>
      </w:divBdr>
    </w:div>
    <w:div w:id="1249386985">
      <w:bodyDiv w:val="1"/>
      <w:marLeft w:val="0"/>
      <w:marRight w:val="0"/>
      <w:marTop w:val="0"/>
      <w:marBottom w:val="0"/>
      <w:divBdr>
        <w:top w:val="none" w:sz="0" w:space="0" w:color="auto"/>
        <w:left w:val="none" w:sz="0" w:space="0" w:color="auto"/>
        <w:bottom w:val="none" w:sz="0" w:space="0" w:color="auto"/>
        <w:right w:val="none" w:sz="0" w:space="0" w:color="auto"/>
      </w:divBdr>
    </w:div>
    <w:div w:id="1274746518">
      <w:bodyDiv w:val="1"/>
      <w:marLeft w:val="0"/>
      <w:marRight w:val="0"/>
      <w:marTop w:val="0"/>
      <w:marBottom w:val="0"/>
      <w:divBdr>
        <w:top w:val="none" w:sz="0" w:space="0" w:color="auto"/>
        <w:left w:val="none" w:sz="0" w:space="0" w:color="auto"/>
        <w:bottom w:val="none" w:sz="0" w:space="0" w:color="auto"/>
        <w:right w:val="none" w:sz="0" w:space="0" w:color="auto"/>
      </w:divBdr>
    </w:div>
    <w:div w:id="1287080505">
      <w:bodyDiv w:val="1"/>
      <w:marLeft w:val="0"/>
      <w:marRight w:val="0"/>
      <w:marTop w:val="0"/>
      <w:marBottom w:val="0"/>
      <w:divBdr>
        <w:top w:val="none" w:sz="0" w:space="0" w:color="auto"/>
        <w:left w:val="none" w:sz="0" w:space="0" w:color="auto"/>
        <w:bottom w:val="none" w:sz="0" w:space="0" w:color="auto"/>
        <w:right w:val="none" w:sz="0" w:space="0" w:color="auto"/>
      </w:divBdr>
    </w:div>
    <w:div w:id="1295480579">
      <w:bodyDiv w:val="1"/>
      <w:marLeft w:val="0"/>
      <w:marRight w:val="0"/>
      <w:marTop w:val="0"/>
      <w:marBottom w:val="0"/>
      <w:divBdr>
        <w:top w:val="none" w:sz="0" w:space="0" w:color="auto"/>
        <w:left w:val="none" w:sz="0" w:space="0" w:color="auto"/>
        <w:bottom w:val="none" w:sz="0" w:space="0" w:color="auto"/>
        <w:right w:val="none" w:sz="0" w:space="0" w:color="auto"/>
      </w:divBdr>
    </w:div>
    <w:div w:id="1301839285">
      <w:bodyDiv w:val="1"/>
      <w:marLeft w:val="0"/>
      <w:marRight w:val="0"/>
      <w:marTop w:val="0"/>
      <w:marBottom w:val="0"/>
      <w:divBdr>
        <w:top w:val="none" w:sz="0" w:space="0" w:color="auto"/>
        <w:left w:val="none" w:sz="0" w:space="0" w:color="auto"/>
        <w:bottom w:val="none" w:sz="0" w:space="0" w:color="auto"/>
        <w:right w:val="none" w:sz="0" w:space="0" w:color="auto"/>
      </w:divBdr>
    </w:div>
    <w:div w:id="1331569197">
      <w:bodyDiv w:val="1"/>
      <w:marLeft w:val="0"/>
      <w:marRight w:val="0"/>
      <w:marTop w:val="0"/>
      <w:marBottom w:val="0"/>
      <w:divBdr>
        <w:top w:val="none" w:sz="0" w:space="0" w:color="auto"/>
        <w:left w:val="none" w:sz="0" w:space="0" w:color="auto"/>
        <w:bottom w:val="none" w:sz="0" w:space="0" w:color="auto"/>
        <w:right w:val="none" w:sz="0" w:space="0" w:color="auto"/>
      </w:divBdr>
    </w:div>
    <w:div w:id="1348288687">
      <w:bodyDiv w:val="1"/>
      <w:marLeft w:val="0"/>
      <w:marRight w:val="0"/>
      <w:marTop w:val="0"/>
      <w:marBottom w:val="0"/>
      <w:divBdr>
        <w:top w:val="none" w:sz="0" w:space="0" w:color="auto"/>
        <w:left w:val="none" w:sz="0" w:space="0" w:color="auto"/>
        <w:bottom w:val="none" w:sz="0" w:space="0" w:color="auto"/>
        <w:right w:val="none" w:sz="0" w:space="0" w:color="auto"/>
      </w:divBdr>
    </w:div>
    <w:div w:id="1390306900">
      <w:bodyDiv w:val="1"/>
      <w:marLeft w:val="0"/>
      <w:marRight w:val="0"/>
      <w:marTop w:val="0"/>
      <w:marBottom w:val="0"/>
      <w:divBdr>
        <w:top w:val="none" w:sz="0" w:space="0" w:color="auto"/>
        <w:left w:val="none" w:sz="0" w:space="0" w:color="auto"/>
        <w:bottom w:val="none" w:sz="0" w:space="0" w:color="auto"/>
        <w:right w:val="none" w:sz="0" w:space="0" w:color="auto"/>
      </w:divBdr>
    </w:div>
    <w:div w:id="1392002718">
      <w:bodyDiv w:val="1"/>
      <w:marLeft w:val="0"/>
      <w:marRight w:val="0"/>
      <w:marTop w:val="0"/>
      <w:marBottom w:val="0"/>
      <w:divBdr>
        <w:top w:val="none" w:sz="0" w:space="0" w:color="auto"/>
        <w:left w:val="none" w:sz="0" w:space="0" w:color="auto"/>
        <w:bottom w:val="none" w:sz="0" w:space="0" w:color="auto"/>
        <w:right w:val="none" w:sz="0" w:space="0" w:color="auto"/>
      </w:divBdr>
    </w:div>
    <w:div w:id="1444613783">
      <w:bodyDiv w:val="1"/>
      <w:marLeft w:val="0"/>
      <w:marRight w:val="0"/>
      <w:marTop w:val="0"/>
      <w:marBottom w:val="0"/>
      <w:divBdr>
        <w:top w:val="none" w:sz="0" w:space="0" w:color="auto"/>
        <w:left w:val="none" w:sz="0" w:space="0" w:color="auto"/>
        <w:bottom w:val="none" w:sz="0" w:space="0" w:color="auto"/>
        <w:right w:val="none" w:sz="0" w:space="0" w:color="auto"/>
      </w:divBdr>
    </w:div>
    <w:div w:id="1501038560">
      <w:bodyDiv w:val="1"/>
      <w:marLeft w:val="0"/>
      <w:marRight w:val="0"/>
      <w:marTop w:val="0"/>
      <w:marBottom w:val="0"/>
      <w:divBdr>
        <w:top w:val="none" w:sz="0" w:space="0" w:color="auto"/>
        <w:left w:val="none" w:sz="0" w:space="0" w:color="auto"/>
        <w:bottom w:val="none" w:sz="0" w:space="0" w:color="auto"/>
        <w:right w:val="none" w:sz="0" w:space="0" w:color="auto"/>
      </w:divBdr>
    </w:div>
    <w:div w:id="1507817165">
      <w:bodyDiv w:val="1"/>
      <w:marLeft w:val="0"/>
      <w:marRight w:val="0"/>
      <w:marTop w:val="0"/>
      <w:marBottom w:val="0"/>
      <w:divBdr>
        <w:top w:val="none" w:sz="0" w:space="0" w:color="auto"/>
        <w:left w:val="none" w:sz="0" w:space="0" w:color="auto"/>
        <w:bottom w:val="none" w:sz="0" w:space="0" w:color="auto"/>
        <w:right w:val="none" w:sz="0" w:space="0" w:color="auto"/>
      </w:divBdr>
      <w:divsChild>
        <w:div w:id="404959334">
          <w:marLeft w:val="0"/>
          <w:marRight w:val="0"/>
          <w:marTop w:val="256"/>
          <w:marBottom w:val="256"/>
          <w:divBdr>
            <w:top w:val="none" w:sz="0" w:space="0" w:color="auto"/>
            <w:left w:val="none" w:sz="0" w:space="0" w:color="auto"/>
            <w:bottom w:val="none" w:sz="0" w:space="0" w:color="auto"/>
            <w:right w:val="none" w:sz="0" w:space="0" w:color="auto"/>
          </w:divBdr>
        </w:div>
        <w:div w:id="1041246770">
          <w:marLeft w:val="0"/>
          <w:marRight w:val="0"/>
          <w:marTop w:val="256"/>
          <w:marBottom w:val="256"/>
          <w:divBdr>
            <w:top w:val="none" w:sz="0" w:space="0" w:color="auto"/>
            <w:left w:val="none" w:sz="0" w:space="0" w:color="auto"/>
            <w:bottom w:val="none" w:sz="0" w:space="0" w:color="auto"/>
            <w:right w:val="none" w:sz="0" w:space="0" w:color="auto"/>
          </w:divBdr>
        </w:div>
        <w:div w:id="1105928015">
          <w:marLeft w:val="0"/>
          <w:marRight w:val="0"/>
          <w:marTop w:val="256"/>
          <w:marBottom w:val="256"/>
          <w:divBdr>
            <w:top w:val="none" w:sz="0" w:space="0" w:color="auto"/>
            <w:left w:val="none" w:sz="0" w:space="0" w:color="auto"/>
            <w:bottom w:val="none" w:sz="0" w:space="0" w:color="auto"/>
            <w:right w:val="none" w:sz="0" w:space="0" w:color="auto"/>
          </w:divBdr>
        </w:div>
      </w:divsChild>
    </w:div>
    <w:div w:id="1526601114">
      <w:bodyDiv w:val="1"/>
      <w:marLeft w:val="0"/>
      <w:marRight w:val="0"/>
      <w:marTop w:val="0"/>
      <w:marBottom w:val="0"/>
      <w:divBdr>
        <w:top w:val="none" w:sz="0" w:space="0" w:color="auto"/>
        <w:left w:val="none" w:sz="0" w:space="0" w:color="auto"/>
        <w:bottom w:val="none" w:sz="0" w:space="0" w:color="auto"/>
        <w:right w:val="none" w:sz="0" w:space="0" w:color="auto"/>
      </w:divBdr>
    </w:div>
    <w:div w:id="1560746929">
      <w:bodyDiv w:val="1"/>
      <w:marLeft w:val="0"/>
      <w:marRight w:val="0"/>
      <w:marTop w:val="0"/>
      <w:marBottom w:val="0"/>
      <w:divBdr>
        <w:top w:val="none" w:sz="0" w:space="0" w:color="auto"/>
        <w:left w:val="none" w:sz="0" w:space="0" w:color="auto"/>
        <w:bottom w:val="none" w:sz="0" w:space="0" w:color="auto"/>
        <w:right w:val="none" w:sz="0" w:space="0" w:color="auto"/>
      </w:divBdr>
    </w:div>
    <w:div w:id="1644044269">
      <w:bodyDiv w:val="1"/>
      <w:marLeft w:val="0"/>
      <w:marRight w:val="0"/>
      <w:marTop w:val="0"/>
      <w:marBottom w:val="0"/>
      <w:divBdr>
        <w:top w:val="none" w:sz="0" w:space="0" w:color="auto"/>
        <w:left w:val="none" w:sz="0" w:space="0" w:color="auto"/>
        <w:bottom w:val="none" w:sz="0" w:space="0" w:color="auto"/>
        <w:right w:val="none" w:sz="0" w:space="0" w:color="auto"/>
      </w:divBdr>
    </w:div>
    <w:div w:id="1669408781">
      <w:bodyDiv w:val="1"/>
      <w:marLeft w:val="0"/>
      <w:marRight w:val="0"/>
      <w:marTop w:val="0"/>
      <w:marBottom w:val="0"/>
      <w:divBdr>
        <w:top w:val="none" w:sz="0" w:space="0" w:color="auto"/>
        <w:left w:val="none" w:sz="0" w:space="0" w:color="auto"/>
        <w:bottom w:val="none" w:sz="0" w:space="0" w:color="auto"/>
        <w:right w:val="none" w:sz="0" w:space="0" w:color="auto"/>
      </w:divBdr>
      <w:divsChild>
        <w:div w:id="1469132098">
          <w:marLeft w:val="0"/>
          <w:marRight w:val="0"/>
          <w:marTop w:val="120"/>
          <w:marBottom w:val="360"/>
          <w:divBdr>
            <w:top w:val="none" w:sz="0" w:space="0" w:color="auto"/>
            <w:left w:val="none" w:sz="0" w:space="0" w:color="auto"/>
            <w:bottom w:val="none" w:sz="0" w:space="0" w:color="auto"/>
            <w:right w:val="none" w:sz="0" w:space="0" w:color="auto"/>
          </w:divBdr>
          <w:divsChild>
            <w:div w:id="5397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738">
      <w:bodyDiv w:val="1"/>
      <w:marLeft w:val="0"/>
      <w:marRight w:val="0"/>
      <w:marTop w:val="0"/>
      <w:marBottom w:val="0"/>
      <w:divBdr>
        <w:top w:val="none" w:sz="0" w:space="0" w:color="auto"/>
        <w:left w:val="none" w:sz="0" w:space="0" w:color="auto"/>
        <w:bottom w:val="none" w:sz="0" w:space="0" w:color="auto"/>
        <w:right w:val="none" w:sz="0" w:space="0" w:color="auto"/>
      </w:divBdr>
    </w:div>
    <w:div w:id="1725715541">
      <w:bodyDiv w:val="1"/>
      <w:marLeft w:val="0"/>
      <w:marRight w:val="0"/>
      <w:marTop w:val="0"/>
      <w:marBottom w:val="0"/>
      <w:divBdr>
        <w:top w:val="none" w:sz="0" w:space="0" w:color="auto"/>
        <w:left w:val="none" w:sz="0" w:space="0" w:color="auto"/>
        <w:bottom w:val="none" w:sz="0" w:space="0" w:color="auto"/>
        <w:right w:val="none" w:sz="0" w:space="0" w:color="auto"/>
      </w:divBdr>
    </w:div>
    <w:div w:id="1787045405">
      <w:bodyDiv w:val="1"/>
      <w:marLeft w:val="0"/>
      <w:marRight w:val="0"/>
      <w:marTop w:val="0"/>
      <w:marBottom w:val="0"/>
      <w:divBdr>
        <w:top w:val="none" w:sz="0" w:space="0" w:color="auto"/>
        <w:left w:val="none" w:sz="0" w:space="0" w:color="auto"/>
        <w:bottom w:val="none" w:sz="0" w:space="0" w:color="auto"/>
        <w:right w:val="none" w:sz="0" w:space="0" w:color="auto"/>
      </w:divBdr>
    </w:div>
    <w:div w:id="1805847007">
      <w:bodyDiv w:val="1"/>
      <w:marLeft w:val="0"/>
      <w:marRight w:val="0"/>
      <w:marTop w:val="0"/>
      <w:marBottom w:val="0"/>
      <w:divBdr>
        <w:top w:val="none" w:sz="0" w:space="0" w:color="auto"/>
        <w:left w:val="none" w:sz="0" w:space="0" w:color="auto"/>
        <w:bottom w:val="none" w:sz="0" w:space="0" w:color="auto"/>
        <w:right w:val="none" w:sz="0" w:space="0" w:color="auto"/>
      </w:divBdr>
      <w:divsChild>
        <w:div w:id="177351339">
          <w:marLeft w:val="547"/>
          <w:marRight w:val="115"/>
          <w:marTop w:val="0"/>
          <w:marBottom w:val="0"/>
          <w:divBdr>
            <w:top w:val="none" w:sz="0" w:space="0" w:color="auto"/>
            <w:left w:val="none" w:sz="0" w:space="0" w:color="auto"/>
            <w:bottom w:val="none" w:sz="0" w:space="0" w:color="auto"/>
            <w:right w:val="none" w:sz="0" w:space="0" w:color="auto"/>
          </w:divBdr>
        </w:div>
        <w:div w:id="621880820">
          <w:marLeft w:val="547"/>
          <w:marRight w:val="115"/>
          <w:marTop w:val="0"/>
          <w:marBottom w:val="0"/>
          <w:divBdr>
            <w:top w:val="none" w:sz="0" w:space="0" w:color="auto"/>
            <w:left w:val="none" w:sz="0" w:space="0" w:color="auto"/>
            <w:bottom w:val="none" w:sz="0" w:space="0" w:color="auto"/>
            <w:right w:val="none" w:sz="0" w:space="0" w:color="auto"/>
          </w:divBdr>
        </w:div>
        <w:div w:id="1227495399">
          <w:marLeft w:val="547"/>
          <w:marRight w:val="115"/>
          <w:marTop w:val="0"/>
          <w:marBottom w:val="0"/>
          <w:divBdr>
            <w:top w:val="none" w:sz="0" w:space="0" w:color="auto"/>
            <w:left w:val="none" w:sz="0" w:space="0" w:color="auto"/>
            <w:bottom w:val="none" w:sz="0" w:space="0" w:color="auto"/>
            <w:right w:val="none" w:sz="0" w:space="0" w:color="auto"/>
          </w:divBdr>
        </w:div>
        <w:div w:id="1294601353">
          <w:marLeft w:val="547"/>
          <w:marRight w:val="115"/>
          <w:marTop w:val="0"/>
          <w:marBottom w:val="200"/>
          <w:divBdr>
            <w:top w:val="none" w:sz="0" w:space="0" w:color="auto"/>
            <w:left w:val="none" w:sz="0" w:space="0" w:color="auto"/>
            <w:bottom w:val="none" w:sz="0" w:space="0" w:color="auto"/>
            <w:right w:val="none" w:sz="0" w:space="0" w:color="auto"/>
          </w:divBdr>
        </w:div>
      </w:divsChild>
    </w:div>
    <w:div w:id="1809277958">
      <w:bodyDiv w:val="1"/>
      <w:marLeft w:val="0"/>
      <w:marRight w:val="0"/>
      <w:marTop w:val="0"/>
      <w:marBottom w:val="0"/>
      <w:divBdr>
        <w:top w:val="none" w:sz="0" w:space="0" w:color="auto"/>
        <w:left w:val="none" w:sz="0" w:space="0" w:color="auto"/>
        <w:bottom w:val="none" w:sz="0" w:space="0" w:color="auto"/>
        <w:right w:val="none" w:sz="0" w:space="0" w:color="auto"/>
      </w:divBdr>
    </w:div>
    <w:div w:id="1810900331">
      <w:bodyDiv w:val="1"/>
      <w:marLeft w:val="0"/>
      <w:marRight w:val="0"/>
      <w:marTop w:val="0"/>
      <w:marBottom w:val="0"/>
      <w:divBdr>
        <w:top w:val="none" w:sz="0" w:space="0" w:color="auto"/>
        <w:left w:val="none" w:sz="0" w:space="0" w:color="auto"/>
        <w:bottom w:val="none" w:sz="0" w:space="0" w:color="auto"/>
        <w:right w:val="none" w:sz="0" w:space="0" w:color="auto"/>
      </w:divBdr>
    </w:div>
    <w:div w:id="1823501054">
      <w:bodyDiv w:val="1"/>
      <w:marLeft w:val="0"/>
      <w:marRight w:val="0"/>
      <w:marTop w:val="0"/>
      <w:marBottom w:val="0"/>
      <w:divBdr>
        <w:top w:val="none" w:sz="0" w:space="0" w:color="auto"/>
        <w:left w:val="none" w:sz="0" w:space="0" w:color="auto"/>
        <w:bottom w:val="none" w:sz="0" w:space="0" w:color="auto"/>
        <w:right w:val="none" w:sz="0" w:space="0" w:color="auto"/>
      </w:divBdr>
    </w:div>
    <w:div w:id="1827939387">
      <w:bodyDiv w:val="1"/>
      <w:marLeft w:val="0"/>
      <w:marRight w:val="0"/>
      <w:marTop w:val="0"/>
      <w:marBottom w:val="0"/>
      <w:divBdr>
        <w:top w:val="none" w:sz="0" w:space="0" w:color="auto"/>
        <w:left w:val="none" w:sz="0" w:space="0" w:color="auto"/>
        <w:bottom w:val="none" w:sz="0" w:space="0" w:color="auto"/>
        <w:right w:val="none" w:sz="0" w:space="0" w:color="auto"/>
      </w:divBdr>
    </w:div>
    <w:div w:id="1833569239">
      <w:bodyDiv w:val="1"/>
      <w:marLeft w:val="0"/>
      <w:marRight w:val="0"/>
      <w:marTop w:val="0"/>
      <w:marBottom w:val="0"/>
      <w:divBdr>
        <w:top w:val="none" w:sz="0" w:space="0" w:color="auto"/>
        <w:left w:val="none" w:sz="0" w:space="0" w:color="auto"/>
        <w:bottom w:val="none" w:sz="0" w:space="0" w:color="auto"/>
        <w:right w:val="none" w:sz="0" w:space="0" w:color="auto"/>
      </w:divBdr>
    </w:div>
    <w:div w:id="1862350615">
      <w:bodyDiv w:val="1"/>
      <w:marLeft w:val="0"/>
      <w:marRight w:val="0"/>
      <w:marTop w:val="0"/>
      <w:marBottom w:val="0"/>
      <w:divBdr>
        <w:top w:val="none" w:sz="0" w:space="0" w:color="auto"/>
        <w:left w:val="none" w:sz="0" w:space="0" w:color="auto"/>
        <w:bottom w:val="none" w:sz="0" w:space="0" w:color="auto"/>
        <w:right w:val="none" w:sz="0" w:space="0" w:color="auto"/>
      </w:divBdr>
    </w:div>
    <w:div w:id="1920207512">
      <w:bodyDiv w:val="1"/>
      <w:marLeft w:val="0"/>
      <w:marRight w:val="0"/>
      <w:marTop w:val="0"/>
      <w:marBottom w:val="0"/>
      <w:divBdr>
        <w:top w:val="none" w:sz="0" w:space="0" w:color="auto"/>
        <w:left w:val="none" w:sz="0" w:space="0" w:color="auto"/>
        <w:bottom w:val="none" w:sz="0" w:space="0" w:color="auto"/>
        <w:right w:val="none" w:sz="0" w:space="0" w:color="auto"/>
      </w:divBdr>
    </w:div>
    <w:div w:id="1934624713">
      <w:bodyDiv w:val="1"/>
      <w:marLeft w:val="0"/>
      <w:marRight w:val="0"/>
      <w:marTop w:val="0"/>
      <w:marBottom w:val="0"/>
      <w:divBdr>
        <w:top w:val="none" w:sz="0" w:space="0" w:color="auto"/>
        <w:left w:val="none" w:sz="0" w:space="0" w:color="auto"/>
        <w:bottom w:val="none" w:sz="0" w:space="0" w:color="auto"/>
        <w:right w:val="none" w:sz="0" w:space="0" w:color="auto"/>
      </w:divBdr>
      <w:divsChild>
        <w:div w:id="269096314">
          <w:marLeft w:val="0"/>
          <w:marRight w:val="0"/>
          <w:marTop w:val="75"/>
          <w:marBottom w:val="0"/>
          <w:divBdr>
            <w:top w:val="none" w:sz="0" w:space="0" w:color="auto"/>
            <w:left w:val="none" w:sz="0" w:space="0" w:color="auto"/>
            <w:bottom w:val="none" w:sz="0" w:space="0" w:color="auto"/>
            <w:right w:val="none" w:sz="0" w:space="0" w:color="auto"/>
          </w:divBdr>
        </w:div>
        <w:div w:id="1118838853">
          <w:marLeft w:val="0"/>
          <w:marRight w:val="0"/>
          <w:marTop w:val="0"/>
          <w:marBottom w:val="0"/>
          <w:divBdr>
            <w:top w:val="none" w:sz="0" w:space="0" w:color="auto"/>
            <w:left w:val="none" w:sz="0" w:space="0" w:color="auto"/>
            <w:bottom w:val="none" w:sz="0" w:space="0" w:color="auto"/>
            <w:right w:val="none" w:sz="0" w:space="0" w:color="auto"/>
          </w:divBdr>
        </w:div>
        <w:div w:id="2086954067">
          <w:marLeft w:val="0"/>
          <w:marRight w:val="0"/>
          <w:marTop w:val="75"/>
          <w:marBottom w:val="0"/>
          <w:divBdr>
            <w:top w:val="none" w:sz="0" w:space="0" w:color="auto"/>
            <w:left w:val="none" w:sz="0" w:space="0" w:color="auto"/>
            <w:bottom w:val="none" w:sz="0" w:space="0" w:color="auto"/>
            <w:right w:val="none" w:sz="0" w:space="0" w:color="auto"/>
          </w:divBdr>
        </w:div>
      </w:divsChild>
    </w:div>
    <w:div w:id="1953901511">
      <w:bodyDiv w:val="1"/>
      <w:marLeft w:val="0"/>
      <w:marRight w:val="0"/>
      <w:marTop w:val="0"/>
      <w:marBottom w:val="0"/>
      <w:divBdr>
        <w:top w:val="none" w:sz="0" w:space="0" w:color="auto"/>
        <w:left w:val="none" w:sz="0" w:space="0" w:color="auto"/>
        <w:bottom w:val="none" w:sz="0" w:space="0" w:color="auto"/>
        <w:right w:val="none" w:sz="0" w:space="0" w:color="auto"/>
      </w:divBdr>
    </w:div>
    <w:div w:id="1983385258">
      <w:bodyDiv w:val="1"/>
      <w:marLeft w:val="0"/>
      <w:marRight w:val="0"/>
      <w:marTop w:val="0"/>
      <w:marBottom w:val="0"/>
      <w:divBdr>
        <w:top w:val="none" w:sz="0" w:space="0" w:color="auto"/>
        <w:left w:val="none" w:sz="0" w:space="0" w:color="auto"/>
        <w:bottom w:val="none" w:sz="0" w:space="0" w:color="auto"/>
        <w:right w:val="none" w:sz="0" w:space="0" w:color="auto"/>
      </w:divBdr>
    </w:div>
    <w:div w:id="1993827023">
      <w:bodyDiv w:val="1"/>
      <w:marLeft w:val="0"/>
      <w:marRight w:val="0"/>
      <w:marTop w:val="0"/>
      <w:marBottom w:val="0"/>
      <w:divBdr>
        <w:top w:val="none" w:sz="0" w:space="0" w:color="auto"/>
        <w:left w:val="none" w:sz="0" w:space="0" w:color="auto"/>
        <w:bottom w:val="none" w:sz="0" w:space="0" w:color="auto"/>
        <w:right w:val="none" w:sz="0" w:space="0" w:color="auto"/>
      </w:divBdr>
    </w:div>
    <w:div w:id="1994605036">
      <w:bodyDiv w:val="1"/>
      <w:marLeft w:val="0"/>
      <w:marRight w:val="0"/>
      <w:marTop w:val="0"/>
      <w:marBottom w:val="0"/>
      <w:divBdr>
        <w:top w:val="none" w:sz="0" w:space="0" w:color="auto"/>
        <w:left w:val="none" w:sz="0" w:space="0" w:color="auto"/>
        <w:bottom w:val="none" w:sz="0" w:space="0" w:color="auto"/>
        <w:right w:val="none" w:sz="0" w:space="0" w:color="auto"/>
      </w:divBdr>
    </w:div>
    <w:div w:id="1995835389">
      <w:bodyDiv w:val="1"/>
      <w:marLeft w:val="0"/>
      <w:marRight w:val="0"/>
      <w:marTop w:val="0"/>
      <w:marBottom w:val="0"/>
      <w:divBdr>
        <w:top w:val="none" w:sz="0" w:space="0" w:color="auto"/>
        <w:left w:val="none" w:sz="0" w:space="0" w:color="auto"/>
        <w:bottom w:val="none" w:sz="0" w:space="0" w:color="auto"/>
        <w:right w:val="none" w:sz="0" w:space="0" w:color="auto"/>
      </w:divBdr>
    </w:div>
    <w:div w:id="1997762076">
      <w:bodyDiv w:val="1"/>
      <w:marLeft w:val="0"/>
      <w:marRight w:val="0"/>
      <w:marTop w:val="0"/>
      <w:marBottom w:val="0"/>
      <w:divBdr>
        <w:top w:val="none" w:sz="0" w:space="0" w:color="auto"/>
        <w:left w:val="none" w:sz="0" w:space="0" w:color="auto"/>
        <w:bottom w:val="none" w:sz="0" w:space="0" w:color="auto"/>
        <w:right w:val="none" w:sz="0" w:space="0" w:color="auto"/>
      </w:divBdr>
      <w:divsChild>
        <w:div w:id="227619278">
          <w:marLeft w:val="0"/>
          <w:marRight w:val="0"/>
          <w:marTop w:val="256"/>
          <w:marBottom w:val="256"/>
          <w:divBdr>
            <w:top w:val="none" w:sz="0" w:space="0" w:color="auto"/>
            <w:left w:val="none" w:sz="0" w:space="0" w:color="auto"/>
            <w:bottom w:val="none" w:sz="0" w:space="0" w:color="auto"/>
            <w:right w:val="none" w:sz="0" w:space="0" w:color="auto"/>
          </w:divBdr>
        </w:div>
        <w:div w:id="942570661">
          <w:marLeft w:val="0"/>
          <w:marRight w:val="0"/>
          <w:marTop w:val="256"/>
          <w:marBottom w:val="256"/>
          <w:divBdr>
            <w:top w:val="none" w:sz="0" w:space="0" w:color="auto"/>
            <w:left w:val="none" w:sz="0" w:space="0" w:color="auto"/>
            <w:bottom w:val="none" w:sz="0" w:space="0" w:color="auto"/>
            <w:right w:val="none" w:sz="0" w:space="0" w:color="auto"/>
          </w:divBdr>
        </w:div>
      </w:divsChild>
    </w:div>
    <w:div w:id="2000228808">
      <w:bodyDiv w:val="1"/>
      <w:marLeft w:val="0"/>
      <w:marRight w:val="0"/>
      <w:marTop w:val="0"/>
      <w:marBottom w:val="0"/>
      <w:divBdr>
        <w:top w:val="none" w:sz="0" w:space="0" w:color="auto"/>
        <w:left w:val="none" w:sz="0" w:space="0" w:color="auto"/>
        <w:bottom w:val="none" w:sz="0" w:space="0" w:color="auto"/>
        <w:right w:val="none" w:sz="0" w:space="0" w:color="auto"/>
      </w:divBdr>
      <w:divsChild>
        <w:div w:id="1136947688">
          <w:marLeft w:val="0"/>
          <w:marRight w:val="0"/>
          <w:marTop w:val="0"/>
          <w:marBottom w:val="0"/>
          <w:divBdr>
            <w:top w:val="none" w:sz="0" w:space="0" w:color="auto"/>
            <w:left w:val="none" w:sz="0" w:space="0" w:color="auto"/>
            <w:bottom w:val="none" w:sz="0" w:space="0" w:color="auto"/>
            <w:right w:val="none" w:sz="0" w:space="0" w:color="auto"/>
          </w:divBdr>
          <w:divsChild>
            <w:div w:id="663780517">
              <w:marLeft w:val="0"/>
              <w:marRight w:val="120"/>
              <w:marTop w:val="0"/>
              <w:marBottom w:val="0"/>
              <w:divBdr>
                <w:top w:val="none" w:sz="0" w:space="0" w:color="auto"/>
                <w:left w:val="none" w:sz="0" w:space="0" w:color="auto"/>
                <w:bottom w:val="none" w:sz="0" w:space="0" w:color="auto"/>
                <w:right w:val="none" w:sz="0" w:space="0" w:color="auto"/>
              </w:divBdr>
            </w:div>
            <w:div w:id="16201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6581">
      <w:bodyDiv w:val="1"/>
      <w:marLeft w:val="0"/>
      <w:marRight w:val="0"/>
      <w:marTop w:val="0"/>
      <w:marBottom w:val="0"/>
      <w:divBdr>
        <w:top w:val="none" w:sz="0" w:space="0" w:color="auto"/>
        <w:left w:val="none" w:sz="0" w:space="0" w:color="auto"/>
        <w:bottom w:val="none" w:sz="0" w:space="0" w:color="auto"/>
        <w:right w:val="none" w:sz="0" w:space="0" w:color="auto"/>
      </w:divBdr>
    </w:div>
    <w:div w:id="2009166915">
      <w:bodyDiv w:val="1"/>
      <w:marLeft w:val="0"/>
      <w:marRight w:val="0"/>
      <w:marTop w:val="0"/>
      <w:marBottom w:val="0"/>
      <w:divBdr>
        <w:top w:val="none" w:sz="0" w:space="0" w:color="auto"/>
        <w:left w:val="none" w:sz="0" w:space="0" w:color="auto"/>
        <w:bottom w:val="none" w:sz="0" w:space="0" w:color="auto"/>
        <w:right w:val="none" w:sz="0" w:space="0" w:color="auto"/>
      </w:divBdr>
    </w:div>
    <w:div w:id="2016227784">
      <w:bodyDiv w:val="1"/>
      <w:marLeft w:val="0"/>
      <w:marRight w:val="0"/>
      <w:marTop w:val="0"/>
      <w:marBottom w:val="0"/>
      <w:divBdr>
        <w:top w:val="none" w:sz="0" w:space="0" w:color="auto"/>
        <w:left w:val="none" w:sz="0" w:space="0" w:color="auto"/>
        <w:bottom w:val="none" w:sz="0" w:space="0" w:color="auto"/>
        <w:right w:val="none" w:sz="0" w:space="0" w:color="auto"/>
      </w:divBdr>
    </w:div>
    <w:div w:id="2061398185">
      <w:bodyDiv w:val="1"/>
      <w:marLeft w:val="0"/>
      <w:marRight w:val="0"/>
      <w:marTop w:val="0"/>
      <w:marBottom w:val="0"/>
      <w:divBdr>
        <w:top w:val="none" w:sz="0" w:space="0" w:color="auto"/>
        <w:left w:val="none" w:sz="0" w:space="0" w:color="auto"/>
        <w:bottom w:val="none" w:sz="0" w:space="0" w:color="auto"/>
        <w:right w:val="none" w:sz="0" w:space="0" w:color="auto"/>
      </w:divBdr>
      <w:divsChild>
        <w:div w:id="46419240">
          <w:marLeft w:val="288"/>
          <w:marRight w:val="0"/>
          <w:marTop w:val="220"/>
          <w:marBottom w:val="0"/>
          <w:divBdr>
            <w:top w:val="none" w:sz="0" w:space="0" w:color="auto"/>
            <w:left w:val="none" w:sz="0" w:space="0" w:color="auto"/>
            <w:bottom w:val="none" w:sz="0" w:space="0" w:color="auto"/>
            <w:right w:val="none" w:sz="0" w:space="0" w:color="auto"/>
          </w:divBdr>
        </w:div>
        <w:div w:id="253167718">
          <w:marLeft w:val="288"/>
          <w:marRight w:val="0"/>
          <w:marTop w:val="220"/>
          <w:marBottom w:val="0"/>
          <w:divBdr>
            <w:top w:val="none" w:sz="0" w:space="0" w:color="auto"/>
            <w:left w:val="none" w:sz="0" w:space="0" w:color="auto"/>
            <w:bottom w:val="none" w:sz="0" w:space="0" w:color="auto"/>
            <w:right w:val="none" w:sz="0" w:space="0" w:color="auto"/>
          </w:divBdr>
        </w:div>
        <w:div w:id="495927143">
          <w:marLeft w:val="288"/>
          <w:marRight w:val="0"/>
          <w:marTop w:val="220"/>
          <w:marBottom w:val="0"/>
          <w:divBdr>
            <w:top w:val="none" w:sz="0" w:space="0" w:color="auto"/>
            <w:left w:val="none" w:sz="0" w:space="0" w:color="auto"/>
            <w:bottom w:val="none" w:sz="0" w:space="0" w:color="auto"/>
            <w:right w:val="none" w:sz="0" w:space="0" w:color="auto"/>
          </w:divBdr>
        </w:div>
        <w:div w:id="1636058239">
          <w:marLeft w:val="288"/>
          <w:marRight w:val="0"/>
          <w:marTop w:val="220"/>
          <w:marBottom w:val="0"/>
          <w:divBdr>
            <w:top w:val="none" w:sz="0" w:space="0" w:color="auto"/>
            <w:left w:val="none" w:sz="0" w:space="0" w:color="auto"/>
            <w:bottom w:val="none" w:sz="0" w:space="0" w:color="auto"/>
            <w:right w:val="none" w:sz="0" w:space="0" w:color="auto"/>
          </w:divBdr>
        </w:div>
        <w:div w:id="2006204535">
          <w:marLeft w:val="288"/>
          <w:marRight w:val="0"/>
          <w:marTop w:val="220"/>
          <w:marBottom w:val="0"/>
          <w:divBdr>
            <w:top w:val="none" w:sz="0" w:space="0" w:color="auto"/>
            <w:left w:val="none" w:sz="0" w:space="0" w:color="auto"/>
            <w:bottom w:val="none" w:sz="0" w:space="0" w:color="auto"/>
            <w:right w:val="none" w:sz="0" w:space="0" w:color="auto"/>
          </w:divBdr>
        </w:div>
        <w:div w:id="2056541901">
          <w:marLeft w:val="288"/>
          <w:marRight w:val="0"/>
          <w:marTop w:val="220"/>
          <w:marBottom w:val="0"/>
          <w:divBdr>
            <w:top w:val="none" w:sz="0" w:space="0" w:color="auto"/>
            <w:left w:val="none" w:sz="0" w:space="0" w:color="auto"/>
            <w:bottom w:val="none" w:sz="0" w:space="0" w:color="auto"/>
            <w:right w:val="none" w:sz="0" w:space="0" w:color="auto"/>
          </w:divBdr>
        </w:div>
        <w:div w:id="2086605793">
          <w:marLeft w:val="288"/>
          <w:marRight w:val="0"/>
          <w:marTop w:val="220"/>
          <w:marBottom w:val="0"/>
          <w:divBdr>
            <w:top w:val="none" w:sz="0" w:space="0" w:color="auto"/>
            <w:left w:val="none" w:sz="0" w:space="0" w:color="auto"/>
            <w:bottom w:val="none" w:sz="0" w:space="0" w:color="auto"/>
            <w:right w:val="none" w:sz="0" w:space="0" w:color="auto"/>
          </w:divBdr>
        </w:div>
      </w:divsChild>
    </w:div>
    <w:div w:id="2090422370">
      <w:bodyDiv w:val="1"/>
      <w:marLeft w:val="0"/>
      <w:marRight w:val="0"/>
      <w:marTop w:val="0"/>
      <w:marBottom w:val="0"/>
      <w:divBdr>
        <w:top w:val="none" w:sz="0" w:space="0" w:color="auto"/>
        <w:left w:val="none" w:sz="0" w:space="0" w:color="auto"/>
        <w:bottom w:val="none" w:sz="0" w:space="0" w:color="auto"/>
        <w:right w:val="none" w:sz="0" w:space="0" w:color="auto"/>
      </w:divBdr>
    </w:div>
    <w:div w:id="2104374906">
      <w:bodyDiv w:val="1"/>
      <w:marLeft w:val="0"/>
      <w:marRight w:val="0"/>
      <w:marTop w:val="0"/>
      <w:marBottom w:val="0"/>
      <w:divBdr>
        <w:top w:val="none" w:sz="0" w:space="0" w:color="auto"/>
        <w:left w:val="none" w:sz="0" w:space="0" w:color="auto"/>
        <w:bottom w:val="none" w:sz="0" w:space="0" w:color="auto"/>
        <w:right w:val="none" w:sz="0" w:space="0" w:color="auto"/>
      </w:divBdr>
    </w:div>
    <w:div w:id="2113739188">
      <w:bodyDiv w:val="1"/>
      <w:marLeft w:val="0"/>
      <w:marRight w:val="0"/>
      <w:marTop w:val="0"/>
      <w:marBottom w:val="0"/>
      <w:divBdr>
        <w:top w:val="none" w:sz="0" w:space="0" w:color="auto"/>
        <w:left w:val="none" w:sz="0" w:space="0" w:color="auto"/>
        <w:bottom w:val="none" w:sz="0" w:space="0" w:color="auto"/>
        <w:right w:val="none" w:sz="0" w:space="0" w:color="auto"/>
      </w:divBdr>
    </w:div>
    <w:div w:id="2116899281">
      <w:bodyDiv w:val="1"/>
      <w:marLeft w:val="0"/>
      <w:marRight w:val="0"/>
      <w:marTop w:val="0"/>
      <w:marBottom w:val="0"/>
      <w:divBdr>
        <w:top w:val="none" w:sz="0" w:space="0" w:color="auto"/>
        <w:left w:val="none" w:sz="0" w:space="0" w:color="auto"/>
        <w:bottom w:val="none" w:sz="0" w:space="0" w:color="auto"/>
        <w:right w:val="none" w:sz="0" w:space="0" w:color="auto"/>
      </w:divBdr>
    </w:div>
    <w:div w:id="2117020405">
      <w:bodyDiv w:val="1"/>
      <w:marLeft w:val="0"/>
      <w:marRight w:val="0"/>
      <w:marTop w:val="0"/>
      <w:marBottom w:val="0"/>
      <w:divBdr>
        <w:top w:val="none" w:sz="0" w:space="0" w:color="auto"/>
        <w:left w:val="none" w:sz="0" w:space="0" w:color="auto"/>
        <w:bottom w:val="none" w:sz="0" w:space="0" w:color="auto"/>
        <w:right w:val="none" w:sz="0" w:space="0" w:color="auto"/>
      </w:divBdr>
    </w:div>
    <w:div w:id="2132433486">
      <w:bodyDiv w:val="1"/>
      <w:marLeft w:val="0"/>
      <w:marRight w:val="0"/>
      <w:marTop w:val="0"/>
      <w:marBottom w:val="0"/>
      <w:divBdr>
        <w:top w:val="none" w:sz="0" w:space="0" w:color="auto"/>
        <w:left w:val="none" w:sz="0" w:space="0" w:color="auto"/>
        <w:bottom w:val="none" w:sz="0" w:space="0" w:color="auto"/>
        <w:right w:val="none" w:sz="0" w:space="0" w:color="auto"/>
      </w:divBdr>
    </w:div>
    <w:div w:id="21444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96E3-E6D1-4C58-B794-0265DB47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9694</Characters>
  <Application>Microsoft Office Word</Application>
  <DocSecurity>0</DocSecurity>
  <Lines>183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Nordjylland</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Schmitz</dc:creator>
  <cp:keywords/>
  <dc:description/>
  <cp:lastModifiedBy>Anne Lindblom Hansen</cp:lastModifiedBy>
  <cp:revision>3</cp:revision>
  <cp:lastPrinted>2020-06-11T12:36:00Z</cp:lastPrinted>
  <dcterms:created xsi:type="dcterms:W3CDTF">2021-09-12T09:41:00Z</dcterms:created>
  <dcterms:modified xsi:type="dcterms:W3CDTF">2021-09-30T08:47:00Z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http://www.zotero.org/styles/blood-cancer-journal</vt:lpwstr>
  </property>
  <property fmtid="{D5CDD505-2E9C-101B-9397-08002B2CF9AE}" pid="11" name="Mendeley Recent Style Name 4_1">
    <vt:lpwstr>Blood Cancer Journal</vt:lpwstr>
  </property>
  <property fmtid="{D5CDD505-2E9C-101B-9397-08002B2CF9AE}" pid="12" name="Mendeley Recent Style Id 5_1">
    <vt:lpwstr>http://www.zotero.org/styles/cancers</vt:lpwstr>
  </property>
  <property fmtid="{D5CDD505-2E9C-101B-9397-08002B2CF9AE}" pid="13" name="Mendeley Recent Style Name 5_1">
    <vt:lpwstr>Cancers</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http://www.zotero.org/styles/haematologica</vt:lpwstr>
  </property>
  <property fmtid="{D5CDD505-2E9C-101B-9397-08002B2CF9AE}" pid="17" name="Mendeley Recent Style Name 7_1">
    <vt:lpwstr>Haematologica</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fb8c82ec-ee9e-317f-9dee-16ab530d6fb1</vt:lpwstr>
  </property>
  <property fmtid="{D5CDD505-2E9C-101B-9397-08002B2CF9AE}" pid="24" name="Mendeley Citation Style_1">
    <vt:lpwstr>http://www.zotero.org/styles/vancouver</vt:lpwstr>
  </property>
  <property fmtid="{D5CDD505-2E9C-101B-9397-08002B2CF9AE}" pid="25" name="SD_DocumentLanguage">
    <vt:lpwstr>da-DK</vt:lpwstr>
  </property>
  <property fmtid="{D5CDD505-2E9C-101B-9397-08002B2CF9AE}" pid="26" name="ContentRemapped">
    <vt:lpwstr>true</vt:lpwstr>
  </property>
</Properties>
</file>