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F53D9" w14:textId="77777777" w:rsidR="005041C6" w:rsidRDefault="005041C6" w:rsidP="005041C6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32"/>
          <w:szCs w:val="32"/>
          <w:lang w:val="en-GB"/>
        </w:rPr>
        <w:t xml:space="preserve">Association </w:t>
      </w:r>
      <w:r w:rsidRPr="00FD7F7A">
        <w:rPr>
          <w:b/>
          <w:bCs/>
          <w:sz w:val="32"/>
          <w:szCs w:val="32"/>
          <w:lang w:val="en-GB"/>
        </w:rPr>
        <w:t xml:space="preserve">of </w:t>
      </w:r>
      <w:r>
        <w:rPr>
          <w:b/>
          <w:bCs/>
          <w:sz w:val="32"/>
          <w:szCs w:val="32"/>
          <w:lang w:val="en-GB"/>
        </w:rPr>
        <w:t xml:space="preserve">perceived </w:t>
      </w:r>
      <w:r w:rsidRPr="00FD7F7A">
        <w:rPr>
          <w:b/>
          <w:bCs/>
          <w:sz w:val="32"/>
          <w:szCs w:val="32"/>
          <w:lang w:val="en-GB"/>
        </w:rPr>
        <w:t>work pace and physical</w:t>
      </w:r>
      <w:r>
        <w:rPr>
          <w:b/>
          <w:bCs/>
          <w:sz w:val="32"/>
          <w:szCs w:val="32"/>
          <w:lang w:val="en-GB"/>
        </w:rPr>
        <w:t xml:space="preserve"> </w:t>
      </w:r>
      <w:r w:rsidRPr="00FD7F7A">
        <w:rPr>
          <w:b/>
          <w:bCs/>
          <w:sz w:val="32"/>
          <w:szCs w:val="32"/>
          <w:lang w:val="en-GB"/>
        </w:rPr>
        <w:t>work demand</w:t>
      </w:r>
      <w:r>
        <w:rPr>
          <w:b/>
          <w:bCs/>
          <w:sz w:val="32"/>
          <w:szCs w:val="32"/>
          <w:lang w:val="en-GB"/>
        </w:rPr>
        <w:t>s</w:t>
      </w:r>
      <w:r w:rsidRPr="00FD7F7A">
        <w:rPr>
          <w:b/>
          <w:bCs/>
          <w:sz w:val="32"/>
          <w:szCs w:val="32"/>
          <w:lang w:val="en-GB"/>
        </w:rPr>
        <w:t xml:space="preserve"> </w:t>
      </w:r>
      <w:r>
        <w:rPr>
          <w:b/>
          <w:bCs/>
          <w:sz w:val="32"/>
          <w:szCs w:val="32"/>
          <w:lang w:val="en-GB"/>
        </w:rPr>
        <w:t>with</w:t>
      </w:r>
      <w:r w:rsidRPr="00FD7F7A">
        <w:rPr>
          <w:b/>
          <w:bCs/>
          <w:sz w:val="32"/>
          <w:szCs w:val="32"/>
          <w:lang w:val="en-GB"/>
        </w:rPr>
        <w:t xml:space="preserve"> </w:t>
      </w:r>
      <w:r>
        <w:rPr>
          <w:b/>
          <w:bCs/>
          <w:sz w:val="32"/>
          <w:szCs w:val="32"/>
          <w:lang w:val="en-GB"/>
        </w:rPr>
        <w:t>occupational accidents</w:t>
      </w:r>
      <w:r w:rsidRPr="00FD7F7A">
        <w:rPr>
          <w:b/>
          <w:bCs/>
          <w:sz w:val="32"/>
          <w:szCs w:val="32"/>
          <w:lang w:val="en-GB"/>
        </w:rPr>
        <w:t>:</w:t>
      </w:r>
      <w:r w:rsidRPr="001F12D9">
        <w:rPr>
          <w:b/>
          <w:bCs/>
          <w:sz w:val="32"/>
          <w:szCs w:val="32"/>
          <w:lang w:val="en-GB"/>
        </w:rPr>
        <w:t xml:space="preserve"> a cross-sectional study of ageing male construction workers in Denmark</w:t>
      </w:r>
    </w:p>
    <w:p w14:paraId="3C2EB52D" w14:textId="77777777" w:rsidR="00D216A2" w:rsidRPr="00FD7F7A" w:rsidRDefault="00D216A2" w:rsidP="00D216A2">
      <w:pPr>
        <w:rPr>
          <w:b/>
          <w:bCs/>
          <w:lang w:val="en-GB"/>
        </w:rPr>
      </w:pPr>
    </w:p>
    <w:p w14:paraId="66E961F4" w14:textId="76AFFCF1" w:rsidR="00D216A2" w:rsidRDefault="00D216A2" w:rsidP="00D216A2">
      <w:pPr>
        <w:spacing w:line="360" w:lineRule="auto"/>
      </w:pPr>
      <w:r w:rsidRPr="00C61F93">
        <w:t>Pernille Weber Hansen</w:t>
      </w:r>
      <w:r>
        <w:rPr>
          <w:vertAlign w:val="superscript"/>
        </w:rPr>
        <w:t>1,2</w:t>
      </w:r>
      <w:r>
        <w:t>,</w:t>
      </w:r>
      <w:r w:rsidRPr="00C61F93">
        <w:t xml:space="preserve"> Vivi Schlünssen</w:t>
      </w:r>
      <w:r>
        <w:rPr>
          <w:vertAlign w:val="superscript"/>
        </w:rPr>
        <w:t>1,3</w:t>
      </w:r>
      <w:r w:rsidRPr="00C61F93">
        <w:t>, Kirsten Fonager</w:t>
      </w:r>
      <w:r>
        <w:rPr>
          <w:vertAlign w:val="superscript"/>
        </w:rPr>
        <w:t>2,4</w:t>
      </w:r>
      <w:r w:rsidRPr="00C61F93">
        <w:t>, Jakob Hjort Bønløkke</w:t>
      </w:r>
      <w:r>
        <w:rPr>
          <w:vertAlign w:val="superscript"/>
        </w:rPr>
        <w:t>5</w:t>
      </w:r>
      <w:r w:rsidRPr="00C61F93">
        <w:t xml:space="preserve">, </w:t>
      </w:r>
    </w:p>
    <w:p w14:paraId="225FA8FB" w14:textId="2FB5AA03" w:rsidR="00D216A2" w:rsidRDefault="00D216A2" w:rsidP="00D216A2">
      <w:pPr>
        <w:spacing w:line="360" w:lineRule="auto"/>
        <w:rPr>
          <w:vertAlign w:val="superscript"/>
        </w:rPr>
      </w:pPr>
      <w:r w:rsidRPr="00C61F93">
        <w:t>Claus D. Hansen</w:t>
      </w:r>
      <w:r>
        <w:rPr>
          <w:vertAlign w:val="superscript"/>
        </w:rPr>
        <w:t>6</w:t>
      </w:r>
      <w:r>
        <w:t xml:space="preserve"> and </w:t>
      </w:r>
      <w:r w:rsidRPr="00C61F93">
        <w:t>Henrik Bøggild</w:t>
      </w:r>
      <w:r>
        <w:rPr>
          <w:vertAlign w:val="superscript"/>
        </w:rPr>
        <w:t>7</w:t>
      </w:r>
    </w:p>
    <w:p w14:paraId="6747FDB1" w14:textId="77777777" w:rsidR="005A485E" w:rsidRPr="00D03385" w:rsidRDefault="005A485E" w:rsidP="00D216A2">
      <w:pPr>
        <w:spacing w:line="360" w:lineRule="auto"/>
        <w:rPr>
          <w:color w:val="FF0000"/>
        </w:rPr>
      </w:pPr>
    </w:p>
    <w:p w14:paraId="1163E23C" w14:textId="77777777" w:rsidR="00D216A2" w:rsidRPr="00FD7F7A" w:rsidRDefault="00D216A2" w:rsidP="005A485E">
      <w:pPr>
        <w:spacing w:line="360" w:lineRule="auto"/>
        <w:rPr>
          <w:sz w:val="18"/>
          <w:szCs w:val="18"/>
          <w:lang w:val="en-GB"/>
        </w:rPr>
      </w:pPr>
      <w:r w:rsidRPr="00FD7F7A">
        <w:rPr>
          <w:sz w:val="18"/>
          <w:szCs w:val="18"/>
          <w:lang w:val="en-GB"/>
        </w:rPr>
        <w:t>1) Department of Public Health, Environment, Occupation and Health, Danish Ramazzini Centre, Aarhus University, Denmark</w:t>
      </w:r>
    </w:p>
    <w:p w14:paraId="3FEADB9B" w14:textId="77777777" w:rsidR="00D216A2" w:rsidRPr="00FD7F7A" w:rsidRDefault="00D216A2" w:rsidP="005A485E">
      <w:pPr>
        <w:pStyle w:val="Ingenafstand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FD7F7A">
        <w:rPr>
          <w:rFonts w:ascii="Times New Roman" w:hAnsi="Times New Roman" w:cs="Times New Roman"/>
          <w:sz w:val="18"/>
          <w:szCs w:val="18"/>
          <w:lang w:val="en-GB"/>
        </w:rPr>
        <w:t>2) Department of Clinical Medicine, Aalborg University, Denmark</w:t>
      </w:r>
    </w:p>
    <w:p w14:paraId="2FF7B1E9" w14:textId="77777777" w:rsidR="00D216A2" w:rsidRPr="00FD7F7A" w:rsidRDefault="00D216A2" w:rsidP="005A485E">
      <w:pPr>
        <w:spacing w:line="360" w:lineRule="auto"/>
        <w:jc w:val="both"/>
        <w:rPr>
          <w:sz w:val="18"/>
          <w:szCs w:val="18"/>
          <w:lang w:val="en-GB"/>
        </w:rPr>
      </w:pPr>
      <w:r w:rsidRPr="00FD7F7A">
        <w:rPr>
          <w:sz w:val="18"/>
          <w:szCs w:val="18"/>
          <w:lang w:val="en-GB"/>
        </w:rPr>
        <w:t>3) National Research Centre for the Working Environment, Copenhagen, Denmark</w:t>
      </w:r>
    </w:p>
    <w:p w14:paraId="4C710100" w14:textId="77777777" w:rsidR="00D216A2" w:rsidRPr="00FD7F7A" w:rsidRDefault="00D216A2" w:rsidP="005A485E">
      <w:pPr>
        <w:spacing w:line="360" w:lineRule="auto"/>
        <w:jc w:val="both"/>
        <w:rPr>
          <w:sz w:val="18"/>
          <w:szCs w:val="18"/>
          <w:lang w:val="en-GB"/>
        </w:rPr>
      </w:pPr>
      <w:r w:rsidRPr="00FD7F7A">
        <w:rPr>
          <w:sz w:val="18"/>
          <w:szCs w:val="18"/>
          <w:lang w:val="en-GB"/>
        </w:rPr>
        <w:t>4) Department of Social Medicine, Aalborg University Hospital, Aalborg, Denmark</w:t>
      </w:r>
    </w:p>
    <w:p w14:paraId="2640302C" w14:textId="77777777" w:rsidR="00D216A2" w:rsidRPr="00FD7F7A" w:rsidRDefault="00D216A2" w:rsidP="005A485E">
      <w:pPr>
        <w:spacing w:line="360" w:lineRule="auto"/>
        <w:rPr>
          <w:sz w:val="18"/>
          <w:szCs w:val="18"/>
          <w:lang w:val="en-GB"/>
        </w:rPr>
      </w:pPr>
      <w:r w:rsidRPr="00FD7F7A">
        <w:rPr>
          <w:sz w:val="18"/>
          <w:szCs w:val="18"/>
          <w:lang w:val="en-GB"/>
        </w:rPr>
        <w:t>5) Department of Occupational and Environmental Medicine, Danish Ramazzini Centre, Aalborg University Hospital, Denmark</w:t>
      </w:r>
    </w:p>
    <w:p w14:paraId="0784D34B" w14:textId="77777777" w:rsidR="00D216A2" w:rsidRPr="00FD7F7A" w:rsidRDefault="00D216A2" w:rsidP="005A485E">
      <w:pPr>
        <w:spacing w:line="360" w:lineRule="auto"/>
        <w:jc w:val="both"/>
        <w:rPr>
          <w:sz w:val="18"/>
          <w:szCs w:val="18"/>
          <w:lang w:val="en-GB"/>
        </w:rPr>
      </w:pPr>
      <w:r w:rsidRPr="00FD7F7A">
        <w:rPr>
          <w:sz w:val="18"/>
          <w:szCs w:val="18"/>
          <w:lang w:val="en-GB"/>
        </w:rPr>
        <w:t>6</w:t>
      </w:r>
      <w:r w:rsidRPr="00FD7F7A">
        <w:rPr>
          <w:color w:val="000000" w:themeColor="text1"/>
          <w:sz w:val="18"/>
          <w:szCs w:val="18"/>
          <w:lang w:val="en-GB"/>
        </w:rPr>
        <w:t xml:space="preserve">) </w:t>
      </w:r>
      <w:r w:rsidRPr="00FD7F7A">
        <w:rPr>
          <w:rFonts w:eastAsiaTheme="minorHAnsi"/>
          <w:color w:val="000000" w:themeColor="text1"/>
          <w:sz w:val="18"/>
          <w:szCs w:val="18"/>
          <w:lang w:val="en-GB" w:eastAsia="en-US"/>
        </w:rPr>
        <w:t>Department of Sociology and Social Work, Aalborg University, Denmark</w:t>
      </w:r>
    </w:p>
    <w:p w14:paraId="0DAA866B" w14:textId="47A6DA3D" w:rsidR="00D216A2" w:rsidRPr="00E43098" w:rsidRDefault="00D216A2" w:rsidP="005A485E">
      <w:pPr>
        <w:pStyle w:val="Ingenafstand"/>
        <w:spacing w:line="360" w:lineRule="auto"/>
        <w:jc w:val="both"/>
        <w:rPr>
          <w:sz w:val="18"/>
          <w:szCs w:val="18"/>
          <w:lang w:val="en-GB"/>
        </w:rPr>
      </w:pPr>
      <w:r w:rsidRPr="00FD7F7A">
        <w:rPr>
          <w:rFonts w:ascii="Times New Roman" w:hAnsi="Times New Roman" w:cs="Times New Roman"/>
          <w:sz w:val="18"/>
          <w:szCs w:val="18"/>
          <w:lang w:val="en-GB"/>
        </w:rPr>
        <w:t>7) Public Health and Epidemiology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Group</w:t>
      </w:r>
      <w:r w:rsidRPr="00FD7F7A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Department of Health Science and Technology, </w:t>
      </w:r>
      <w:r w:rsidRPr="00FD7F7A">
        <w:rPr>
          <w:rFonts w:ascii="Times New Roman" w:hAnsi="Times New Roman" w:cs="Times New Roman"/>
          <w:sz w:val="18"/>
          <w:szCs w:val="18"/>
          <w:lang w:val="en-GB"/>
        </w:rPr>
        <w:t>Aalborg University, Denmark</w:t>
      </w:r>
    </w:p>
    <w:p w14:paraId="7E5557E3" w14:textId="0EBA69EF" w:rsidR="003A7204" w:rsidRDefault="005041C6">
      <w:pPr>
        <w:rPr>
          <w:lang w:val="en-GB"/>
        </w:rPr>
      </w:pPr>
    </w:p>
    <w:p w14:paraId="207EA6E8" w14:textId="35D5C4C9" w:rsidR="005A485E" w:rsidRDefault="005A485E">
      <w:pPr>
        <w:rPr>
          <w:lang w:val="en-GB"/>
        </w:rPr>
      </w:pPr>
    </w:p>
    <w:p w14:paraId="64EB16D4" w14:textId="7976AB6B" w:rsidR="005A485E" w:rsidRDefault="005A485E">
      <w:pPr>
        <w:rPr>
          <w:lang w:val="en-GB"/>
        </w:rPr>
      </w:pPr>
    </w:p>
    <w:p w14:paraId="589B1843" w14:textId="50FEADDC" w:rsidR="005A485E" w:rsidRDefault="005A485E">
      <w:pPr>
        <w:rPr>
          <w:lang w:val="en-GB"/>
        </w:rPr>
      </w:pPr>
    </w:p>
    <w:p w14:paraId="5560C3DC" w14:textId="7C46C12F" w:rsidR="005A485E" w:rsidRDefault="005A485E">
      <w:pPr>
        <w:rPr>
          <w:lang w:val="en-GB"/>
        </w:rPr>
      </w:pPr>
    </w:p>
    <w:p w14:paraId="416E285A" w14:textId="3A0EDD56" w:rsidR="005A485E" w:rsidRDefault="005A485E">
      <w:pPr>
        <w:rPr>
          <w:lang w:val="en-GB"/>
        </w:rPr>
      </w:pPr>
    </w:p>
    <w:p w14:paraId="674E0182" w14:textId="369CCD31" w:rsidR="005A485E" w:rsidRDefault="005A485E">
      <w:pPr>
        <w:rPr>
          <w:lang w:val="en-GB"/>
        </w:rPr>
      </w:pPr>
    </w:p>
    <w:p w14:paraId="38789908" w14:textId="0593A5A5" w:rsidR="005A485E" w:rsidRDefault="005A485E">
      <w:pPr>
        <w:rPr>
          <w:lang w:val="en-GB"/>
        </w:rPr>
      </w:pPr>
    </w:p>
    <w:p w14:paraId="0C466756" w14:textId="03F71128" w:rsidR="005A485E" w:rsidRDefault="005A485E">
      <w:pPr>
        <w:rPr>
          <w:lang w:val="en-GB"/>
        </w:rPr>
      </w:pPr>
    </w:p>
    <w:p w14:paraId="3859E6E0" w14:textId="6BFAF3D1" w:rsidR="005A485E" w:rsidRDefault="005A485E">
      <w:pPr>
        <w:rPr>
          <w:lang w:val="en-GB"/>
        </w:rPr>
      </w:pPr>
    </w:p>
    <w:p w14:paraId="15688DF7" w14:textId="671B0C14" w:rsidR="005A485E" w:rsidRDefault="005A485E">
      <w:pPr>
        <w:rPr>
          <w:lang w:val="en-GB"/>
        </w:rPr>
      </w:pPr>
    </w:p>
    <w:p w14:paraId="13AB42D2" w14:textId="2C2F26D1" w:rsidR="005A485E" w:rsidRDefault="005A485E">
      <w:pPr>
        <w:rPr>
          <w:lang w:val="en-GB"/>
        </w:rPr>
      </w:pPr>
    </w:p>
    <w:p w14:paraId="27F0E011" w14:textId="5ED0B23B" w:rsidR="005A485E" w:rsidRDefault="005A485E">
      <w:pPr>
        <w:rPr>
          <w:lang w:val="en-GB"/>
        </w:rPr>
      </w:pPr>
    </w:p>
    <w:p w14:paraId="07527B45" w14:textId="024FC6E2" w:rsidR="005A485E" w:rsidRDefault="005A485E">
      <w:pPr>
        <w:rPr>
          <w:lang w:val="en-GB"/>
        </w:rPr>
      </w:pPr>
    </w:p>
    <w:p w14:paraId="498D8426" w14:textId="55137A8D" w:rsidR="005A485E" w:rsidRDefault="005A485E">
      <w:pPr>
        <w:rPr>
          <w:lang w:val="en-GB"/>
        </w:rPr>
      </w:pPr>
    </w:p>
    <w:p w14:paraId="67514E69" w14:textId="3539EE28" w:rsidR="005A485E" w:rsidRDefault="005A485E">
      <w:pPr>
        <w:rPr>
          <w:lang w:val="en-GB"/>
        </w:rPr>
      </w:pPr>
    </w:p>
    <w:p w14:paraId="0A725079" w14:textId="5E85E090" w:rsidR="005A485E" w:rsidRDefault="005A485E">
      <w:pPr>
        <w:rPr>
          <w:lang w:val="en-GB"/>
        </w:rPr>
      </w:pPr>
    </w:p>
    <w:p w14:paraId="5104CD67" w14:textId="4048C122" w:rsidR="005A485E" w:rsidRDefault="005A485E">
      <w:pPr>
        <w:rPr>
          <w:lang w:val="en-GB"/>
        </w:rPr>
      </w:pPr>
    </w:p>
    <w:p w14:paraId="42261197" w14:textId="497D9855" w:rsidR="005A485E" w:rsidRDefault="005A485E">
      <w:pPr>
        <w:rPr>
          <w:lang w:val="en-GB"/>
        </w:rPr>
      </w:pPr>
    </w:p>
    <w:p w14:paraId="7249E3D8" w14:textId="17B6D60C" w:rsidR="005A485E" w:rsidRDefault="005A485E">
      <w:pPr>
        <w:rPr>
          <w:lang w:val="en-GB"/>
        </w:rPr>
      </w:pPr>
    </w:p>
    <w:p w14:paraId="5C3E5882" w14:textId="5ED65E5F" w:rsidR="005A485E" w:rsidRDefault="005A485E">
      <w:pPr>
        <w:rPr>
          <w:lang w:val="en-GB"/>
        </w:rPr>
      </w:pPr>
    </w:p>
    <w:p w14:paraId="60EF58F9" w14:textId="593528F7" w:rsidR="005A485E" w:rsidRDefault="005A485E">
      <w:pPr>
        <w:rPr>
          <w:lang w:val="en-GB"/>
        </w:rPr>
      </w:pPr>
    </w:p>
    <w:p w14:paraId="677163C5" w14:textId="040D66D2" w:rsidR="005A485E" w:rsidRDefault="005A485E">
      <w:pPr>
        <w:rPr>
          <w:lang w:val="en-GB"/>
        </w:rPr>
      </w:pPr>
    </w:p>
    <w:p w14:paraId="112E2922" w14:textId="32ECC296" w:rsidR="005A485E" w:rsidRDefault="005A485E">
      <w:pPr>
        <w:rPr>
          <w:lang w:val="en-GB"/>
        </w:rPr>
      </w:pPr>
    </w:p>
    <w:p w14:paraId="3FF1C80A" w14:textId="3993EF6A" w:rsidR="005A485E" w:rsidRDefault="005A485E">
      <w:pPr>
        <w:rPr>
          <w:lang w:val="en-GB"/>
        </w:rPr>
      </w:pPr>
    </w:p>
    <w:p w14:paraId="7B548FCB" w14:textId="761D5A3A" w:rsidR="005A485E" w:rsidRDefault="005A485E">
      <w:pPr>
        <w:rPr>
          <w:lang w:val="en-GB"/>
        </w:rPr>
      </w:pPr>
    </w:p>
    <w:p w14:paraId="5F1B4A18" w14:textId="34F671A2" w:rsidR="005A485E" w:rsidRDefault="005A485E">
      <w:pPr>
        <w:rPr>
          <w:lang w:val="en-GB"/>
        </w:rPr>
      </w:pPr>
    </w:p>
    <w:p w14:paraId="2068C223" w14:textId="765F7908" w:rsidR="005A485E" w:rsidRPr="005A485E" w:rsidRDefault="005A485E">
      <w:pPr>
        <w:rPr>
          <w:b/>
          <w:bCs/>
          <w:i/>
          <w:iCs/>
          <w:lang w:val="en-GB"/>
        </w:rPr>
      </w:pPr>
      <w:bookmarkStart w:id="0" w:name="_GoBack"/>
      <w:bookmarkEnd w:id="0"/>
      <w:r w:rsidRPr="005A485E">
        <w:rPr>
          <w:b/>
          <w:bCs/>
          <w:i/>
          <w:iCs/>
          <w:lang w:val="en-GB"/>
        </w:rPr>
        <w:t>Supplementary Table S1</w:t>
      </w:r>
    </w:p>
    <w:p w14:paraId="2F202BAC" w14:textId="003826E7" w:rsidR="005A485E" w:rsidRDefault="005A485E">
      <w:pPr>
        <w:rPr>
          <w:lang w:val="en-GB"/>
        </w:rPr>
      </w:pPr>
    </w:p>
    <w:p w14:paraId="05390EFD" w14:textId="77777777" w:rsidR="005A485E" w:rsidRDefault="005A485E">
      <w:pPr>
        <w:rPr>
          <w:lang w:val="en-GB"/>
        </w:rPr>
      </w:pPr>
    </w:p>
    <w:p w14:paraId="0980E04A" w14:textId="77777777" w:rsidR="005A485E" w:rsidRPr="00FD7F7A" w:rsidRDefault="005A485E" w:rsidP="005A485E">
      <w:pPr>
        <w:rPr>
          <w:sz w:val="16"/>
          <w:szCs w:val="16"/>
          <w:lang w:val="en-GB"/>
        </w:rPr>
      </w:pPr>
      <w:r w:rsidRPr="00FD7F7A">
        <w:rPr>
          <w:b/>
          <w:bCs/>
          <w:i/>
          <w:iCs/>
          <w:sz w:val="16"/>
          <w:szCs w:val="16"/>
          <w:lang w:val="en-GB"/>
        </w:rPr>
        <w:t xml:space="preserve">Table S1. </w:t>
      </w:r>
      <w:r w:rsidRPr="00FD7F7A">
        <w:rPr>
          <w:sz w:val="16"/>
          <w:szCs w:val="16"/>
          <w:lang w:val="en-GB"/>
        </w:rPr>
        <w:t>Results of the non-response analysis between respondents and</w:t>
      </w:r>
    </w:p>
    <w:p w14:paraId="30291BD3" w14:textId="77777777" w:rsidR="005A485E" w:rsidRPr="00FD7F7A" w:rsidRDefault="005A485E" w:rsidP="005A485E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      </w:t>
      </w:r>
      <w:r w:rsidRPr="00FD7F7A">
        <w:rPr>
          <w:sz w:val="16"/>
          <w:szCs w:val="16"/>
          <w:lang w:val="en-GB"/>
        </w:rPr>
        <w:t xml:space="preserve">  non-respondents presented as frequencies and percentages N (%)</w:t>
      </w:r>
    </w:p>
    <w:tbl>
      <w:tblPr>
        <w:tblStyle w:val="Tabel-Gitter"/>
        <w:tblpPr w:leftFromText="141" w:rightFromText="141" w:vertAnchor="text" w:horzAnchor="margin" w:tblpY="17"/>
        <w:tblW w:w="5951" w:type="dxa"/>
        <w:tblLayout w:type="fixed"/>
        <w:tblLook w:val="04A0" w:firstRow="1" w:lastRow="0" w:firstColumn="1" w:lastColumn="0" w:noHBand="0" w:noVBand="1"/>
      </w:tblPr>
      <w:tblGrid>
        <w:gridCol w:w="2974"/>
        <w:gridCol w:w="1418"/>
        <w:gridCol w:w="1559"/>
      </w:tblGrid>
      <w:tr w:rsidR="005A485E" w:rsidRPr="00FD7F7A" w14:paraId="2A122810" w14:textId="77777777" w:rsidTr="00BC19D3">
        <w:tc>
          <w:tcPr>
            <w:tcW w:w="297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41D362F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FFFFFF" w:themeColor="background1"/>
              <w:right w:val="single" w:sz="48" w:space="0" w:color="FFFFFF"/>
            </w:tcBorders>
          </w:tcPr>
          <w:p w14:paraId="5FB47C51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Responded on the questionnaire</w:t>
            </w:r>
          </w:p>
        </w:tc>
      </w:tr>
      <w:tr w:rsidR="005A485E" w:rsidRPr="00FD7F7A" w14:paraId="78081941" w14:textId="77777777" w:rsidTr="00BC19D3">
        <w:tc>
          <w:tcPr>
            <w:tcW w:w="297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597B23A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left w:val="single" w:sz="2" w:space="0" w:color="FFFFFF" w:themeColor="background1"/>
              <w:right w:val="single" w:sz="48" w:space="0" w:color="FFFFFF"/>
            </w:tcBorders>
          </w:tcPr>
          <w:p w14:paraId="779D0853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No</w:t>
            </w:r>
          </w:p>
          <w:p w14:paraId="5E554D44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N (%)</w:t>
            </w:r>
          </w:p>
        </w:tc>
        <w:tc>
          <w:tcPr>
            <w:tcW w:w="1559" w:type="dxa"/>
            <w:tcBorders>
              <w:left w:val="single" w:sz="48" w:space="0" w:color="FFFFFF"/>
              <w:right w:val="single" w:sz="48" w:space="0" w:color="FFFFFF"/>
            </w:tcBorders>
          </w:tcPr>
          <w:p w14:paraId="0981FFF3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Yes</w:t>
            </w:r>
          </w:p>
          <w:p w14:paraId="5B44C360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N (%)</w:t>
            </w:r>
          </w:p>
        </w:tc>
      </w:tr>
      <w:tr w:rsidR="005A485E" w:rsidRPr="00FD7F7A" w14:paraId="43B94968" w14:textId="77777777" w:rsidTr="00BC19D3">
        <w:tc>
          <w:tcPr>
            <w:tcW w:w="2974" w:type="dxa"/>
            <w:tcBorders>
              <w:top w:val="single" w:sz="2" w:space="0" w:color="FFFFFF" w:themeColor="background1"/>
              <w:left w:val="single" w:sz="2" w:space="0" w:color="FFFFFF"/>
              <w:bottom w:val="single" w:sz="2" w:space="0" w:color="FFFFFF"/>
              <w:right w:val="single" w:sz="2" w:space="0" w:color="FFFFFF" w:themeColor="background1"/>
            </w:tcBorders>
          </w:tcPr>
          <w:p w14:paraId="69BDDB94" w14:textId="77777777" w:rsidR="005A485E" w:rsidRPr="00FD7F7A" w:rsidRDefault="005A485E" w:rsidP="00BC19D3">
            <w:pPr>
              <w:spacing w:before="40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Age </w:t>
            </w:r>
          </w:p>
        </w:tc>
        <w:tc>
          <w:tcPr>
            <w:tcW w:w="1418" w:type="dxa"/>
            <w:tcBorders>
              <w:left w:val="single" w:sz="2" w:space="0" w:color="FFFFFF" w:themeColor="background1"/>
              <w:bottom w:val="single" w:sz="2" w:space="0" w:color="FFFFFF"/>
              <w:right w:val="single" w:sz="2" w:space="0" w:color="FFFFFF" w:themeColor="background1"/>
            </w:tcBorders>
          </w:tcPr>
          <w:p w14:paraId="339DBE78" w14:textId="77777777" w:rsidR="005A485E" w:rsidRPr="00FD7F7A" w:rsidRDefault="005A485E" w:rsidP="00BC19D3">
            <w:pPr>
              <w:spacing w:before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left w:val="single" w:sz="2" w:space="0" w:color="FFFFFF" w:themeColor="background1"/>
              <w:bottom w:val="single" w:sz="2" w:space="0" w:color="FFFFFF"/>
              <w:right w:val="single" w:sz="2" w:space="0" w:color="FFFFFF"/>
            </w:tcBorders>
          </w:tcPr>
          <w:p w14:paraId="45A0C52E" w14:textId="77777777" w:rsidR="005A485E" w:rsidRPr="00FD7F7A" w:rsidRDefault="005A485E" w:rsidP="00BC19D3">
            <w:pPr>
              <w:spacing w:before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5A485E" w:rsidRPr="00FD7F7A" w14:paraId="4A3AFF8E" w14:textId="77777777" w:rsidTr="00BC19D3">
        <w:tc>
          <w:tcPr>
            <w:tcW w:w="29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 w:themeColor="background1"/>
            </w:tcBorders>
          </w:tcPr>
          <w:p w14:paraId="3641F080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  50</w:t>
            </w:r>
            <w:r>
              <w:rPr>
                <w:sz w:val="16"/>
                <w:szCs w:val="16"/>
                <w:lang w:val="en-GB"/>
              </w:rPr>
              <w:t>–</w:t>
            </w:r>
            <w:r w:rsidRPr="00FD7F7A">
              <w:rPr>
                <w:sz w:val="16"/>
                <w:szCs w:val="16"/>
                <w:lang w:val="en-GB"/>
              </w:rPr>
              <w:t>54 years</w:t>
            </w:r>
          </w:p>
        </w:tc>
        <w:tc>
          <w:tcPr>
            <w:tcW w:w="1418" w:type="dxa"/>
            <w:tcBorders>
              <w:top w:val="single" w:sz="2" w:space="0" w:color="FFFFFF"/>
              <w:left w:val="single" w:sz="2" w:space="0" w:color="FFFFFF" w:themeColor="background1"/>
              <w:bottom w:val="single" w:sz="2" w:space="0" w:color="FFFFFF"/>
              <w:right w:val="single" w:sz="2" w:space="0" w:color="FFFFFF" w:themeColor="background1"/>
            </w:tcBorders>
          </w:tcPr>
          <w:p w14:paraId="1AB4308D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853 (29.3)</w:t>
            </w:r>
          </w:p>
        </w:tc>
        <w:tc>
          <w:tcPr>
            <w:tcW w:w="1559" w:type="dxa"/>
            <w:tcBorders>
              <w:top w:val="single" w:sz="2" w:space="0" w:color="FFFFFF"/>
              <w:left w:val="single" w:sz="2" w:space="0" w:color="FFFFFF" w:themeColor="background1"/>
              <w:bottom w:val="single" w:sz="2" w:space="0" w:color="FFFFFF"/>
              <w:right w:val="single" w:sz="2" w:space="0" w:color="FFFFFF" w:themeColor="background1"/>
            </w:tcBorders>
          </w:tcPr>
          <w:p w14:paraId="0DB740BB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677 (24.1)</w:t>
            </w:r>
          </w:p>
        </w:tc>
      </w:tr>
      <w:tr w:rsidR="005A485E" w:rsidRPr="00FD7F7A" w14:paraId="4DF828AD" w14:textId="77777777" w:rsidTr="00BC19D3">
        <w:tc>
          <w:tcPr>
            <w:tcW w:w="29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 w:themeColor="background1"/>
            </w:tcBorders>
          </w:tcPr>
          <w:p w14:paraId="546AB836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  55</w:t>
            </w:r>
            <w:r>
              <w:rPr>
                <w:sz w:val="16"/>
                <w:szCs w:val="16"/>
                <w:lang w:val="en-GB"/>
              </w:rPr>
              <w:t>–</w:t>
            </w:r>
            <w:r w:rsidRPr="00FD7F7A">
              <w:rPr>
                <w:sz w:val="16"/>
                <w:szCs w:val="16"/>
                <w:lang w:val="en-GB"/>
              </w:rPr>
              <w:t>59 years</w:t>
            </w:r>
          </w:p>
        </w:tc>
        <w:tc>
          <w:tcPr>
            <w:tcW w:w="1418" w:type="dxa"/>
            <w:tcBorders>
              <w:top w:val="single" w:sz="2" w:space="0" w:color="FFFFFF"/>
              <w:left w:val="single" w:sz="2" w:space="0" w:color="FFFFFF" w:themeColor="background1"/>
              <w:bottom w:val="single" w:sz="2" w:space="0" w:color="FFFFFF"/>
              <w:right w:val="single" w:sz="2" w:space="0" w:color="FFFFFF" w:themeColor="background1"/>
            </w:tcBorders>
          </w:tcPr>
          <w:p w14:paraId="1D29D05A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695 (23.8)</w:t>
            </w:r>
          </w:p>
        </w:tc>
        <w:tc>
          <w:tcPr>
            <w:tcW w:w="1559" w:type="dxa"/>
            <w:tcBorders>
              <w:top w:val="single" w:sz="2" w:space="0" w:color="FFFFFF"/>
              <w:left w:val="single" w:sz="2" w:space="0" w:color="FFFFFF" w:themeColor="background1"/>
              <w:bottom w:val="single" w:sz="2" w:space="0" w:color="FFFFFF"/>
              <w:right w:val="single" w:sz="2" w:space="0" w:color="FFFFFF" w:themeColor="background1"/>
            </w:tcBorders>
          </w:tcPr>
          <w:p w14:paraId="682AD347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701 (24.9)</w:t>
            </w:r>
          </w:p>
        </w:tc>
      </w:tr>
      <w:tr w:rsidR="005A485E" w:rsidRPr="00FD7F7A" w14:paraId="19D4D2E3" w14:textId="77777777" w:rsidTr="00BC19D3">
        <w:tc>
          <w:tcPr>
            <w:tcW w:w="29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 w:themeColor="background1"/>
            </w:tcBorders>
          </w:tcPr>
          <w:p w14:paraId="443D658A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  60</w:t>
            </w:r>
            <w:r>
              <w:rPr>
                <w:sz w:val="16"/>
                <w:szCs w:val="16"/>
                <w:lang w:val="en-GB"/>
              </w:rPr>
              <w:t>–</w:t>
            </w:r>
            <w:r w:rsidRPr="00FD7F7A">
              <w:rPr>
                <w:sz w:val="16"/>
                <w:szCs w:val="16"/>
                <w:lang w:val="en-GB"/>
              </w:rPr>
              <w:t>64 years</w:t>
            </w:r>
          </w:p>
        </w:tc>
        <w:tc>
          <w:tcPr>
            <w:tcW w:w="1418" w:type="dxa"/>
            <w:tcBorders>
              <w:top w:val="single" w:sz="2" w:space="0" w:color="FFFFFF"/>
              <w:left w:val="single" w:sz="2" w:space="0" w:color="FFFFFF" w:themeColor="background1"/>
              <w:bottom w:val="single" w:sz="2" w:space="0" w:color="FFFFFF"/>
              <w:right w:val="single" w:sz="2" w:space="0" w:color="FFFFFF" w:themeColor="background1"/>
            </w:tcBorders>
          </w:tcPr>
          <w:p w14:paraId="026D402B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578 (19.8)</w:t>
            </w:r>
          </w:p>
        </w:tc>
        <w:tc>
          <w:tcPr>
            <w:tcW w:w="1559" w:type="dxa"/>
            <w:tcBorders>
              <w:top w:val="single" w:sz="2" w:space="0" w:color="FFFFFF"/>
              <w:left w:val="single" w:sz="2" w:space="0" w:color="FFFFFF" w:themeColor="background1"/>
              <w:bottom w:val="single" w:sz="2" w:space="0" w:color="FFFFFF"/>
              <w:right w:val="single" w:sz="2" w:space="0" w:color="FFFFFF" w:themeColor="background1"/>
            </w:tcBorders>
          </w:tcPr>
          <w:p w14:paraId="34436DB7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698 (24.8)</w:t>
            </w:r>
          </w:p>
        </w:tc>
      </w:tr>
      <w:tr w:rsidR="005A485E" w:rsidRPr="00FD7F7A" w14:paraId="487125A4" w14:textId="77777777" w:rsidTr="00BC19D3">
        <w:trPr>
          <w:trHeight w:val="129"/>
        </w:trPr>
        <w:tc>
          <w:tcPr>
            <w:tcW w:w="2974" w:type="dxa"/>
            <w:tcBorders>
              <w:top w:val="single" w:sz="2" w:space="0" w:color="FFFFFF"/>
              <w:left w:val="single" w:sz="2" w:space="0" w:color="FFFFFF"/>
              <w:bottom w:val="dotted" w:sz="4" w:space="0" w:color="FFFFFF"/>
              <w:right w:val="single" w:sz="2" w:space="0" w:color="FFFFFF" w:themeColor="background1"/>
            </w:tcBorders>
          </w:tcPr>
          <w:p w14:paraId="14AB0AEF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  65+ years</w:t>
            </w:r>
          </w:p>
        </w:tc>
        <w:tc>
          <w:tcPr>
            <w:tcW w:w="1418" w:type="dxa"/>
            <w:tcBorders>
              <w:top w:val="single" w:sz="2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00CF3CB5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791 (27.1)</w:t>
            </w:r>
          </w:p>
        </w:tc>
        <w:tc>
          <w:tcPr>
            <w:tcW w:w="1559" w:type="dxa"/>
            <w:tcBorders>
              <w:top w:val="single" w:sz="2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2958A2FA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738 (26.2)</w:t>
            </w:r>
          </w:p>
        </w:tc>
      </w:tr>
      <w:tr w:rsidR="005A485E" w:rsidRPr="00FD7F7A" w14:paraId="03CF1006" w14:textId="77777777" w:rsidTr="00BC19D3">
        <w:tc>
          <w:tcPr>
            <w:tcW w:w="2974" w:type="dxa"/>
            <w:tcBorders>
              <w:top w:val="dotted" w:sz="4" w:space="0" w:color="FFFFFF"/>
              <w:left w:val="single" w:sz="2" w:space="0" w:color="FFFFFF"/>
              <w:bottom w:val="dotted" w:sz="4" w:space="0" w:color="FFFFFF"/>
              <w:right w:val="single" w:sz="2" w:space="0" w:color="FFFFFF" w:themeColor="background1"/>
            </w:tcBorders>
          </w:tcPr>
          <w:p w14:paraId="37BDDB3C" w14:textId="77777777" w:rsidR="005A485E" w:rsidRPr="00FD7F7A" w:rsidRDefault="005A485E" w:rsidP="00BC19D3">
            <w:pPr>
              <w:spacing w:before="40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Residence region</w:t>
            </w:r>
          </w:p>
        </w:tc>
        <w:tc>
          <w:tcPr>
            <w:tcW w:w="1418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09905615" w14:textId="77777777" w:rsidR="005A485E" w:rsidRPr="00FD7F7A" w:rsidRDefault="005A485E" w:rsidP="00BC19D3">
            <w:pPr>
              <w:spacing w:before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01430979" w14:textId="77777777" w:rsidR="005A485E" w:rsidRPr="00FD7F7A" w:rsidRDefault="005A485E" w:rsidP="00BC19D3">
            <w:pPr>
              <w:spacing w:before="40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5A485E" w:rsidRPr="00FD7F7A" w14:paraId="7C6B9995" w14:textId="77777777" w:rsidTr="00BC19D3">
        <w:tc>
          <w:tcPr>
            <w:tcW w:w="2974" w:type="dxa"/>
            <w:tcBorders>
              <w:top w:val="dotted" w:sz="4" w:space="0" w:color="FFFFFF"/>
              <w:left w:val="single" w:sz="2" w:space="0" w:color="FFFFFF"/>
              <w:bottom w:val="dotted" w:sz="4" w:space="0" w:color="FFFFFF"/>
              <w:right w:val="single" w:sz="2" w:space="0" w:color="FFFFFF" w:themeColor="background1"/>
            </w:tcBorders>
          </w:tcPr>
          <w:p w14:paraId="39A657F9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  Capital Region of Denmark</w:t>
            </w:r>
          </w:p>
        </w:tc>
        <w:tc>
          <w:tcPr>
            <w:tcW w:w="1418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3D89CDB9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572 (19.7)</w:t>
            </w:r>
          </w:p>
        </w:tc>
        <w:tc>
          <w:tcPr>
            <w:tcW w:w="1559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6AA5F9C3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479 (17.0)</w:t>
            </w:r>
          </w:p>
        </w:tc>
      </w:tr>
      <w:tr w:rsidR="005A485E" w:rsidRPr="00FD7F7A" w14:paraId="32E490D6" w14:textId="77777777" w:rsidTr="00BC19D3">
        <w:tc>
          <w:tcPr>
            <w:tcW w:w="2974" w:type="dxa"/>
            <w:tcBorders>
              <w:top w:val="dotted" w:sz="4" w:space="0" w:color="FFFFFF"/>
              <w:left w:val="single" w:sz="2" w:space="0" w:color="FFFFFF"/>
              <w:bottom w:val="dotted" w:sz="4" w:space="0" w:color="FFFFFF"/>
              <w:right w:val="single" w:sz="2" w:space="0" w:color="FFFFFF" w:themeColor="background1"/>
            </w:tcBorders>
          </w:tcPr>
          <w:p w14:paraId="46EFF0F9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  Region Zealand</w:t>
            </w:r>
          </w:p>
        </w:tc>
        <w:tc>
          <w:tcPr>
            <w:tcW w:w="1418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7DFC666E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629 (21.6)</w:t>
            </w:r>
          </w:p>
        </w:tc>
        <w:tc>
          <w:tcPr>
            <w:tcW w:w="1559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56F29254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566 (20.1)</w:t>
            </w:r>
          </w:p>
        </w:tc>
      </w:tr>
      <w:tr w:rsidR="005A485E" w:rsidRPr="00FD7F7A" w14:paraId="5F7332B0" w14:textId="77777777" w:rsidTr="00BC19D3">
        <w:tc>
          <w:tcPr>
            <w:tcW w:w="2974" w:type="dxa"/>
            <w:tcBorders>
              <w:top w:val="dotted" w:sz="4" w:space="0" w:color="FFFFFF"/>
              <w:left w:val="single" w:sz="2" w:space="0" w:color="FFFFFF"/>
              <w:bottom w:val="dotted" w:sz="4" w:space="0" w:color="FFFFFF"/>
              <w:right w:val="single" w:sz="2" w:space="0" w:color="FFFFFF" w:themeColor="background1"/>
            </w:tcBorders>
          </w:tcPr>
          <w:p w14:paraId="05951FF0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  Region of Southern Denmark</w:t>
            </w:r>
          </w:p>
        </w:tc>
        <w:tc>
          <w:tcPr>
            <w:tcW w:w="1418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44F6E486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647 (22.3)</w:t>
            </w:r>
          </w:p>
        </w:tc>
        <w:tc>
          <w:tcPr>
            <w:tcW w:w="1559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4EA9B435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678 (24.1)</w:t>
            </w:r>
          </w:p>
        </w:tc>
      </w:tr>
      <w:tr w:rsidR="005A485E" w:rsidRPr="00FD7F7A" w14:paraId="5278CB01" w14:textId="77777777" w:rsidTr="00BC19D3">
        <w:tc>
          <w:tcPr>
            <w:tcW w:w="2974" w:type="dxa"/>
            <w:tcBorders>
              <w:top w:val="dotted" w:sz="4" w:space="0" w:color="FFFFFF"/>
              <w:left w:val="single" w:sz="2" w:space="0" w:color="FFFFFF"/>
              <w:bottom w:val="dotted" w:sz="4" w:space="0" w:color="FFFFFF"/>
              <w:right w:val="single" w:sz="2" w:space="0" w:color="FFFFFF" w:themeColor="background1"/>
            </w:tcBorders>
          </w:tcPr>
          <w:p w14:paraId="616C772E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  Central Denmark Region</w:t>
            </w:r>
          </w:p>
        </w:tc>
        <w:tc>
          <w:tcPr>
            <w:tcW w:w="1418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19251979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672 (23.1)</w:t>
            </w:r>
          </w:p>
        </w:tc>
        <w:tc>
          <w:tcPr>
            <w:tcW w:w="1559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3F4EF0CD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657 (23.4)</w:t>
            </w:r>
          </w:p>
        </w:tc>
      </w:tr>
      <w:tr w:rsidR="005A485E" w:rsidRPr="00FD7F7A" w14:paraId="7DFD98AE" w14:textId="77777777" w:rsidTr="00BC19D3">
        <w:tc>
          <w:tcPr>
            <w:tcW w:w="2974" w:type="dxa"/>
            <w:tcBorders>
              <w:top w:val="dotted" w:sz="4" w:space="0" w:color="FFFFFF"/>
              <w:left w:val="single" w:sz="2" w:space="0" w:color="FFFFFF"/>
              <w:bottom w:val="dotted" w:sz="4" w:space="0" w:color="FFFFFF"/>
              <w:right w:val="single" w:sz="2" w:space="0" w:color="FFFFFF" w:themeColor="background1"/>
            </w:tcBorders>
          </w:tcPr>
          <w:p w14:paraId="7F10B9BB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  North Denmark Region</w:t>
            </w:r>
          </w:p>
        </w:tc>
        <w:tc>
          <w:tcPr>
            <w:tcW w:w="1418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3FB22901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387 (13.3)</w:t>
            </w:r>
          </w:p>
        </w:tc>
        <w:tc>
          <w:tcPr>
            <w:tcW w:w="1559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30DBDEC2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433 (15.4)</w:t>
            </w:r>
          </w:p>
        </w:tc>
      </w:tr>
      <w:tr w:rsidR="005A485E" w:rsidRPr="00FD7F7A" w14:paraId="2E854615" w14:textId="77777777" w:rsidTr="00BC19D3">
        <w:tc>
          <w:tcPr>
            <w:tcW w:w="2974" w:type="dxa"/>
            <w:tcBorders>
              <w:top w:val="dotted" w:sz="4" w:space="0" w:color="FFFFFF"/>
              <w:left w:val="single" w:sz="2" w:space="0" w:color="FFFFFF"/>
              <w:bottom w:val="dotted" w:sz="4" w:space="0" w:color="FFFFFF"/>
              <w:right w:val="single" w:sz="2" w:space="0" w:color="FFFFFF" w:themeColor="background1"/>
            </w:tcBorders>
          </w:tcPr>
          <w:p w14:paraId="04D7541C" w14:textId="77777777" w:rsidR="005A485E" w:rsidRPr="00FD7F7A" w:rsidRDefault="005A485E" w:rsidP="00BC19D3">
            <w:pPr>
              <w:spacing w:before="40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Family income</w:t>
            </w:r>
            <w:r w:rsidRPr="00FD7F7A">
              <w:rPr>
                <w:sz w:val="16"/>
                <w:szCs w:val="16"/>
                <w:vertAlign w:val="superscript"/>
                <w:lang w:val="en-GB"/>
              </w:rPr>
              <w:t>a</w:t>
            </w:r>
            <w:r w:rsidRPr="00FD7F7A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53C26440" w14:textId="77777777" w:rsidR="005A485E" w:rsidRPr="00FD7F7A" w:rsidRDefault="005A485E" w:rsidP="00BC19D3">
            <w:pPr>
              <w:spacing w:before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638CE049" w14:textId="77777777" w:rsidR="005A485E" w:rsidRPr="00FD7F7A" w:rsidRDefault="005A485E" w:rsidP="00BC19D3">
            <w:pPr>
              <w:spacing w:before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5A485E" w:rsidRPr="00FD7F7A" w14:paraId="5D0E2E7C" w14:textId="77777777" w:rsidTr="00BC19D3">
        <w:tc>
          <w:tcPr>
            <w:tcW w:w="2974" w:type="dxa"/>
            <w:tcBorders>
              <w:top w:val="dotted" w:sz="4" w:space="0" w:color="FFFFFF"/>
              <w:left w:val="single" w:sz="2" w:space="0" w:color="FFFFFF"/>
              <w:bottom w:val="dotted" w:sz="4" w:space="0" w:color="FFFFFF"/>
              <w:right w:val="single" w:sz="2" w:space="0" w:color="FFFFFF" w:themeColor="background1"/>
            </w:tcBorders>
          </w:tcPr>
          <w:p w14:paraId="49DE6D3E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  First quartile</w:t>
            </w:r>
          </w:p>
        </w:tc>
        <w:tc>
          <w:tcPr>
            <w:tcW w:w="1418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7511C6A7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786 (28.3)</w:t>
            </w:r>
          </w:p>
        </w:tc>
        <w:tc>
          <w:tcPr>
            <w:tcW w:w="1559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45FEDA6C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593 (21.7)</w:t>
            </w:r>
          </w:p>
        </w:tc>
      </w:tr>
      <w:tr w:rsidR="005A485E" w:rsidRPr="00FD7F7A" w14:paraId="2D09D838" w14:textId="77777777" w:rsidTr="00BC19D3">
        <w:tc>
          <w:tcPr>
            <w:tcW w:w="2974" w:type="dxa"/>
            <w:tcBorders>
              <w:top w:val="dotted" w:sz="4" w:space="0" w:color="FFFFFF"/>
              <w:left w:val="single" w:sz="2" w:space="0" w:color="FFFFFF"/>
              <w:bottom w:val="dotted" w:sz="4" w:space="0" w:color="FFFFFF"/>
              <w:right w:val="single" w:sz="2" w:space="0" w:color="FFFFFF" w:themeColor="background1"/>
            </w:tcBorders>
          </w:tcPr>
          <w:p w14:paraId="041A2F4E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  Second quartile</w:t>
            </w:r>
          </w:p>
        </w:tc>
        <w:tc>
          <w:tcPr>
            <w:tcW w:w="1418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7B957828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773 (27.9)</w:t>
            </w:r>
          </w:p>
        </w:tc>
        <w:tc>
          <w:tcPr>
            <w:tcW w:w="1559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302F98E8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605 (22.1)</w:t>
            </w:r>
          </w:p>
        </w:tc>
      </w:tr>
      <w:tr w:rsidR="005A485E" w:rsidRPr="00FD7F7A" w14:paraId="4F7D0535" w14:textId="77777777" w:rsidTr="00BC19D3">
        <w:tc>
          <w:tcPr>
            <w:tcW w:w="2974" w:type="dxa"/>
            <w:tcBorders>
              <w:top w:val="dotted" w:sz="4" w:space="0" w:color="FFFFFF"/>
              <w:left w:val="single" w:sz="2" w:space="0" w:color="FFFFFF"/>
              <w:bottom w:val="dotted" w:sz="4" w:space="0" w:color="FFFFFF"/>
              <w:right w:val="single" w:sz="2" w:space="0" w:color="FFFFFF" w:themeColor="background1"/>
            </w:tcBorders>
          </w:tcPr>
          <w:p w14:paraId="6DB8B14F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  Third quartile</w:t>
            </w:r>
          </w:p>
        </w:tc>
        <w:tc>
          <w:tcPr>
            <w:tcW w:w="1418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61772327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640 (23.0)</w:t>
            </w:r>
          </w:p>
        </w:tc>
        <w:tc>
          <w:tcPr>
            <w:tcW w:w="1559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328C67F6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738 (27.0)</w:t>
            </w:r>
          </w:p>
        </w:tc>
      </w:tr>
      <w:tr w:rsidR="005A485E" w:rsidRPr="00FD7F7A" w14:paraId="323AFB3E" w14:textId="77777777" w:rsidTr="00BC19D3">
        <w:tc>
          <w:tcPr>
            <w:tcW w:w="2974" w:type="dxa"/>
            <w:tcBorders>
              <w:top w:val="dotted" w:sz="4" w:space="0" w:color="FFFFFF"/>
              <w:left w:val="single" w:sz="2" w:space="0" w:color="FFFFFF"/>
              <w:bottom w:val="dotted" w:sz="4" w:space="0" w:color="FFFFFF"/>
              <w:right w:val="single" w:sz="2" w:space="0" w:color="FFFFFF" w:themeColor="background1"/>
            </w:tcBorders>
          </w:tcPr>
          <w:p w14:paraId="0A3DAEFA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  Fourth quartile</w:t>
            </w:r>
          </w:p>
        </w:tc>
        <w:tc>
          <w:tcPr>
            <w:tcW w:w="1418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7B6E75CC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577 (20.8)</w:t>
            </w:r>
          </w:p>
        </w:tc>
        <w:tc>
          <w:tcPr>
            <w:tcW w:w="1559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57AA102A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801 (29.2)</w:t>
            </w:r>
          </w:p>
        </w:tc>
      </w:tr>
      <w:tr w:rsidR="005A485E" w:rsidRPr="00FD7F7A" w14:paraId="02387385" w14:textId="77777777" w:rsidTr="00BC19D3">
        <w:tc>
          <w:tcPr>
            <w:tcW w:w="2974" w:type="dxa"/>
            <w:tcBorders>
              <w:top w:val="dotted" w:sz="4" w:space="0" w:color="FFFFFF"/>
              <w:left w:val="single" w:sz="2" w:space="0" w:color="FFFFFF"/>
              <w:bottom w:val="dotted" w:sz="4" w:space="0" w:color="FFFFFF"/>
              <w:right w:val="single" w:sz="2" w:space="0" w:color="FFFFFF" w:themeColor="background1"/>
            </w:tcBorders>
          </w:tcPr>
          <w:p w14:paraId="1BC54727" w14:textId="77777777" w:rsidR="005A485E" w:rsidRPr="00FD7F7A" w:rsidRDefault="005A485E" w:rsidP="00BC19D3">
            <w:pPr>
              <w:spacing w:before="40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Number of children</w:t>
            </w:r>
          </w:p>
        </w:tc>
        <w:tc>
          <w:tcPr>
            <w:tcW w:w="1418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7A475D89" w14:textId="77777777" w:rsidR="005A485E" w:rsidRPr="00FD7F7A" w:rsidRDefault="005A485E" w:rsidP="00BC19D3">
            <w:pPr>
              <w:spacing w:before="4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1EDC3DB8" w14:textId="77777777" w:rsidR="005A485E" w:rsidRPr="00FD7F7A" w:rsidRDefault="005A485E" w:rsidP="00BC19D3">
            <w:pPr>
              <w:spacing w:before="4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5A485E" w:rsidRPr="00FD7F7A" w14:paraId="5F12C39A" w14:textId="77777777" w:rsidTr="00BC19D3">
        <w:tc>
          <w:tcPr>
            <w:tcW w:w="2974" w:type="dxa"/>
            <w:tcBorders>
              <w:top w:val="dotted" w:sz="4" w:space="0" w:color="FFFFFF"/>
              <w:left w:val="single" w:sz="2" w:space="0" w:color="FFFFFF"/>
              <w:bottom w:val="dotted" w:sz="4" w:space="0" w:color="FFFFFF"/>
              <w:right w:val="single" w:sz="2" w:space="0" w:color="FFFFFF" w:themeColor="background1"/>
            </w:tcBorders>
          </w:tcPr>
          <w:p w14:paraId="4AB46738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  0 </w:t>
            </w:r>
          </w:p>
        </w:tc>
        <w:tc>
          <w:tcPr>
            <w:tcW w:w="1418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05E8A824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2.257 (77.6)</w:t>
            </w:r>
          </w:p>
        </w:tc>
        <w:tc>
          <w:tcPr>
            <w:tcW w:w="1559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49871A8F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2.145 (76.3)</w:t>
            </w:r>
          </w:p>
        </w:tc>
      </w:tr>
      <w:tr w:rsidR="005A485E" w:rsidRPr="00FD7F7A" w14:paraId="39EC77F3" w14:textId="77777777" w:rsidTr="00BC19D3">
        <w:tc>
          <w:tcPr>
            <w:tcW w:w="2974" w:type="dxa"/>
            <w:tcBorders>
              <w:top w:val="dotted" w:sz="4" w:space="0" w:color="FFFFFF"/>
              <w:left w:val="single" w:sz="2" w:space="0" w:color="FFFFFF"/>
              <w:bottom w:val="dotted" w:sz="4" w:space="0" w:color="FFFFFF"/>
              <w:right w:val="single" w:sz="2" w:space="0" w:color="FFFFFF" w:themeColor="background1"/>
            </w:tcBorders>
          </w:tcPr>
          <w:p w14:paraId="6DE6DB1C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  1 </w:t>
            </w:r>
          </w:p>
        </w:tc>
        <w:tc>
          <w:tcPr>
            <w:tcW w:w="1418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4C70BE27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389 (13.4)</w:t>
            </w:r>
          </w:p>
        </w:tc>
        <w:tc>
          <w:tcPr>
            <w:tcW w:w="1559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1C3BB71C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396 (14.1)</w:t>
            </w:r>
          </w:p>
        </w:tc>
      </w:tr>
      <w:tr w:rsidR="005A485E" w:rsidRPr="00FD7F7A" w14:paraId="0A57A3FC" w14:textId="77777777" w:rsidTr="00BC19D3">
        <w:tc>
          <w:tcPr>
            <w:tcW w:w="2974" w:type="dxa"/>
            <w:tcBorders>
              <w:top w:val="dotted" w:sz="4" w:space="0" w:color="FFFFFF"/>
              <w:left w:val="single" w:sz="2" w:space="0" w:color="FFFFFF"/>
              <w:bottom w:val="dotted" w:sz="4" w:space="0" w:color="FFFFFF"/>
              <w:right w:val="single" w:sz="2" w:space="0" w:color="FFFFFF" w:themeColor="background1"/>
            </w:tcBorders>
          </w:tcPr>
          <w:p w14:paraId="3FC289C2" w14:textId="77777777" w:rsidR="005A485E" w:rsidRPr="00FD7F7A" w:rsidRDefault="005A485E" w:rsidP="00BC19D3">
            <w:pPr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  2 </w:t>
            </w:r>
          </w:p>
        </w:tc>
        <w:tc>
          <w:tcPr>
            <w:tcW w:w="1418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252BA135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211 (7.3)</w:t>
            </w:r>
          </w:p>
        </w:tc>
        <w:tc>
          <w:tcPr>
            <w:tcW w:w="1559" w:type="dxa"/>
            <w:tcBorders>
              <w:top w:val="dotted" w:sz="4" w:space="0" w:color="FFFFFF"/>
              <w:left w:val="single" w:sz="2" w:space="0" w:color="FFFFFF" w:themeColor="background1"/>
              <w:bottom w:val="dotted" w:sz="4" w:space="0" w:color="FFFFFF"/>
              <w:right w:val="single" w:sz="2" w:space="0" w:color="FFFFFF" w:themeColor="background1"/>
            </w:tcBorders>
          </w:tcPr>
          <w:p w14:paraId="15D43DE8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220 (7.8)</w:t>
            </w:r>
          </w:p>
        </w:tc>
      </w:tr>
      <w:tr w:rsidR="005A485E" w:rsidRPr="00FD7F7A" w14:paraId="19D0C7F3" w14:textId="77777777" w:rsidTr="00BC19D3">
        <w:tc>
          <w:tcPr>
            <w:tcW w:w="2974" w:type="dxa"/>
            <w:tcBorders>
              <w:top w:val="dotted" w:sz="4" w:space="0" w:color="FFFFFF"/>
              <w:left w:val="single" w:sz="2" w:space="0" w:color="FFFFFF"/>
              <w:bottom w:val="single" w:sz="12" w:space="0" w:color="000000"/>
              <w:right w:val="single" w:sz="2" w:space="0" w:color="FFFFFF" w:themeColor="background1"/>
            </w:tcBorders>
          </w:tcPr>
          <w:p w14:paraId="5F3A9E96" w14:textId="77777777" w:rsidR="005A485E" w:rsidRPr="00FD7F7A" w:rsidRDefault="005A485E" w:rsidP="00BC19D3">
            <w:pPr>
              <w:spacing w:after="40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 xml:space="preserve">  3 or more</w:t>
            </w:r>
          </w:p>
        </w:tc>
        <w:tc>
          <w:tcPr>
            <w:tcW w:w="1418" w:type="dxa"/>
            <w:tcBorders>
              <w:top w:val="dotted" w:sz="4" w:space="0" w:color="FFFFFF"/>
              <w:left w:val="single" w:sz="2" w:space="0" w:color="FFFFFF" w:themeColor="background1"/>
              <w:bottom w:val="single" w:sz="12" w:space="0" w:color="000000"/>
              <w:right w:val="single" w:sz="2" w:space="0" w:color="FFFFFF" w:themeColor="background1"/>
            </w:tcBorders>
          </w:tcPr>
          <w:p w14:paraId="66E2C87E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50 (1.7)</w:t>
            </w:r>
          </w:p>
        </w:tc>
        <w:tc>
          <w:tcPr>
            <w:tcW w:w="1559" w:type="dxa"/>
            <w:tcBorders>
              <w:top w:val="dotted" w:sz="4" w:space="0" w:color="FFFFFF"/>
              <w:left w:val="single" w:sz="2" w:space="0" w:color="FFFFFF" w:themeColor="background1"/>
              <w:bottom w:val="single" w:sz="12" w:space="0" w:color="000000"/>
              <w:right w:val="single" w:sz="2" w:space="0" w:color="FFFFFF" w:themeColor="background1"/>
            </w:tcBorders>
          </w:tcPr>
          <w:p w14:paraId="2532681C" w14:textId="77777777" w:rsidR="005A485E" w:rsidRPr="00FD7F7A" w:rsidRDefault="005A485E" w:rsidP="00BC19D3">
            <w:pPr>
              <w:jc w:val="center"/>
              <w:rPr>
                <w:sz w:val="16"/>
                <w:szCs w:val="16"/>
                <w:lang w:val="en-GB"/>
              </w:rPr>
            </w:pPr>
            <w:r w:rsidRPr="00FD7F7A">
              <w:rPr>
                <w:sz w:val="16"/>
                <w:szCs w:val="16"/>
                <w:lang w:val="en-GB"/>
              </w:rPr>
              <w:t>52 (1.8)</w:t>
            </w:r>
          </w:p>
        </w:tc>
      </w:tr>
    </w:tbl>
    <w:p w14:paraId="79937D94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2A45A1D6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4C5E4703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57D727BD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741C5BD8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7EFC53AB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3122BE09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1CE11CF0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031FE979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7A4C88F7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652F6CE8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6771F6E4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1A197746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5E01883A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7BD40411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0FACE8B4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776803D9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6C68A074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04E06F77" w14:textId="77777777" w:rsidR="005A485E" w:rsidRPr="00FD7F7A" w:rsidRDefault="005A485E" w:rsidP="005A485E">
      <w:pPr>
        <w:spacing w:before="20"/>
        <w:rPr>
          <w:sz w:val="16"/>
          <w:szCs w:val="16"/>
          <w:lang w:val="en-GB"/>
        </w:rPr>
      </w:pPr>
      <w:r w:rsidRPr="00FD7F7A">
        <w:rPr>
          <w:sz w:val="16"/>
          <w:szCs w:val="16"/>
          <w:lang w:val="en-GB"/>
        </w:rPr>
        <w:t xml:space="preserve"> </w:t>
      </w:r>
    </w:p>
    <w:p w14:paraId="3120DC4F" w14:textId="77777777" w:rsidR="005A485E" w:rsidRPr="00FD7F7A" w:rsidRDefault="005A485E" w:rsidP="005A485E">
      <w:pPr>
        <w:spacing w:before="20"/>
        <w:rPr>
          <w:sz w:val="16"/>
          <w:szCs w:val="16"/>
          <w:lang w:val="en-GB"/>
        </w:rPr>
      </w:pPr>
    </w:p>
    <w:p w14:paraId="54B07F64" w14:textId="77777777" w:rsidR="005A485E" w:rsidRPr="00FD7F7A" w:rsidRDefault="005A485E" w:rsidP="005A485E">
      <w:pPr>
        <w:spacing w:before="20"/>
        <w:rPr>
          <w:sz w:val="16"/>
          <w:szCs w:val="16"/>
          <w:lang w:val="en-GB"/>
        </w:rPr>
      </w:pPr>
    </w:p>
    <w:p w14:paraId="1213FE1E" w14:textId="77777777" w:rsidR="005A485E" w:rsidRPr="00FD7F7A" w:rsidRDefault="005A485E" w:rsidP="005A485E">
      <w:pPr>
        <w:spacing w:before="20"/>
        <w:rPr>
          <w:sz w:val="16"/>
          <w:szCs w:val="16"/>
          <w:lang w:val="en-GB"/>
        </w:rPr>
      </w:pPr>
    </w:p>
    <w:p w14:paraId="24086FC2" w14:textId="77777777" w:rsidR="005A485E" w:rsidRPr="00FD7F7A" w:rsidRDefault="005A485E" w:rsidP="005A485E">
      <w:pPr>
        <w:spacing w:before="20"/>
        <w:rPr>
          <w:sz w:val="16"/>
          <w:szCs w:val="16"/>
          <w:lang w:val="en-GB"/>
        </w:rPr>
      </w:pPr>
    </w:p>
    <w:p w14:paraId="72B43B6B" w14:textId="77777777" w:rsidR="005A485E" w:rsidRPr="00FD7F7A" w:rsidRDefault="005A485E" w:rsidP="005A485E">
      <w:pPr>
        <w:spacing w:before="20"/>
        <w:rPr>
          <w:sz w:val="16"/>
          <w:szCs w:val="16"/>
          <w:lang w:val="en-GB"/>
        </w:rPr>
      </w:pPr>
    </w:p>
    <w:p w14:paraId="07585ED4" w14:textId="77777777" w:rsidR="005A485E" w:rsidRPr="00FD7F7A" w:rsidRDefault="005A485E" w:rsidP="005A485E">
      <w:pPr>
        <w:spacing w:before="20"/>
        <w:rPr>
          <w:sz w:val="16"/>
          <w:szCs w:val="16"/>
          <w:lang w:val="en-GB"/>
        </w:rPr>
      </w:pPr>
    </w:p>
    <w:p w14:paraId="643A8E4E" w14:textId="77777777" w:rsidR="005A485E" w:rsidRPr="00FD7F7A" w:rsidRDefault="005A485E" w:rsidP="005A485E">
      <w:pPr>
        <w:rPr>
          <w:sz w:val="16"/>
          <w:szCs w:val="16"/>
          <w:lang w:val="en-GB"/>
        </w:rPr>
      </w:pPr>
    </w:p>
    <w:p w14:paraId="35723561" w14:textId="77777777" w:rsidR="005A485E" w:rsidRPr="00FD7F7A" w:rsidRDefault="005A485E" w:rsidP="005A485E">
      <w:pPr>
        <w:rPr>
          <w:sz w:val="16"/>
          <w:szCs w:val="16"/>
          <w:vertAlign w:val="superscript"/>
          <w:lang w:val="en-GB"/>
        </w:rPr>
      </w:pPr>
      <w:r w:rsidRPr="00FD7F7A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 </w:t>
      </w:r>
      <w:r w:rsidRPr="00FD7F7A">
        <w:rPr>
          <w:sz w:val="16"/>
          <w:szCs w:val="16"/>
          <w:lang w:val="en-GB"/>
        </w:rPr>
        <w:t xml:space="preserve"> </w:t>
      </w:r>
      <w:r w:rsidRPr="00FD7F7A">
        <w:rPr>
          <w:sz w:val="16"/>
          <w:szCs w:val="16"/>
          <w:vertAlign w:val="superscript"/>
          <w:lang w:val="en-GB"/>
        </w:rPr>
        <w:t>a</w:t>
      </w:r>
      <w:r w:rsidRPr="00FD7F7A">
        <w:rPr>
          <w:sz w:val="16"/>
          <w:szCs w:val="16"/>
          <w:lang w:val="en-GB"/>
        </w:rPr>
        <w:t xml:space="preserve"> Family income based on the quartiles</w:t>
      </w:r>
    </w:p>
    <w:p w14:paraId="51DF95C1" w14:textId="77777777" w:rsidR="005A485E" w:rsidRPr="00D216A2" w:rsidRDefault="005A485E">
      <w:pPr>
        <w:rPr>
          <w:lang w:val="en-GB"/>
        </w:rPr>
      </w:pPr>
    </w:p>
    <w:sectPr w:rsidR="005A485E" w:rsidRPr="00D216A2" w:rsidSect="008A4BD9">
      <w:footerReference w:type="default" r:id="rId9"/>
      <w:pgSz w:w="12240" w:h="15840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375E0" w14:textId="77777777" w:rsidR="006036C5" w:rsidRDefault="006036C5" w:rsidP="008A4BD9">
      <w:r>
        <w:separator/>
      </w:r>
    </w:p>
  </w:endnote>
  <w:endnote w:type="continuationSeparator" w:id="0">
    <w:p w14:paraId="51B8A737" w14:textId="77777777" w:rsidR="006036C5" w:rsidRDefault="006036C5" w:rsidP="008A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CE32" w14:textId="4C1F24A9" w:rsidR="008A4BD9" w:rsidRPr="008A4BD9" w:rsidRDefault="008A4BD9" w:rsidP="008A4BD9">
    <w:pPr>
      <w:pStyle w:val="Sidefod"/>
      <w:jc w:val="right"/>
      <w:rPr>
        <w:color w:val="000000" w:themeColor="text1"/>
        <w:sz w:val="22"/>
        <w:szCs w:val="22"/>
      </w:rPr>
    </w:pPr>
    <w:r w:rsidRPr="008A4BD9">
      <w:rPr>
        <w:color w:val="000000" w:themeColor="text1"/>
        <w:sz w:val="22"/>
        <w:szCs w:val="22"/>
      </w:rPr>
      <w:t xml:space="preserve">Side </w:t>
    </w:r>
    <w:r w:rsidRPr="008A4BD9">
      <w:rPr>
        <w:color w:val="000000" w:themeColor="text1"/>
        <w:sz w:val="22"/>
        <w:szCs w:val="22"/>
      </w:rPr>
      <w:fldChar w:fldCharType="begin"/>
    </w:r>
    <w:r w:rsidRPr="008A4BD9">
      <w:rPr>
        <w:color w:val="000000" w:themeColor="text1"/>
        <w:sz w:val="22"/>
        <w:szCs w:val="22"/>
      </w:rPr>
      <w:instrText>PAGE  \* Arabic  \* MERGEFORMAT</w:instrText>
    </w:r>
    <w:r w:rsidRPr="008A4BD9">
      <w:rPr>
        <w:color w:val="000000" w:themeColor="text1"/>
        <w:sz w:val="22"/>
        <w:szCs w:val="22"/>
      </w:rPr>
      <w:fldChar w:fldCharType="separate"/>
    </w:r>
    <w:r w:rsidR="005041C6">
      <w:rPr>
        <w:noProof/>
        <w:color w:val="000000" w:themeColor="text1"/>
        <w:sz w:val="22"/>
        <w:szCs w:val="22"/>
      </w:rPr>
      <w:t>1</w:t>
    </w:r>
    <w:r w:rsidRPr="008A4BD9">
      <w:rPr>
        <w:color w:val="000000" w:themeColor="text1"/>
        <w:sz w:val="22"/>
        <w:szCs w:val="22"/>
      </w:rPr>
      <w:fldChar w:fldCharType="end"/>
    </w:r>
    <w:r w:rsidRPr="008A4BD9">
      <w:rPr>
        <w:color w:val="000000" w:themeColor="text1"/>
        <w:sz w:val="22"/>
        <w:szCs w:val="22"/>
      </w:rPr>
      <w:t xml:space="preserve"> af </w:t>
    </w:r>
    <w:r w:rsidRPr="008A4BD9">
      <w:rPr>
        <w:color w:val="000000" w:themeColor="text1"/>
        <w:sz w:val="22"/>
        <w:szCs w:val="22"/>
      </w:rPr>
      <w:fldChar w:fldCharType="begin"/>
    </w:r>
    <w:r w:rsidRPr="008A4BD9">
      <w:rPr>
        <w:color w:val="000000" w:themeColor="text1"/>
        <w:sz w:val="22"/>
        <w:szCs w:val="22"/>
      </w:rPr>
      <w:instrText>NUMPAGES \ * arabisk \ * MERGEFORMAT</w:instrText>
    </w:r>
    <w:r w:rsidRPr="008A4BD9">
      <w:rPr>
        <w:color w:val="000000" w:themeColor="text1"/>
        <w:sz w:val="22"/>
        <w:szCs w:val="22"/>
      </w:rPr>
      <w:fldChar w:fldCharType="separate"/>
    </w:r>
    <w:r w:rsidR="005041C6">
      <w:rPr>
        <w:noProof/>
        <w:color w:val="000000" w:themeColor="text1"/>
        <w:sz w:val="22"/>
        <w:szCs w:val="22"/>
      </w:rPr>
      <w:t>2</w:t>
    </w:r>
    <w:r w:rsidRPr="008A4BD9">
      <w:rPr>
        <w:color w:val="000000" w:themeColor="text1"/>
        <w:sz w:val="22"/>
        <w:szCs w:val="22"/>
      </w:rPr>
      <w:fldChar w:fldCharType="end"/>
    </w:r>
  </w:p>
  <w:p w14:paraId="5817C771" w14:textId="77777777" w:rsidR="008A4BD9" w:rsidRPr="008A4BD9" w:rsidRDefault="008A4BD9" w:rsidP="008A4BD9">
    <w:pPr>
      <w:pStyle w:val="Sidefod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54866" w14:textId="77777777" w:rsidR="006036C5" w:rsidRDefault="006036C5" w:rsidP="008A4BD9">
      <w:r>
        <w:separator/>
      </w:r>
    </w:p>
  </w:footnote>
  <w:footnote w:type="continuationSeparator" w:id="0">
    <w:p w14:paraId="4CE471AB" w14:textId="77777777" w:rsidR="006036C5" w:rsidRDefault="006036C5" w:rsidP="008A4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A2"/>
    <w:rsid w:val="0005405C"/>
    <w:rsid w:val="00077486"/>
    <w:rsid w:val="00090B74"/>
    <w:rsid w:val="001A7533"/>
    <w:rsid w:val="002D7190"/>
    <w:rsid w:val="00404C00"/>
    <w:rsid w:val="004624B5"/>
    <w:rsid w:val="005041C6"/>
    <w:rsid w:val="005A485E"/>
    <w:rsid w:val="006036C5"/>
    <w:rsid w:val="006B0BC6"/>
    <w:rsid w:val="006F1BEA"/>
    <w:rsid w:val="007437FD"/>
    <w:rsid w:val="00787DB5"/>
    <w:rsid w:val="007F2B8D"/>
    <w:rsid w:val="008A4BD9"/>
    <w:rsid w:val="008D270C"/>
    <w:rsid w:val="009049BA"/>
    <w:rsid w:val="009060A9"/>
    <w:rsid w:val="00A233D0"/>
    <w:rsid w:val="00B03AE0"/>
    <w:rsid w:val="00B716B7"/>
    <w:rsid w:val="00C22626"/>
    <w:rsid w:val="00D216A2"/>
    <w:rsid w:val="00D803EE"/>
    <w:rsid w:val="00E44291"/>
    <w:rsid w:val="00F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6CDA"/>
  <w15:chartTrackingRefBased/>
  <w15:docId w15:val="{4E278E14-C86B-BB49-849E-B3A3E7FC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6A2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216A2"/>
    <w:rPr>
      <w:sz w:val="22"/>
      <w:szCs w:val="22"/>
    </w:rPr>
  </w:style>
  <w:style w:type="table" w:styleId="Tabel-Gitter">
    <w:name w:val="Table Grid"/>
    <w:basedOn w:val="Tabel-Normal"/>
    <w:uiPriority w:val="39"/>
    <w:rsid w:val="005A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typeiafsnit"/>
    <w:uiPriority w:val="99"/>
    <w:semiHidden/>
    <w:unhideWhenUsed/>
    <w:rsid w:val="008A4BD9"/>
  </w:style>
  <w:style w:type="paragraph" w:styleId="Sidehoved">
    <w:name w:val="header"/>
    <w:basedOn w:val="Normal"/>
    <w:link w:val="SidehovedTegn"/>
    <w:uiPriority w:val="99"/>
    <w:unhideWhenUsed/>
    <w:rsid w:val="008A4B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A4BD9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A4B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4BD9"/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125D5062780F4AA7D11D4C6A398630" ma:contentTypeVersion="13" ma:contentTypeDescription="Opret et nyt dokument." ma:contentTypeScope="" ma:versionID="d6ac9e09bd39214a4764938f0e550802">
  <xsd:schema xmlns:xsd="http://www.w3.org/2001/XMLSchema" xmlns:xs="http://www.w3.org/2001/XMLSchema" xmlns:p="http://schemas.microsoft.com/office/2006/metadata/properties" xmlns:ns3="21167151-0c84-4bf7-8f83-0d390f9dc80c" xmlns:ns4="110dbcf2-1003-4f28-ae25-27c90d9314e3" targetNamespace="http://schemas.microsoft.com/office/2006/metadata/properties" ma:root="true" ma:fieldsID="c47446a6c0c3004dad06a79694c71574" ns3:_="" ns4:_="">
    <xsd:import namespace="21167151-0c84-4bf7-8f83-0d390f9dc80c"/>
    <xsd:import namespace="110dbcf2-1003-4f28-ae25-27c90d9314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67151-0c84-4bf7-8f83-0d390f9dc8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bcf2-1003-4f28-ae25-27c90d931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ED009-DE69-4231-90F9-1F1D8304F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67151-0c84-4bf7-8f83-0d390f9dc80c"/>
    <ds:schemaRef ds:uri="110dbcf2-1003-4f28-ae25-27c90d931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D387C-C56F-4AF1-A949-8E0D39705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B79C5-3C0D-4EAD-A2A5-62B67BA08F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167151-0c84-4bf7-8f83-0d390f9dc80c"/>
    <ds:schemaRef ds:uri="110dbcf2-1003-4f28-ae25-27c90d9314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Weber Hansen</dc:creator>
  <cp:keywords/>
  <dc:description/>
  <cp:lastModifiedBy>Henrik Bøggild</cp:lastModifiedBy>
  <cp:revision>3</cp:revision>
  <dcterms:created xsi:type="dcterms:W3CDTF">2021-08-25T13:57:00Z</dcterms:created>
  <dcterms:modified xsi:type="dcterms:W3CDTF">2021-08-25T13:59:00Z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0x010100E3125D5062780F4AA7D11D4C6A398630</vt:lpwstr>
  </property>
</Properties>
</file>