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8C1D" w14:textId="0082679B" w:rsidR="00D8477C" w:rsidRDefault="00D16C95" w:rsidP="00D16C95">
      <w:pPr>
        <w:spacing w:line="360" w:lineRule="auto"/>
        <w:rPr>
          <w:rFonts w:ascii="Times New Roman" w:hAnsi="Times New Roman" w:cs="Times New Roman"/>
          <w:b/>
          <w:bCs/>
          <w:color w:val="000000" w:themeColor="text1"/>
          <w:sz w:val="28"/>
          <w:szCs w:val="28"/>
        </w:rPr>
      </w:pPr>
      <w:r w:rsidRPr="00D96D78">
        <w:rPr>
          <w:rFonts w:ascii="Times New Roman" w:hAnsi="Times New Roman" w:cs="Times New Roman"/>
          <w:b/>
          <w:bCs/>
          <w:color w:val="000000" w:themeColor="text1"/>
          <w:sz w:val="28"/>
          <w:szCs w:val="28"/>
        </w:rPr>
        <w:t>Supplementary</w:t>
      </w:r>
      <w:r w:rsidR="00D8477C" w:rsidRPr="00D96D78">
        <w:rPr>
          <w:rFonts w:ascii="Times New Roman" w:hAnsi="Times New Roman" w:cs="Times New Roman"/>
          <w:b/>
          <w:bCs/>
          <w:color w:val="000000" w:themeColor="text1"/>
          <w:sz w:val="28"/>
          <w:szCs w:val="28"/>
        </w:rPr>
        <w:t xml:space="preserve"> Methods </w:t>
      </w:r>
    </w:p>
    <w:p w14:paraId="25CD4DFF" w14:textId="77777777" w:rsidR="008F12B4" w:rsidRPr="00D96D78" w:rsidRDefault="008F12B4" w:rsidP="00D16C95">
      <w:pPr>
        <w:spacing w:line="360" w:lineRule="auto"/>
        <w:rPr>
          <w:rFonts w:ascii="Times New Roman" w:hAnsi="Times New Roman" w:cs="Times New Roman"/>
          <w:b/>
          <w:bCs/>
          <w:color w:val="000000" w:themeColor="text1"/>
          <w:sz w:val="28"/>
          <w:szCs w:val="28"/>
        </w:rPr>
      </w:pPr>
    </w:p>
    <w:p w14:paraId="6C437EAA" w14:textId="77777777" w:rsidR="008F12B4" w:rsidRPr="008F12B4" w:rsidRDefault="008F12B4" w:rsidP="008F12B4">
      <w:pPr>
        <w:pStyle w:val="SMText"/>
        <w:spacing w:line="480" w:lineRule="auto"/>
        <w:ind w:firstLine="0"/>
        <w:jc w:val="both"/>
        <w:rPr>
          <w:b/>
          <w:bCs/>
          <w:kern w:val="32"/>
        </w:rPr>
      </w:pPr>
      <w:r w:rsidRPr="008F12B4">
        <w:rPr>
          <w:b/>
          <w:bCs/>
          <w:kern w:val="32"/>
        </w:rPr>
        <w:t>Field sample collection in the Faroe-Shetland Channel</w:t>
      </w:r>
    </w:p>
    <w:p w14:paraId="745F2103" w14:textId="5DCDF772" w:rsidR="008F12B4" w:rsidRPr="008F12B4" w:rsidRDefault="008F12B4" w:rsidP="008F12B4">
      <w:pPr>
        <w:pStyle w:val="SMText"/>
        <w:spacing w:line="360" w:lineRule="auto"/>
        <w:ind w:firstLine="0"/>
        <w:jc w:val="both"/>
        <w:rPr>
          <w:kern w:val="32"/>
        </w:rPr>
      </w:pPr>
      <w:r w:rsidRPr="008F12B4">
        <w:rPr>
          <w:kern w:val="32"/>
        </w:rPr>
        <w:t xml:space="preserve">During a research cruise on MRV </w:t>
      </w:r>
      <w:r w:rsidRPr="008F12B4">
        <w:rPr>
          <w:i/>
          <w:iCs/>
          <w:kern w:val="32"/>
        </w:rPr>
        <w:t>Scotia</w:t>
      </w:r>
      <w:r w:rsidRPr="008F12B4" w:rsidDel="008E29D8">
        <w:rPr>
          <w:kern w:val="32"/>
        </w:rPr>
        <w:t xml:space="preserve"> </w:t>
      </w:r>
      <w:r w:rsidRPr="008F12B4">
        <w:rPr>
          <w:kern w:val="32"/>
        </w:rPr>
        <w:t>in May of 2018, surface seawater (3m depth) was collected from the Faroe-Shetland Channel (FSC), a subarctic region of the northeast Atlantic</w:t>
      </w:r>
      <w:r>
        <w:rPr>
          <w:kern w:val="32"/>
        </w:rPr>
        <w:t xml:space="preserve">. The seawater </w:t>
      </w:r>
      <w:r w:rsidRPr="008F12B4">
        <w:rPr>
          <w:kern w:val="32"/>
        </w:rPr>
        <w:t xml:space="preserve">temperature at the time of collection was </w:t>
      </w:r>
      <w:r>
        <w:rPr>
          <w:kern w:val="32"/>
        </w:rPr>
        <w:t xml:space="preserve">measured at </w:t>
      </w:r>
      <w:r w:rsidRPr="008F12B4">
        <w:rPr>
          <w:kern w:val="32"/>
        </w:rPr>
        <w:t xml:space="preserve">9.7 </w:t>
      </w:r>
      <w:r w:rsidRPr="008F12B4">
        <w:rPr>
          <w:kern w:val="32"/>
        </w:rPr>
        <w:sym w:font="Symbol" w:char="F0B0"/>
      </w:r>
      <w:r w:rsidRPr="008F12B4">
        <w:rPr>
          <w:kern w:val="32"/>
        </w:rPr>
        <w:t>C and the salinity 35.28‰. This sampling site lies on the Fair Isle-</w:t>
      </w:r>
      <w:proofErr w:type="spellStart"/>
      <w:r w:rsidRPr="008F12B4">
        <w:rPr>
          <w:kern w:val="32"/>
        </w:rPr>
        <w:t>Munken</w:t>
      </w:r>
      <w:proofErr w:type="spellEnd"/>
      <w:r w:rsidRPr="008F12B4">
        <w:rPr>
          <w:kern w:val="32"/>
        </w:rPr>
        <w:t xml:space="preserve"> line </w:t>
      </w:r>
      <w:r w:rsidRPr="008F12B4">
        <w:rPr>
          <w:kern w:val="32"/>
        </w:rPr>
        <w:fldChar w:fldCharType="begin" w:fldLock="1"/>
      </w:r>
      <w:r w:rsidRPr="008F12B4">
        <w:rPr>
          <w:kern w:val="32"/>
        </w:rPr>
        <w:instrText>ADDIN CSL_CITATION {"citationItems":[{"id":"ITEM-1","itemData":{"DOI":"10.1016/S0967-0637(98)00067-3","ISSN":"09670637","abstract":"Two standard sections across the deep water channel separating the Faroese Plateau from the Scottish continental shelf have been surveyed regularly since the start of the 20th century. There have been significant changes in the characteristics of surface, intermediate and deep water masses during this period. At intermediate depths, the presence of Norwegian Sea Arctic Intermediate Water (NSAIW) was evident as a salinity minimum during the first decade of the century. During the decades 1960-1980 this salinity minimum disappeared, and only four water types were identified in the Channel. Since 1980 the salinity of the intermediate water has again decreased, due to changes in the atmospheric forcing over the Nordic Seas, and it is again evident on a OS curve as a distinct minimum. The salinity of the bottom water in the Channel has also decreased (0.01/decade) linearly since the mid-1970s, although at a slower rate than the intermediate water (0.02/decade). The decline in salinity of the bottom water cannot be accounted for by changes in the salinity of upper Norwegian Sea Deep Water (NSDW), which Faroe Shetland Channel Bottom Water (FSCBW) has traditionally been assumed to be composed of. There is evidence that the upper level of NSDW has become deeper outside the Channel owing to a reduced supply from the Greenland Sea. This has resulted in a change in the composition of FSCBW, from being approximately 60% NSDW during the period 1970-1985 to 40% NSDW since 1990. Thus, the thermohaline circulation of the Nordic Seas has lost its deep water connection. The associated freshening of FSCBW has propagated out through the Channel into the North Atlantic and has resulted in a reduction of the salinity (0.02/decade) and transport (1-7%/decade) of Iceland Scotland Overflow Water (ISOW) into the North Atlantic.","author":[{"dropping-particle":"","family":"Turrell","given":"William R.","non-dropping-particle":"","parse-names":false,"suffix":""},{"dropping-particle":"","family":"Slesser","given":"George","non-dropping-particle":"","parse-names":false,"suffix":""},{"dropping-particle":"","family":"Adams","given":"Richard D.","non-dropping-particle":"","parse-names":false,"suffix":""},{"dropping-particle":"","family":"Payne","given":"Rodney","non-dropping-particle":"","parse-names":false,"suffix":""},{"dropping-particle":"","family":"Gillibrand","given":"Philip A.","non-dropping-particle":"","parse-names":false,"suffix":""}],"container-title":"Deep-Sea Research Part I: Oceanographic Research Papers","id":"ITEM-1","issue":"1","issued":{"date-parts":[["1999"]]},"page":"1-25","title":"Decadal variability in the composition of Faroe Shetland Channel bottom water","type":"article-journal","volume":"46"},"uris":["http://www.mendeley.com/documents/?uuid=d088bb12-77f3-4a1a-aeb5-3bae4e3921f8"]}],"mendeley":{"formattedCitation":"(1)","plainTextFormattedCitation":"(1)","previouslyFormattedCitation":"(1)"},"properties":{"noteIndex":0},"schema":"https://github.com/citation-style-language/schema/raw/master/csl-citation.json"}</w:instrText>
      </w:r>
      <w:r w:rsidRPr="008F12B4">
        <w:rPr>
          <w:kern w:val="32"/>
        </w:rPr>
        <w:fldChar w:fldCharType="separate"/>
      </w:r>
      <w:r w:rsidRPr="008F12B4">
        <w:rPr>
          <w:noProof/>
          <w:kern w:val="32"/>
        </w:rPr>
        <w:t>(1)</w:t>
      </w:r>
      <w:r w:rsidRPr="008F12B4">
        <w:rPr>
          <w:kern w:val="32"/>
        </w:rPr>
        <w:fldChar w:fldCharType="end"/>
      </w:r>
      <w:r w:rsidRPr="008F12B4">
        <w:rPr>
          <w:kern w:val="32"/>
        </w:rPr>
        <w:t xml:space="preserve"> near the </w:t>
      </w:r>
      <w:proofErr w:type="spellStart"/>
      <w:r w:rsidRPr="008F12B4">
        <w:rPr>
          <w:kern w:val="32"/>
        </w:rPr>
        <w:t>Foinaven</w:t>
      </w:r>
      <w:proofErr w:type="spellEnd"/>
      <w:r w:rsidRPr="008F12B4">
        <w:rPr>
          <w:kern w:val="32"/>
        </w:rPr>
        <w:t xml:space="preserve"> oil field development area, approximately 3 and 9.3 nautical miles respectively from the </w:t>
      </w:r>
      <w:proofErr w:type="spellStart"/>
      <w:r w:rsidRPr="008F12B4">
        <w:rPr>
          <w:kern w:val="32"/>
        </w:rPr>
        <w:t>Petrojarl</w:t>
      </w:r>
      <w:proofErr w:type="spellEnd"/>
      <w:r w:rsidRPr="008F12B4">
        <w:rPr>
          <w:kern w:val="32"/>
        </w:rPr>
        <w:t xml:space="preserve"> </w:t>
      </w:r>
      <w:proofErr w:type="spellStart"/>
      <w:r w:rsidRPr="008F12B4">
        <w:rPr>
          <w:kern w:val="32"/>
        </w:rPr>
        <w:t>Foinaven</w:t>
      </w:r>
      <w:proofErr w:type="spellEnd"/>
      <w:r w:rsidRPr="008F12B4">
        <w:rPr>
          <w:kern w:val="32"/>
        </w:rPr>
        <w:t xml:space="preserve"> and Glen Lion production facilities. Collection of seawater samples was performed using 10 L </w:t>
      </w:r>
      <w:proofErr w:type="spellStart"/>
      <w:r w:rsidRPr="008F12B4">
        <w:rPr>
          <w:kern w:val="32"/>
        </w:rPr>
        <w:t>Niskin</w:t>
      </w:r>
      <w:proofErr w:type="spellEnd"/>
      <w:r w:rsidRPr="008F12B4">
        <w:rPr>
          <w:kern w:val="32"/>
        </w:rPr>
        <w:t xml:space="preserve"> water bottles mounted on a CTD (conductivity, temperature, depth) carousel. Immediately after recovery, some of the collected seawater was used to rinse, at least three times, two Nalgene carboys (10L each; acid-washed, acetone-rinsed and dried) prior to filling, and immediately stored at 10 </w:t>
      </w:r>
      <w:r w:rsidRPr="008F12B4">
        <w:rPr>
          <w:kern w:val="32"/>
        </w:rPr>
        <w:sym w:font="Symbol" w:char="F0B0"/>
      </w:r>
      <w:r w:rsidRPr="008F12B4">
        <w:rPr>
          <w:kern w:val="32"/>
        </w:rPr>
        <w:t xml:space="preserve">C onboard the vessel for transport back to the laboratory for preparation of water-accommodated fractions (WAFs) and for the crude oil and biosurfactant/dispersant enrichment experiments, as described below. Sub-samples were collected for DNA extraction and quantification of the </w:t>
      </w:r>
      <w:r w:rsidRPr="008F12B4">
        <w:rPr>
          <w:i/>
          <w:iCs/>
          <w:kern w:val="32"/>
        </w:rPr>
        <w:t>in-situ</w:t>
      </w:r>
      <w:r w:rsidRPr="008F12B4">
        <w:rPr>
          <w:kern w:val="32"/>
        </w:rPr>
        <w:t xml:space="preserve"> bacterial communities and to account for any changes before initiation of experiments (described below). For this, 3 litres of the sampled water </w:t>
      </w:r>
      <w:r w:rsidR="00E96FA3" w:rsidRPr="008F12B4">
        <w:rPr>
          <w:kern w:val="32"/>
        </w:rPr>
        <w:t>were</w:t>
      </w:r>
      <w:r w:rsidRPr="008F12B4">
        <w:rPr>
          <w:kern w:val="32"/>
        </w:rPr>
        <w:t xml:space="preserve"> filtered through polycarbonate membrane filters (1L per filter; 0.22</w:t>
      </w:r>
      <w:r w:rsidRPr="008F12B4">
        <w:rPr>
          <w:kern w:val="32"/>
        </w:rPr>
        <w:sym w:font="Symbol" w:char="F06D"/>
      </w:r>
      <w:r w:rsidRPr="008F12B4">
        <w:rPr>
          <w:kern w:val="32"/>
        </w:rPr>
        <w:t xml:space="preserve">m pore size) and the filters stored onboard at -20 </w:t>
      </w:r>
      <w:r w:rsidRPr="008F12B4">
        <w:rPr>
          <w:kern w:val="32"/>
        </w:rPr>
        <w:sym w:font="Symbol" w:char="F0B0"/>
      </w:r>
      <w:r w:rsidRPr="008F12B4">
        <w:rPr>
          <w:kern w:val="32"/>
        </w:rPr>
        <w:t xml:space="preserve">C until return to the laboratory when they were transferred to -80 </w:t>
      </w:r>
      <w:r w:rsidRPr="008F12B4">
        <w:rPr>
          <w:kern w:val="32"/>
        </w:rPr>
        <w:sym w:font="Symbol" w:char="F0B0"/>
      </w:r>
      <w:r w:rsidRPr="008F12B4">
        <w:rPr>
          <w:kern w:val="32"/>
        </w:rPr>
        <w:t>C for subsequent analysis.</w:t>
      </w:r>
    </w:p>
    <w:p w14:paraId="6E865D59" w14:textId="77777777" w:rsidR="004A2050" w:rsidRPr="004A2050" w:rsidRDefault="004A2050" w:rsidP="004A2050">
      <w:pPr>
        <w:spacing w:line="360" w:lineRule="auto"/>
        <w:jc w:val="both"/>
        <w:rPr>
          <w:rFonts w:ascii="Times New Roman" w:eastAsia="Times New Roman" w:hAnsi="Times New Roman" w:cs="Times New Roman"/>
          <w:kern w:val="32"/>
          <w:lang w:eastAsia="en-GB"/>
        </w:rPr>
      </w:pPr>
    </w:p>
    <w:p w14:paraId="377C8BB6" w14:textId="1F3E5148" w:rsidR="004A2050" w:rsidRDefault="004A2050" w:rsidP="004A2050">
      <w:pPr>
        <w:pStyle w:val="SMText"/>
        <w:spacing w:line="360" w:lineRule="auto"/>
        <w:ind w:firstLine="0"/>
        <w:jc w:val="both"/>
        <w:rPr>
          <w:b/>
          <w:bCs/>
          <w:kern w:val="32"/>
        </w:rPr>
      </w:pPr>
      <w:r w:rsidRPr="004A2050">
        <w:rPr>
          <w:b/>
          <w:bCs/>
          <w:kern w:val="32"/>
        </w:rPr>
        <w:t xml:space="preserve">DNA extraction and </w:t>
      </w:r>
      <w:r w:rsidR="0053738C" w:rsidRPr="004A2050">
        <w:rPr>
          <w:b/>
          <w:bCs/>
          <w:kern w:val="32"/>
        </w:rPr>
        <w:t>barcoded amplicon</w:t>
      </w:r>
      <w:r w:rsidRPr="004A2050">
        <w:rPr>
          <w:b/>
          <w:bCs/>
          <w:kern w:val="32"/>
        </w:rPr>
        <w:t xml:space="preserve"> 16S rRNA gene sequencing </w:t>
      </w:r>
    </w:p>
    <w:p w14:paraId="4008A1F4" w14:textId="732B84CC" w:rsidR="004A2050" w:rsidRPr="004A2050" w:rsidRDefault="004A2050" w:rsidP="004A2050">
      <w:pPr>
        <w:pStyle w:val="SMText"/>
        <w:spacing w:line="360" w:lineRule="auto"/>
        <w:ind w:firstLine="0"/>
        <w:jc w:val="both"/>
        <w:rPr>
          <w:kern w:val="32"/>
        </w:rPr>
      </w:pPr>
      <w:r w:rsidRPr="004A2050">
        <w:rPr>
          <w:kern w:val="32"/>
        </w:rPr>
        <w:t xml:space="preserve">Filters with collected biomass from each treatment (incl. replicates) were each transferred into sterile 1.5 ml Eppendorf tubes and submerged in liquid nitrogen until completely frozen. The frozen filters were carefully crushed into fine particles using sterile pipette tips. DNA was extracted according to the method of a previous study </w:t>
      </w:r>
      <w:r w:rsidRPr="004A2050">
        <w:rPr>
          <w:kern w:val="32"/>
        </w:rPr>
        <w:fldChar w:fldCharType="begin" w:fldLock="1"/>
      </w:r>
      <w:r w:rsidR="007C41EB">
        <w:rPr>
          <w:kern w:val="32"/>
        </w:rPr>
        <w:instrText>ADDIN CSL_CITATION {"citationItems":[{"id":"ITEM-1","itemData":{"DOI":"10.1046/j.1529-8817.2000.99079.x","ISBN":"0022-3646","ISSN":"00223646","PMID":"4988711","abstract":"The isolation of high-quality nucleic acids from cyanobacterial strains, in particular environmental isolates, has proven far from trivial. We present novel techniques for the extraction of high molecu-lar weight DNA and RNA from a range of cultured and environmental cyanobacteria, including stains belonging to the genera Microcystis , Lyngbya , Pseudan-abaena , Aphanizomenon , Nodularia , Anabaena , and Nostoc , based on the use of the nontoxic polysaccha-ride solubilizing compound xanthogenate. These methods are rapid, require no enzymatic or mechan-ical cell disruption, and have been used to isolate both DNA and RNA free of enzyme inhibitors or nu-cleases. In addition, these procedures have proven critical in the molecular analysis of bloom-forming and other environmental cyanobacterial isolates. Fi-nally, these techniques are of general microbiologi-cal utility for a diverse range of noncyanobacterial microorganisms, including Gram-positive and Gram-negative bacteria and the Archea.","author":[{"dropping-particle":"","family":"Tillett","given":"Daniel","non-dropping-particle":"","parse-names":false,"suffix":""},{"dropping-particle":"","family":"Neilan","given":"Brett A.","non-dropping-particle":"","parse-names":false,"suffix":""}],"container-title":"Journal of Phycology","id":"ITEM-1","issue":"1","issued":{"date-parts":[["2000"]]},"page":"251-258","title":"Xanthogenate nucleic acid isolation from cultured and environmental cyanobacteria","type":"article-journal","volume":"36"},"uris":["http://www.mendeley.com/documents/?uuid=cd99afc8-a5fa-40c1-a19b-96c7dab29ce4"]}],"mendeley":{"formattedCitation":"(2)","plainTextFormattedCitation":"(2)","previouslyFormattedCitation":"(2)"},"properties":{"noteIndex":0},"schema":"https://github.com/citation-style-language/schema/raw/master/csl-citation.json"}</w:instrText>
      </w:r>
      <w:r w:rsidRPr="004A2050">
        <w:rPr>
          <w:kern w:val="32"/>
        </w:rPr>
        <w:fldChar w:fldCharType="separate"/>
      </w:r>
      <w:r w:rsidR="007C41EB" w:rsidRPr="007C41EB">
        <w:rPr>
          <w:noProof/>
          <w:kern w:val="32"/>
        </w:rPr>
        <w:t>(2)</w:t>
      </w:r>
      <w:r w:rsidRPr="004A2050">
        <w:rPr>
          <w:kern w:val="32"/>
        </w:rPr>
        <w:fldChar w:fldCharType="end"/>
      </w:r>
      <w:r w:rsidRPr="004A2050">
        <w:rPr>
          <w:kern w:val="32"/>
        </w:rPr>
        <w:t xml:space="preserve">. Sterile deionised water samples were included to act as negative controls to qualify the sterility of the method and of the reagents used. DNA extracts were resuspended in 20 </w:t>
      </w:r>
      <w:r w:rsidRPr="004A2050">
        <w:rPr>
          <w:kern w:val="32"/>
        </w:rPr>
        <w:sym w:font="Symbol" w:char="F06D"/>
      </w:r>
      <w:r w:rsidRPr="004A2050">
        <w:rPr>
          <w:kern w:val="32"/>
        </w:rPr>
        <w:t xml:space="preserve">l of 1 mM TE buffer and confirmed by gel electrophoresis prior to storage at -20 </w:t>
      </w:r>
      <w:r w:rsidRPr="004A2050">
        <w:rPr>
          <w:kern w:val="32"/>
        </w:rPr>
        <w:sym w:font="Symbol" w:char="F0B0"/>
      </w:r>
      <w:r w:rsidRPr="004A2050">
        <w:rPr>
          <w:kern w:val="32"/>
        </w:rPr>
        <w:t>C for Illumina barcoded-amplicon sequencing.</w:t>
      </w:r>
    </w:p>
    <w:p w14:paraId="2639E981" w14:textId="3C86D683" w:rsidR="004A2050" w:rsidRPr="004A2050" w:rsidRDefault="004A2050" w:rsidP="004A2050">
      <w:pPr>
        <w:pStyle w:val="SMText"/>
        <w:spacing w:line="360" w:lineRule="auto"/>
        <w:ind w:firstLine="720"/>
        <w:jc w:val="both"/>
        <w:rPr>
          <w:kern w:val="32"/>
        </w:rPr>
      </w:pPr>
      <w:r w:rsidRPr="004A2050">
        <w:rPr>
          <w:iCs/>
          <w:kern w:val="32"/>
        </w:rPr>
        <w:t xml:space="preserve">A two-step amplification procedure was used to minimize the heteroduplex formation in mixed-template reactions </w:t>
      </w:r>
      <w:r w:rsidRPr="004A2050">
        <w:rPr>
          <w:iCs/>
          <w:kern w:val="32"/>
        </w:rPr>
        <w:fldChar w:fldCharType="begin" w:fldLock="1"/>
      </w:r>
      <w:r w:rsidR="007C41EB">
        <w:rPr>
          <w:iCs/>
          <w:kern w:val="32"/>
        </w:rPr>
        <w:instrText>ADDIN CSL_CITATION {"citationItems":[{"id":"ITEM-1","itemData":{"DOI":"10.1128/AEM.05220-11","ISSN":"1098-5336","PMID":"21890669","abstract":"\"Barcode-tagged\" PCR primers used for multiplex amplicon sequencing generate a thus-far-overlooked amplification bias that produces variable terminal restriction fragment length polymorphism (T-RFLP) and pyrosequencing data from the same environmental DNA template. We propose a simple two-step PCR approach that increases reproducibility and consistently recovers higher genetic diversity in pyrosequencing libraries.","author":[{"dropping-particle":"","family":"Berry","given":"David","non-dropping-particle":"","parse-names":false,"suffix":""},{"dropping-particle":"","family":"Mahfoudh","given":"Karim","non-dropping-particle":"Ben","parse-names":false,"suffix":""},{"dropping-particle":"","family":"Wagner","given":"Michael","non-dropping-particle":"","parse-names":false,"suffix":""},{"dropping-particle":"","family":"Loy","given":"Alexander","non-dropping-particle":"","parse-names":false,"suffix":""}],"container-title":"Applied and environmental microbiology","id":"ITEM-1","issue":"21","issued":{"date-parts":[["2011","11","1"]]},"page":"7846-9","publisher":"American Society for Microbiology","title":"Barcoded primers used in multiplex amplicon pyrosequencing bias amplification.","type":"article-journal","volume":"77"},"uris":["http://www.mendeley.com/documents/?uuid=aa6824c0-99ed-3a7f-aa56-3ee73da7b526"]}],"mendeley":{"formattedCitation":"(3)","plainTextFormattedCitation":"(3)","previouslyFormattedCitation":"(3)"},"properties":{"noteIndex":0},"schema":"https://github.com/citation-style-language/schema/raw/master/csl-citation.json"}</w:instrText>
      </w:r>
      <w:r w:rsidRPr="004A2050">
        <w:rPr>
          <w:iCs/>
          <w:kern w:val="32"/>
        </w:rPr>
        <w:fldChar w:fldCharType="separate"/>
      </w:r>
      <w:r w:rsidR="007C41EB" w:rsidRPr="007C41EB">
        <w:rPr>
          <w:iCs/>
          <w:noProof/>
          <w:kern w:val="32"/>
        </w:rPr>
        <w:t>(3)</w:t>
      </w:r>
      <w:r w:rsidRPr="004A2050">
        <w:rPr>
          <w:kern w:val="32"/>
        </w:rPr>
        <w:fldChar w:fldCharType="end"/>
      </w:r>
      <w:r w:rsidRPr="004A2050">
        <w:rPr>
          <w:iCs/>
          <w:kern w:val="32"/>
        </w:rPr>
        <w:t xml:space="preserve">. The 16S rRNA gene was first amplified with universal bacterial primers 8F (5`-AGAGTTTGATCCTGGCTCAG-3`) </w:t>
      </w:r>
      <w:r w:rsidRPr="004A2050">
        <w:rPr>
          <w:iCs/>
          <w:kern w:val="32"/>
        </w:rPr>
        <w:fldChar w:fldCharType="begin" w:fldLock="1"/>
      </w:r>
      <w:r w:rsidR="007C41EB">
        <w:rPr>
          <w:iCs/>
          <w:kern w:val="32"/>
        </w:rPr>
        <w:instrText>ADDIN CSL_CITATION {"citationItems":[{"id":"ITEM-1","itemData":{"DOI":"10.1128/AEM.01303-08","author":[{"dropping-particle":"","family":"Galkiewicz","given":"Julia P","non-dropping-particle":"","parse-names":false,"suffix":""},{"dropping-particle":"","family":"Kellogg","given":"Christina A","non-dropping-particle":"","parse-names":false,"suffix":""}],"container-title":"APPLIED AND ENVIRONMENTAL MICROBIOLOGY","id":"ITEM-1","issue":"24","issued":{"date-parts":[["2008"]]},"page":"7828-7831","title":"Cross-Kingdom Amplification Using Bacteria-Specific Primers: Complications for Studies of Coral Microbial Ecology","type":"article-journal","volume":"74"},"uris":["http://www.mendeley.com/documents/?uuid=1c8fb80e-9d8f-3d30-b9a9-e28300188109","http://www.mendeley.com/documents/?uuid=4fccf241-54c0-472d-9b8c-d7a6c0c2763f"]}],"mendeley":{"formattedCitation":"(4)","plainTextFormattedCitation":"(4)","previouslyFormattedCitation":"(4)"},"properties":{"noteIndex":0},"schema":"https://github.com/citation-style-language/schema/raw/master/csl-citation.json"}</w:instrText>
      </w:r>
      <w:r w:rsidRPr="004A2050">
        <w:rPr>
          <w:iCs/>
          <w:kern w:val="32"/>
        </w:rPr>
        <w:fldChar w:fldCharType="separate"/>
      </w:r>
      <w:r w:rsidR="007C41EB" w:rsidRPr="007C41EB">
        <w:rPr>
          <w:iCs/>
          <w:noProof/>
          <w:kern w:val="32"/>
        </w:rPr>
        <w:t>(4)</w:t>
      </w:r>
      <w:r w:rsidRPr="004A2050">
        <w:rPr>
          <w:kern w:val="32"/>
        </w:rPr>
        <w:fldChar w:fldCharType="end"/>
      </w:r>
      <w:r w:rsidRPr="004A2050">
        <w:rPr>
          <w:iCs/>
          <w:kern w:val="32"/>
        </w:rPr>
        <w:t xml:space="preserve"> and 1492R (5`-</w:t>
      </w:r>
      <w:r w:rsidRPr="004A2050">
        <w:rPr>
          <w:iCs/>
          <w:kern w:val="32"/>
        </w:rPr>
        <w:lastRenderedPageBreak/>
        <w:t xml:space="preserve">TACGGYTACCTTGTTACGACT-3`) </w:t>
      </w:r>
      <w:r w:rsidRPr="004A2050">
        <w:rPr>
          <w:iCs/>
          <w:kern w:val="32"/>
        </w:rPr>
        <w:fldChar w:fldCharType="begin" w:fldLock="1"/>
      </w:r>
      <w:r w:rsidR="007C41EB">
        <w:rPr>
          <w:iCs/>
          <w:kern w:val="32"/>
        </w:rPr>
        <w:instrText>ADDIN CSL_CITATION {"citationItems":[{"id":"ITEM-1","itemData":{"DOI":"10.1371/journal.pone.0075746","ISSN":"19326203","abstract":"2-aminophenol (2-AP) is a toxic nitrogen-containing aromatic pollutant. Burkholderia xenovorans LB400 possess an amn gene cluster that encodes the 2-AP catabolic pathway. In this report, the functionality of the 2-aminophenol pathway of B. xenovorans strain LB400 was analyzed. The amnRJBACDFEHG cluster located at chromosome 1 encodes the enzymes for the degradation of 2-aminophenol. The absence of habA and habB genes in LB400 genome correlates with its no growth on nitrobenzene. RT-PCR analyses in strain LB400 showed the co-expression of amnJB, amnBAC, amnACD, amnDFE and amnEHG genes, suggesting that the amn cluster is an operon. RT-qPCR showed that the amnB gene expression was highly induced by 2-AP, whereas a basal constitutive expression was observed in glucose, indicating that these amn genes are regulated. We propose that the predicted MarR-type transcriptional regulator encoded by the amnR gene acts as repressor of the amn gene cluster using a MarR-type regulatory binding sequence. This report showed that LB400 resting cells degrade completely 2-AP. The amn gene cluster from strain LB400 is highly identical to the amn gene cluster from P. knackmussi strain B13, which could not grow on 2-AP. However, we demonstrate that B. xenovorans LB400 is able to grow using 2-AP as sole nitrogen source and glucose as sole carbon source. An amnBA - mutant of strain LB400 was unable to grow with 2-AP as nitrogen source and glucose as carbon source and to degrade 2-AP. This study showed that during LB400 growth on 2-AP this substrate was partially converted into picolinic acid (PA), a well-known antibiotic. The addition of PA at lag or mid-exponential phase inhibited LB400 growth. The MIC of PA for strain LB400 is 2 mM. Overall, these results demonstrate that B. xenovorans strain LB400 posses a functional 2-AP catabolic central pathway, which could lead to the production of picolinic acid. © 2013 Chirino et al.","author":[{"dropping-particle":"","family":"Chirino","given":"Bernardita","non-dropping-particle":"","parse-names":false,"suffix":""},{"dropping-particle":"","family":"Strahsburger","given":"Erwin","non-dropping-particle":"","parse-names":false,"suffix":""},{"dropping-particle":"","family":"Agulló","given":"Loreine","non-dropping-particle":"","parse-names":false,"suffix":""},{"dropping-particle":"","family":"González","given":"Myriam","non-dropping-particle":"","parse-names":false,"suffix":""},{"dropping-particle":"","family":"Seeger","given":"Michael","non-dropping-particle":"","parse-names":false,"suffix":""}],"container-title":"PLoS ONE","id":"ITEM-1","issue":"10","issued":{"date-parts":[["2013"]]},"title":"Genomic and Functional Analyses of the 2-Aminophenol Catabolic Pathway and Partial Conversion of Its Substrate into Picolinic Acid in Burkholderia xenovorans LB400","type":"article-journal","volume":"8"},"uris":["http://www.mendeley.com/documents/?uuid=1c620c3a-67aa-3046-8fbf-a95743aaf1d9","http://www.mendeley.com/documents/?uuid=03d33aa2-daa5-4e23-b6fa-e4c715bd0fe9"]}],"mendeley":{"formattedCitation":"(5)","plainTextFormattedCitation":"(5)","previouslyFormattedCitation":"(5)"},"properties":{"noteIndex":0},"schema":"https://github.com/citation-style-language/schema/raw/master/csl-citation.json"}</w:instrText>
      </w:r>
      <w:r w:rsidRPr="004A2050">
        <w:rPr>
          <w:iCs/>
          <w:kern w:val="32"/>
        </w:rPr>
        <w:fldChar w:fldCharType="separate"/>
      </w:r>
      <w:r w:rsidR="007C41EB" w:rsidRPr="007C41EB">
        <w:rPr>
          <w:iCs/>
          <w:noProof/>
          <w:kern w:val="32"/>
        </w:rPr>
        <w:t>(5)</w:t>
      </w:r>
      <w:r w:rsidRPr="004A2050">
        <w:rPr>
          <w:kern w:val="32"/>
        </w:rPr>
        <w:fldChar w:fldCharType="end"/>
      </w:r>
      <w:r w:rsidRPr="004A2050">
        <w:rPr>
          <w:iCs/>
          <w:kern w:val="32"/>
        </w:rPr>
        <w:t xml:space="preserve"> in triplicate 25 </w:t>
      </w:r>
      <w:r w:rsidRPr="004A2050">
        <w:rPr>
          <w:iCs/>
          <w:kern w:val="32"/>
        </w:rPr>
        <w:sym w:font="Symbol" w:char="F06D"/>
      </w:r>
      <w:r w:rsidRPr="004A2050">
        <w:rPr>
          <w:iCs/>
          <w:kern w:val="32"/>
        </w:rPr>
        <w:t xml:space="preserve">l reactions each containing </w:t>
      </w:r>
      <w:r w:rsidRPr="004A2050">
        <w:rPr>
          <w:iCs/>
          <w:lang w:val="en-US"/>
        </w:rPr>
        <w:t xml:space="preserve">2.5 U </w:t>
      </w:r>
      <w:proofErr w:type="spellStart"/>
      <w:r w:rsidRPr="004A2050">
        <w:rPr>
          <w:iCs/>
          <w:lang w:val="en-US"/>
        </w:rPr>
        <w:t>MyTaq</w:t>
      </w:r>
      <w:proofErr w:type="spellEnd"/>
      <w:r w:rsidRPr="004A2050">
        <w:rPr>
          <w:lang w:val="en-US"/>
        </w:rPr>
        <w:sym w:font="Symbol" w:char="F0D4"/>
      </w:r>
      <w:r w:rsidRPr="004A2050">
        <w:rPr>
          <w:iCs/>
          <w:lang w:val="en-US"/>
        </w:rPr>
        <w:t xml:space="preserve"> Red DNA Polymerase (</w:t>
      </w:r>
      <w:proofErr w:type="spellStart"/>
      <w:r w:rsidRPr="004A2050">
        <w:rPr>
          <w:iCs/>
          <w:lang w:val="en-US"/>
        </w:rPr>
        <w:t>Bioline</w:t>
      </w:r>
      <w:proofErr w:type="spellEnd"/>
      <w:r w:rsidRPr="004A2050">
        <w:rPr>
          <w:iCs/>
          <w:lang w:val="en-US"/>
        </w:rPr>
        <w:t xml:space="preserve"> Reagents Ltd.), 5 </w:t>
      </w:r>
      <w:r w:rsidRPr="004A2050">
        <w:rPr>
          <w:lang w:val="en-US"/>
        </w:rPr>
        <w:sym w:font="Symbol" w:char="F06D"/>
      </w:r>
      <w:r w:rsidRPr="004A2050">
        <w:rPr>
          <w:iCs/>
          <w:lang w:val="en-US"/>
        </w:rPr>
        <w:t xml:space="preserve">l 5x </w:t>
      </w:r>
      <w:proofErr w:type="spellStart"/>
      <w:r w:rsidRPr="004A2050">
        <w:rPr>
          <w:iCs/>
          <w:lang w:val="en-US"/>
        </w:rPr>
        <w:t>MyTaq</w:t>
      </w:r>
      <w:proofErr w:type="spellEnd"/>
      <w:r w:rsidRPr="004A2050">
        <w:rPr>
          <w:iCs/>
          <w:lang w:val="en-US"/>
        </w:rPr>
        <w:t xml:space="preserve"> Red Reaction buffer (containing 5 mM dNTPs and 15 mM MgCl</w:t>
      </w:r>
      <w:r w:rsidRPr="004A2050">
        <w:rPr>
          <w:iCs/>
          <w:vertAlign w:val="subscript"/>
          <w:lang w:val="en-US"/>
        </w:rPr>
        <w:t>2</w:t>
      </w:r>
      <w:r w:rsidRPr="004A2050">
        <w:rPr>
          <w:iCs/>
          <w:lang w:val="en-US"/>
        </w:rPr>
        <w:t>) (</w:t>
      </w:r>
      <w:proofErr w:type="spellStart"/>
      <w:r w:rsidRPr="004A2050">
        <w:rPr>
          <w:iCs/>
          <w:lang w:val="en-US"/>
        </w:rPr>
        <w:t>Bioline</w:t>
      </w:r>
      <w:proofErr w:type="spellEnd"/>
      <w:r w:rsidRPr="004A2050">
        <w:rPr>
          <w:iCs/>
          <w:lang w:val="en-US"/>
        </w:rPr>
        <w:t xml:space="preserve"> Reagents Ltd.), 17.5 </w:t>
      </w:r>
      <w:r w:rsidRPr="004A2050">
        <w:rPr>
          <w:lang w:val="en-US"/>
        </w:rPr>
        <w:sym w:font="Symbol" w:char="F06D"/>
      </w:r>
      <w:r w:rsidRPr="004A2050">
        <w:rPr>
          <w:iCs/>
          <w:lang w:val="en-US"/>
        </w:rPr>
        <w:t xml:space="preserve">l molecular grade water, forward and reverse primer at final concentration of 0.2 </w:t>
      </w:r>
      <w:r w:rsidRPr="004A2050">
        <w:rPr>
          <w:lang w:val="en-US"/>
        </w:rPr>
        <w:sym w:font="Symbol" w:char="F06D"/>
      </w:r>
      <w:r w:rsidRPr="004A2050">
        <w:rPr>
          <w:iCs/>
          <w:lang w:val="en-US"/>
        </w:rPr>
        <w:t xml:space="preserve">M each, and 1 </w:t>
      </w:r>
      <w:r w:rsidRPr="004A2050">
        <w:rPr>
          <w:lang w:val="en-US"/>
        </w:rPr>
        <w:sym w:font="Symbol" w:char="F06D"/>
      </w:r>
      <w:r w:rsidRPr="004A2050">
        <w:rPr>
          <w:iCs/>
          <w:lang w:val="en-US"/>
        </w:rPr>
        <w:t>l of target DNA</w:t>
      </w:r>
      <w:r w:rsidRPr="004A2050">
        <w:rPr>
          <w:iCs/>
          <w:kern w:val="32"/>
        </w:rPr>
        <w:t xml:space="preserve">. Amplification was carried out on a thermocycler using the following conditions: initial denaturation at 96 </w:t>
      </w:r>
      <w:r w:rsidRPr="004A2050">
        <w:rPr>
          <w:iCs/>
          <w:kern w:val="32"/>
        </w:rPr>
        <w:sym w:font="Symbol" w:char="F0B0"/>
      </w:r>
      <w:r w:rsidRPr="004A2050">
        <w:rPr>
          <w:iCs/>
          <w:kern w:val="32"/>
        </w:rPr>
        <w:t xml:space="preserve">C for 5 min, followed by 32 cycles of 96 </w:t>
      </w:r>
      <w:r w:rsidRPr="004A2050">
        <w:rPr>
          <w:iCs/>
          <w:kern w:val="32"/>
        </w:rPr>
        <w:sym w:font="Symbol" w:char="F0B0"/>
      </w:r>
      <w:r w:rsidRPr="004A2050">
        <w:rPr>
          <w:iCs/>
          <w:kern w:val="32"/>
        </w:rPr>
        <w:t xml:space="preserve">C for 30 sec, 54 </w:t>
      </w:r>
      <w:r w:rsidRPr="004A2050">
        <w:rPr>
          <w:iCs/>
          <w:kern w:val="32"/>
        </w:rPr>
        <w:sym w:font="Symbol" w:char="F0B0"/>
      </w:r>
      <w:r w:rsidRPr="004A2050">
        <w:rPr>
          <w:iCs/>
          <w:kern w:val="32"/>
        </w:rPr>
        <w:t xml:space="preserve">C for 30 sec and 72 </w:t>
      </w:r>
      <w:r w:rsidRPr="004A2050">
        <w:rPr>
          <w:iCs/>
          <w:kern w:val="32"/>
        </w:rPr>
        <w:sym w:font="Symbol" w:char="F0B0"/>
      </w:r>
      <w:r w:rsidRPr="004A2050">
        <w:rPr>
          <w:iCs/>
          <w:kern w:val="32"/>
        </w:rPr>
        <w:t xml:space="preserve">C for 30 sec, and a final extension at 72 </w:t>
      </w:r>
      <w:r w:rsidRPr="004A2050">
        <w:rPr>
          <w:iCs/>
          <w:kern w:val="32"/>
        </w:rPr>
        <w:sym w:font="Symbol" w:char="F0B0"/>
      </w:r>
      <w:r w:rsidRPr="004A2050">
        <w:rPr>
          <w:iCs/>
          <w:kern w:val="32"/>
        </w:rPr>
        <w:t xml:space="preserve">C for 10 min. Purified samples were quantitated with Nanodrop and stored at -20 </w:t>
      </w:r>
      <w:r w:rsidRPr="004A2050">
        <w:rPr>
          <w:iCs/>
          <w:kern w:val="32"/>
        </w:rPr>
        <w:sym w:font="Symbol" w:char="F0B0"/>
      </w:r>
      <w:r w:rsidRPr="004A2050">
        <w:rPr>
          <w:iCs/>
          <w:kern w:val="32"/>
        </w:rPr>
        <w:t>C for the second step of barcoded amplification.</w:t>
      </w:r>
    </w:p>
    <w:p w14:paraId="16BFC7DE" w14:textId="0231EA3F" w:rsidR="004A2050" w:rsidRPr="004A2050" w:rsidRDefault="004A2050" w:rsidP="004A2050">
      <w:pPr>
        <w:pStyle w:val="SMText"/>
        <w:spacing w:line="360" w:lineRule="auto"/>
        <w:ind w:firstLine="720"/>
        <w:jc w:val="both"/>
        <w:rPr>
          <w:kern w:val="32"/>
        </w:rPr>
      </w:pPr>
      <w:r w:rsidRPr="004A2050">
        <w:rPr>
          <w:iCs/>
          <w:kern w:val="32"/>
        </w:rPr>
        <w:t xml:space="preserve">The second step involved the targeted barcoded amplification of the V4 hypervariable region of the 16S rRNA gene from the first-step PCR. For each sample, this was performed using duplicate 25 </w:t>
      </w:r>
      <w:r w:rsidRPr="004A2050">
        <w:rPr>
          <w:iCs/>
          <w:kern w:val="32"/>
        </w:rPr>
        <w:sym w:font="Symbol" w:char="F06D"/>
      </w:r>
      <w:r w:rsidRPr="004A2050">
        <w:rPr>
          <w:iCs/>
          <w:kern w:val="32"/>
        </w:rPr>
        <w:t>l reactions. Each reaction consisted of the same reagents as in the first PCR step but this time barcoded 515F (5</w:t>
      </w:r>
      <w:r w:rsidRPr="004A2050">
        <w:rPr>
          <w:iCs/>
          <w:kern w:val="32"/>
        </w:rPr>
        <w:sym w:font="Symbol" w:char="F0A2"/>
      </w:r>
      <w:r w:rsidRPr="004A2050">
        <w:rPr>
          <w:iCs/>
          <w:kern w:val="32"/>
        </w:rPr>
        <w:t>-GTGYCAGCMGCCGCGGTAA-3</w:t>
      </w:r>
      <w:r w:rsidRPr="004A2050">
        <w:rPr>
          <w:iCs/>
          <w:kern w:val="32"/>
        </w:rPr>
        <w:sym w:font="Symbol" w:char="F0A2"/>
      </w:r>
      <w:r w:rsidRPr="004A2050">
        <w:rPr>
          <w:iCs/>
          <w:kern w:val="32"/>
        </w:rPr>
        <w:t xml:space="preserve">) </w:t>
      </w:r>
      <w:r w:rsidRPr="004A2050">
        <w:rPr>
          <w:iCs/>
          <w:kern w:val="32"/>
        </w:rPr>
        <w:fldChar w:fldCharType="begin" w:fldLock="1"/>
      </w:r>
      <w:r w:rsidR="007C41EB">
        <w:rPr>
          <w:iCs/>
          <w:kern w:val="32"/>
        </w:rPr>
        <w:instrText xml:space="preserve">ADDIN CSL_CITATION {"citationItems":[{"id":"ITEM-1","itemData":{"DOI":"10.1111/1462-2920.13023","ISBN":"1462-2920","ISSN":"14622920","PMID":"26271760","abstract":"Microbial community analysis via high-throughput sequencing of amplified 16S rRNA genes is an essential microbiology tool. We found the popular primer pair 515F (515F-C) and 806R greatly underestimated (e.g. SAR11) or overestimated (e.g. Gammaproteobacteria) common marine taxa. We evaluated marine samples and mock communities (containing 11 or 27 marine 16S clones), showing alternative primers 515F-Y (5′-GTGYCAGCMGCCGCGG TAA) and 926R (5′-CCGYCAATTYMTTTRAGTTT) yield more accurate estimates of mock community abundances, produce longer amplicons that can differentiate taxa unresolvable with 515F-C/806R, and amplify eukaryotic 18S rRNA. Mock communities amplified with 515F-Y/926R yielded closer observed community composition versus expected (r2 = 0.95) compared with 515F-Y/806R (r2 </w:instrText>
      </w:r>
      <w:r w:rsidR="007C41EB">
        <w:rPr>
          <w:rFonts w:ascii="Cambria Math" w:hAnsi="Cambria Math" w:cs="Cambria Math"/>
          <w:iCs/>
          <w:kern w:val="32"/>
        </w:rPr>
        <w:instrText>∼</w:instrText>
      </w:r>
      <w:r w:rsidR="007C41EB">
        <w:rPr>
          <w:iCs/>
          <w:kern w:val="32"/>
        </w:rPr>
        <w:instrText xml:space="preserve"> 0.5). Unexpectedly, biases with 515F-Y/806R against SAR11 in field samples (</w:instrText>
      </w:r>
      <w:r w:rsidR="007C41EB">
        <w:rPr>
          <w:rFonts w:ascii="Cambria Math" w:hAnsi="Cambria Math" w:cs="Cambria Math"/>
          <w:iCs/>
          <w:kern w:val="32"/>
        </w:rPr>
        <w:instrText>∼</w:instrText>
      </w:r>
      <w:r w:rsidR="007C41EB">
        <w:rPr>
          <w:iCs/>
          <w:kern w:val="32"/>
        </w:rPr>
        <w:instrText>4–10- fold) were stronger than in mock communities (</w:instrText>
      </w:r>
      <w:r w:rsidR="007C41EB">
        <w:rPr>
          <w:rFonts w:ascii="Cambria Math" w:hAnsi="Cambria Math" w:cs="Cambria Math"/>
          <w:iCs/>
          <w:kern w:val="32"/>
        </w:rPr>
        <w:instrText>∼</w:instrText>
      </w:r>
      <w:r w:rsidR="007C41EB">
        <w:rPr>
          <w:iCs/>
          <w:kern w:val="32"/>
        </w:rPr>
        <w:instrText xml:space="preserve">2- fold). Correcting a mismatch to Thaumarchaea in the 515F-C increased their apparent abundance in field samples, but not as much as using 926R rather than 806R. With plankton samples rich in eukaryotic DNA (&gt; 1 \u0004m size fraction), 18S sequences averaged </w:instrText>
      </w:r>
      <w:r w:rsidR="007C41EB">
        <w:rPr>
          <w:rFonts w:ascii="Cambria Math" w:hAnsi="Cambria Math" w:cs="Cambria Math"/>
          <w:iCs/>
          <w:kern w:val="32"/>
        </w:rPr>
        <w:instrText>∼</w:instrText>
      </w:r>
      <w:r w:rsidR="007C41EB">
        <w:rPr>
          <w:iCs/>
          <w:kern w:val="32"/>
        </w:rPr>
        <w:instrText>17% of all sequences. A single mismatch can strongly bias amplification, but even perfectly matched primers can exhibit preferential amplification. We show that beyond in silico predictions, testing with mock communities and field samples is important in primer selection.","author":[{"dropping-particle":"","family":"Parada","given":"Alma E.","non-dropping-particle":"","parse-names":false,"suffix":""},{"dropping-particle":"","family":"Needham","given":"David M.","non-dropping-particle":"","parse-names":false,"suffix":""},{"dropping-particle":"","family":"Fuhrman","given":"Jed A.","non-dropping-particle":"","parse-names":false,"suffix":""}],"container-title":"Environmental Microbiology","id":"ITEM-1","issue":"5","issued":{"date-parts":[["2016"]]},"page":"1403-1414","title":"Every base matters: Assessing small subunit rRNA primers for marine microbiomes with mock communities, time series and global field samples","type":"article-journal","volume":"18"},"uris":["http://www.mendeley.com/documents/?uuid=ca5b45b0-9470-4ef6-a909-324f9eef05d2"]}],"mendeley":{"formattedCitation":"(6)","plainTextFormattedCitation":"(6)","previouslyFormattedCitation":"(6)"},"properties":{"noteIndex":0},"schema":"https://github.com/citation-style-language/schema/raw/master/csl-citation.json"}</w:instrText>
      </w:r>
      <w:r w:rsidRPr="004A2050">
        <w:rPr>
          <w:iCs/>
          <w:kern w:val="32"/>
        </w:rPr>
        <w:fldChar w:fldCharType="separate"/>
      </w:r>
      <w:r w:rsidR="007C41EB" w:rsidRPr="007C41EB">
        <w:rPr>
          <w:iCs/>
          <w:noProof/>
          <w:kern w:val="32"/>
        </w:rPr>
        <w:t>(6)</w:t>
      </w:r>
      <w:r w:rsidRPr="004A2050">
        <w:rPr>
          <w:kern w:val="32"/>
        </w:rPr>
        <w:fldChar w:fldCharType="end"/>
      </w:r>
      <w:r w:rsidRPr="004A2050">
        <w:rPr>
          <w:iCs/>
          <w:kern w:val="32"/>
        </w:rPr>
        <w:t xml:space="preserve"> and 806R (5</w:t>
      </w:r>
      <w:r w:rsidRPr="004A2050">
        <w:rPr>
          <w:iCs/>
          <w:kern w:val="32"/>
        </w:rPr>
        <w:sym w:font="Symbol" w:char="F0A2"/>
      </w:r>
      <w:r w:rsidRPr="004A2050">
        <w:rPr>
          <w:iCs/>
          <w:kern w:val="32"/>
        </w:rPr>
        <w:t>-GGACTACNVGGGTWTCTAAT-3</w:t>
      </w:r>
      <w:r w:rsidRPr="004A2050">
        <w:rPr>
          <w:iCs/>
          <w:kern w:val="32"/>
        </w:rPr>
        <w:sym w:font="Symbol" w:char="F0A2"/>
      </w:r>
      <w:r w:rsidRPr="004A2050">
        <w:rPr>
          <w:iCs/>
          <w:kern w:val="32"/>
        </w:rPr>
        <w:t xml:space="preserve">) </w:t>
      </w:r>
      <w:r w:rsidRPr="004A2050">
        <w:rPr>
          <w:iCs/>
          <w:kern w:val="32"/>
        </w:rPr>
        <w:fldChar w:fldCharType="begin" w:fldLock="1"/>
      </w:r>
      <w:r w:rsidR="007C41EB">
        <w:rPr>
          <w:iCs/>
          <w:kern w:val="32"/>
        </w:rPr>
        <w:instrText>ADDIN CSL_CITATION {"citationItems":[{"id":"ITEM-1","itemData":{"DOI":"10.3354/ame01753","ISBN":"0948-3055","ISSN":"09483055","abstract":"High-throughput sequencing of small subunit ribosomal RNA (SSU rRNA) genes from marine environments is a widely applied method used to uncover the composition of micro- bial communities. We conducted an analysis of surface ocean waters with the commonly employed hypervariable 4 region SSU rRNA gene primers 515F and 806R, and found that bacteria belonging to the SAR11 clade of Alphaproteobacteria, a group typically making up 20 to 40% of the bacterioplankton in this environment, were greatly underrepresented and comprised &lt;4% of the total community. Using the SILVA reference database, we found a single nucleotide mismatch to nearly all SAR11 subclades, and revised the 806R primer so that it increased the detection of SAR11 clade sequences in the database from 2.6 to 96.7%. We then compared the performance of the original and revised 806R primers in surface seawater samples, and found that SAR11 com- prised 0.3 to 3.9% of sequences with the original primers and 17.5 to 30.5% of the sequences with the revised 806R primer. Furthermore, an investigation of seawater obtained from aquaria re - vealed that SAR11 sequences acquired with the revised 806R primer were more similar to natural cellular abundances of SAR11 detected using fluorescence in situ hybridization counts. Collectively, these results demonstrate that a minor adjustment to the 806R primer will greatly increase detec- tion of the globally abundant SAR11 clade in marine and lake environments, and enable inclusion of this important bacterial lineage in experimental and environmental-based studies.","author":[{"dropping-particle":"","family":"Apprill","given":"Amy","non-dropping-particle":"","parse-names":false,"suffix":""},{"dropping-particle":"","family":"Mcnally","given":"Sean","non-dropping-particle":"","parse-names":false,"suffix":""},{"dropping-particle":"","family":"Parsons","given":"Rachel","non-dropping-particle":"","parse-names":false,"suffix":""},{"dropping-particle":"","family":"Weber","given":"Laura","non-dropping-particle":"","parse-names":false,"suffix":""}],"container-title":"Aquatic Microbial Ecology","id":"ITEM-1","issue":"2","issued":{"date-parts":[["2015"]]},"page":"129-137","title":"Minor revision to V4 region SSU rRNA 806R gene primer greatly increases detection of SAR11 bacterioplankton","type":"article-journal","volume":"75"},"uris":["http://www.mendeley.com/documents/?uuid=b329e705-d553-30de-bb66-f35e245302c2"]}],"mendeley":{"formattedCitation":"(7)","plainTextFormattedCitation":"(7)","previouslyFormattedCitation":"(7)"},"properties":{"noteIndex":0},"schema":"https://github.com/citation-style-language/schema/raw/master/csl-citation.json"}</w:instrText>
      </w:r>
      <w:r w:rsidRPr="004A2050">
        <w:rPr>
          <w:iCs/>
          <w:kern w:val="32"/>
        </w:rPr>
        <w:fldChar w:fldCharType="separate"/>
      </w:r>
      <w:r w:rsidR="007C41EB" w:rsidRPr="007C41EB">
        <w:rPr>
          <w:iCs/>
          <w:noProof/>
          <w:kern w:val="32"/>
        </w:rPr>
        <w:t>(7)</w:t>
      </w:r>
      <w:r w:rsidRPr="004A2050">
        <w:rPr>
          <w:kern w:val="32"/>
        </w:rPr>
        <w:fldChar w:fldCharType="end"/>
      </w:r>
      <w:r w:rsidRPr="004A2050">
        <w:rPr>
          <w:iCs/>
          <w:kern w:val="32"/>
        </w:rPr>
        <w:t xml:space="preserve"> primers were added to the PCR mixture instead of 8F and 1492R primers. Both primers contained Illumina </w:t>
      </w:r>
      <w:proofErr w:type="spellStart"/>
      <w:r w:rsidRPr="004A2050">
        <w:rPr>
          <w:iCs/>
          <w:kern w:val="32"/>
        </w:rPr>
        <w:t>MiSeq</w:t>
      </w:r>
      <w:proofErr w:type="spellEnd"/>
      <w:r w:rsidRPr="004A2050">
        <w:rPr>
          <w:iCs/>
          <w:kern w:val="32"/>
        </w:rPr>
        <w:t xml:space="preserve"> adapters added to the 5</w:t>
      </w:r>
      <w:r w:rsidRPr="004A2050">
        <w:rPr>
          <w:iCs/>
          <w:kern w:val="32"/>
        </w:rPr>
        <w:sym w:font="Symbol" w:char="F0A2"/>
      </w:r>
      <w:r w:rsidRPr="004A2050">
        <w:rPr>
          <w:iCs/>
          <w:kern w:val="32"/>
        </w:rPr>
        <w:t xml:space="preserve"> ends and unique </w:t>
      </w:r>
      <w:proofErr w:type="spellStart"/>
      <w:r w:rsidRPr="004A2050">
        <w:rPr>
          <w:iCs/>
          <w:kern w:val="32"/>
        </w:rPr>
        <w:t>Golay</w:t>
      </w:r>
      <w:proofErr w:type="spellEnd"/>
      <w:r w:rsidRPr="004A2050">
        <w:rPr>
          <w:iCs/>
          <w:kern w:val="32"/>
        </w:rPr>
        <w:t xml:space="preserve"> barcodes added to the 515F primer. Barcoded amplification was carried out as per Earth Microbiome project’s thermocycler conditions </w:t>
      </w:r>
      <w:r w:rsidRPr="004A2050">
        <w:rPr>
          <w:iCs/>
          <w:kern w:val="32"/>
        </w:rPr>
        <w:fldChar w:fldCharType="begin" w:fldLock="1"/>
      </w:r>
      <w:r w:rsidR="007C41EB">
        <w:rPr>
          <w:iCs/>
          <w:kern w:val="32"/>
        </w:rPr>
        <w:instrText>ADDIN CSL_CITATION {"citationItems":[{"id":"ITEM-1","itemData":{"DOI":"10.1073/pnas.1000080107","ISSN":"0027-8424","abstract":"The ongoing revolution in high-throughput sequencing continues to democratize the ability of small groups of investigators to map the microbial component of the biosphere. In particular, the coevolution of new sequencing platforms and new software tools allows data acquisition and analysis on an unprecedented scale. Here we report the next stage in this coevolutionary arms race, using the Illumina GAIIx platform to sequence a diverse array of 25 environmental samples and three known \"mock communities\" at a depth averaging 3.1 million reads per sample. We demonstrate excellent consistency in taxonomic recovery and recapture diversity patterns that were previously reported on the basis of metaanalysis of many studies from the literature (notably, the saline/nonsaline split in environmental samples and the split between host-associated and free-living communities). We also demonstrate that 2,000 Illumina single-end reads are sufficient to recapture the same relationships among samples that we observe with the full dataset. The results thus open up the possibility of conducting large-scale studies analyzing thousands of samples simultaneously to survey microbial communities at an unprecedented spatial and temporal resolution.","author":[{"dropping-particle":"","family":"Caporaso","given":"J Gregory","non-dropping-particle":"","parse-names":false,"suffix":""},{"dropping-particle":"","family":"Lauber","given":"Christian L","non-dropping-particle":"","parse-names":false,"suffix":""},{"dropping-particle":"","family":"Walters","given":"William A","non-dropping-particle":"","parse-names":false,"suffix":""},{"dropping-particle":"","family":"Berg-Lyons","given":"Donna","non-dropping-particle":"","parse-names":false,"suffix":""},{"dropping-particle":"","family":"Lozupone","given":"Catherine A","non-dropping-particle":"","parse-names":false,"suffix":""},{"dropping-particle":"","family":"Turnbaugh","given":"Peter J","non-dropping-particle":"","parse-names":false,"suffix":""},{"dropping-particle":"","family":"Fierer","given":"Noah","non-dropping-particle":"","parse-names":false,"suffix":""},{"dropping-particle":"","family":"Knight","given":"Rob","non-dropping-particle":"","parse-names":false,"suffix":""}],"container-title":"PNAS","id":"ITEM-1","issue":"Supplement_1","issued":{"date-parts":[["2011"]]},"page":"4516-4522","title":"Global patterns of 16S rRNA diversity at a depth of millions of sequences per sample","type":"article-journal","volume":"108"},"uris":["http://www.mendeley.com/documents/?uuid=d7348691-e49b-33ac-a0ee-a5f5662864ad"]}],"mendeley":{"formattedCitation":"(8)","plainTextFormattedCitation":"(8)","previouslyFormattedCitation":"(8)"},"properties":{"noteIndex":0},"schema":"https://github.com/citation-style-language/schema/raw/master/csl-citation.json"}</w:instrText>
      </w:r>
      <w:r w:rsidRPr="004A2050">
        <w:rPr>
          <w:iCs/>
          <w:kern w:val="32"/>
        </w:rPr>
        <w:fldChar w:fldCharType="separate"/>
      </w:r>
      <w:r w:rsidR="007C41EB" w:rsidRPr="007C41EB">
        <w:rPr>
          <w:iCs/>
          <w:noProof/>
          <w:kern w:val="32"/>
        </w:rPr>
        <w:t>(8)</w:t>
      </w:r>
      <w:r w:rsidRPr="004A2050">
        <w:rPr>
          <w:kern w:val="32"/>
        </w:rPr>
        <w:fldChar w:fldCharType="end"/>
      </w:r>
      <w:r w:rsidRPr="004A2050">
        <w:rPr>
          <w:iCs/>
          <w:kern w:val="32"/>
        </w:rPr>
        <w:t xml:space="preserve">. </w:t>
      </w:r>
    </w:p>
    <w:p w14:paraId="262425A0" w14:textId="77777777" w:rsidR="00482425" w:rsidRPr="00482425" w:rsidRDefault="00482425" w:rsidP="00482425">
      <w:pPr>
        <w:spacing w:line="360" w:lineRule="auto"/>
        <w:jc w:val="both"/>
        <w:rPr>
          <w:rFonts w:ascii="Times New Roman" w:hAnsi="Times New Roman" w:cs="Times New Roman"/>
          <w:lang w:val="en-US"/>
        </w:rPr>
      </w:pPr>
    </w:p>
    <w:p w14:paraId="5EE526C1" w14:textId="795157E6" w:rsidR="00482425" w:rsidRDefault="007C41EB" w:rsidP="00482425">
      <w:pPr>
        <w:widowControl w:val="0"/>
        <w:autoSpaceDE w:val="0"/>
        <w:autoSpaceDN w:val="0"/>
        <w:adjustRightInd w:val="0"/>
        <w:spacing w:line="360" w:lineRule="auto"/>
        <w:rPr>
          <w:rFonts w:ascii="Times New Roman" w:hAnsi="Times New Roman" w:cs="Times New Roman"/>
          <w:b/>
          <w:bCs/>
          <w:color w:val="000000" w:themeColor="text1"/>
        </w:rPr>
      </w:pPr>
      <w:r>
        <w:rPr>
          <w:rFonts w:ascii="Times New Roman" w:hAnsi="Times New Roman" w:cs="Times New Roman"/>
          <w:b/>
          <w:bCs/>
          <w:color w:val="000000" w:themeColor="text1"/>
        </w:rPr>
        <w:t>S</w:t>
      </w:r>
      <w:r w:rsidR="00C66B16">
        <w:rPr>
          <w:rFonts w:ascii="Times New Roman" w:hAnsi="Times New Roman" w:cs="Times New Roman"/>
          <w:b/>
          <w:bCs/>
          <w:color w:val="000000" w:themeColor="text1"/>
        </w:rPr>
        <w:t>tatistical analyses</w:t>
      </w:r>
    </w:p>
    <w:p w14:paraId="6121C729" w14:textId="77777777" w:rsidR="007C41EB" w:rsidRPr="005A1F61" w:rsidRDefault="007C41EB" w:rsidP="00456AFC">
      <w:pPr>
        <w:spacing w:line="360" w:lineRule="auto"/>
        <w:jc w:val="both"/>
        <w:rPr>
          <w:rFonts w:ascii="Times New Roman" w:hAnsi="Times New Roman" w:cs="Times New Roman"/>
          <w:b/>
          <w:bCs/>
          <w:i/>
          <w:iCs/>
          <w:color w:val="000000"/>
        </w:rPr>
      </w:pPr>
      <w:r w:rsidRPr="005A1F61">
        <w:rPr>
          <w:rFonts w:ascii="Times New Roman" w:hAnsi="Times New Roman" w:cs="Times New Roman"/>
          <w:b/>
          <w:bCs/>
          <w:i/>
          <w:iCs/>
          <w:color w:val="000000"/>
        </w:rPr>
        <w:t>Alpha and beta diversity</w:t>
      </w:r>
    </w:p>
    <w:p w14:paraId="34F570F8" w14:textId="4B7C1545" w:rsidR="007C41EB" w:rsidRDefault="00C66B16" w:rsidP="00456AFC">
      <w:pPr>
        <w:spacing w:line="360" w:lineRule="auto"/>
        <w:jc w:val="both"/>
        <w:rPr>
          <w:rFonts w:ascii="Times New Roman" w:hAnsi="Times New Roman" w:cs="Times New Roman"/>
          <w:color w:val="000000"/>
        </w:rPr>
      </w:pPr>
      <w:r w:rsidRPr="00C66B16">
        <w:rPr>
          <w:rFonts w:ascii="Times New Roman" w:hAnsi="Times New Roman" w:cs="Times New Roman"/>
          <w:color w:val="000000"/>
        </w:rPr>
        <w:t xml:space="preserve">Alpha diversity indices Shannon and Species Richness were calculated on the rarefied-to minimum-reads ASVs to investigate within-community diversity of each treatment through time. Variance between treatments at different incubation times for each alpha diversity index were compared by performing ANOVA. Community composition variation between treatments and incubation time (Beta diversity) were assessed using </w:t>
      </w:r>
      <w:r w:rsidR="001F731E" w:rsidRPr="00C66B16">
        <w:rPr>
          <w:rFonts w:ascii="Times New Roman" w:hAnsi="Times New Roman" w:cs="Times New Roman"/>
          <w:color w:val="000000"/>
        </w:rPr>
        <w:t xml:space="preserve">the </w:t>
      </w:r>
      <w:proofErr w:type="spellStart"/>
      <w:r w:rsidR="001F731E" w:rsidRPr="005A1F61">
        <w:rPr>
          <w:rFonts w:ascii="Times New Roman" w:hAnsi="Times New Roman" w:cs="Times New Roman"/>
          <w:color w:val="000000"/>
        </w:rPr>
        <w:t>adonis</w:t>
      </w:r>
      <w:proofErr w:type="spellEnd"/>
      <w:r w:rsidR="001F731E" w:rsidRPr="00C66B16">
        <w:rPr>
          <w:rFonts w:ascii="Times New Roman" w:hAnsi="Times New Roman" w:cs="Times New Roman"/>
          <w:color w:val="000000"/>
        </w:rPr>
        <w:t xml:space="preserve"> function in vegan package </w:t>
      </w:r>
      <w:r w:rsidR="001F731E" w:rsidRPr="00C66B16">
        <w:rPr>
          <w:rFonts w:ascii="Times New Roman" w:hAnsi="Times New Roman" w:cs="Times New Roman"/>
          <w:color w:val="000000"/>
        </w:rPr>
        <w:fldChar w:fldCharType="begin" w:fldLock="1"/>
      </w:r>
      <w:r w:rsidR="001F731E">
        <w:rPr>
          <w:rFonts w:ascii="Times New Roman" w:hAnsi="Times New Roman" w:cs="Times New Roman"/>
          <w:color w:val="000000"/>
        </w:rPr>
        <w:instrText>ADDIN CSL_CITATION {"citationItems":[{"id":"ITEM-1","itemData":{"author":[{"dropping-particle":"","family":"Oksanen","given":"Author Jari","non-dropping-particle":"","parse-names":false,"suffix":""},{"dropping-particle":"","family":"Blanchet","given":"F Guillaume","non-dropping-particle":"","parse-names":false,"suffix":""},{"dropping-particle":"","family":"Friendly","given":"Michael","non-dropping-particle":"","parse-names":false,"suffix":""},{"dropping-particle":"","family":"Kindt","given":"Roeland","non-dropping-particle":"","parse-names":false,"suffix":""},{"dropping-particle":"","family":"Legendre","given":"Pierre","non-dropping-particle":"","parse-names":false,"suffix":""},{"dropping-particle":"","family":"Mcglinn","given":"Dan","non-dropping-particle":"","parse-names":false,"suffix":""},{"dropping-particle":"","family":"Minchin","given":"Peter R","non-dropping-particle":"","parse-names":false,"suffix":""},{"dropping-particle":"","family":"Hara","given":"R B O","non-dropping-particle":"","parse-names":false,"suffix":""},{"dropping-particle":"","family":"Simpson","given":"Gavin L","non-dropping-particle":"","parse-names":false,"suffix":""},{"dropping-particle":"","family":"Solymos","given":"Peter","non-dropping-particle":"","parse-names":false,"suffix":""},{"dropping-particle":"","family":"Stevens","given":"M Henry H","non-dropping-particle":"","parse-names":false,"suffix":""},{"dropping-particle":"","family":"Szoecs","given":"Eduard","non-dropping-particle":"","parse-names":false,"suffix":""}],"id":"ITEM-1","issued":{"date-parts":[["2019"]]},"title":"Community ecology package ‘ vegan ’. R package version 2.5-6","type":"article-journal"},"uris":["http://www.mendeley.com/documents/?uuid=7449e839-9ab0-4577-b2cd-3201fd79d99f"]}],"mendeley":{"formattedCitation":"(9)","plainTextFormattedCitation":"(9)","previouslyFormattedCitation":"(9)"},"properties":{"noteIndex":0},"schema":"https://github.com/citation-style-language/schema/raw/master/csl-citation.json"}</w:instrText>
      </w:r>
      <w:r w:rsidR="001F731E" w:rsidRPr="00C66B16">
        <w:rPr>
          <w:rFonts w:ascii="Times New Roman" w:hAnsi="Times New Roman" w:cs="Times New Roman"/>
          <w:color w:val="000000"/>
        </w:rPr>
        <w:fldChar w:fldCharType="separate"/>
      </w:r>
      <w:r w:rsidR="001F731E" w:rsidRPr="007C41EB">
        <w:rPr>
          <w:rFonts w:ascii="Times New Roman" w:hAnsi="Times New Roman" w:cs="Times New Roman"/>
          <w:noProof/>
          <w:color w:val="000000"/>
        </w:rPr>
        <w:t>(9)</w:t>
      </w:r>
      <w:r w:rsidR="001F731E" w:rsidRPr="00C66B16">
        <w:rPr>
          <w:rFonts w:ascii="Times New Roman" w:hAnsi="Times New Roman" w:cs="Times New Roman"/>
          <w:color w:val="000000"/>
        </w:rPr>
        <w:fldChar w:fldCharType="end"/>
      </w:r>
      <w:r w:rsidR="001F731E">
        <w:rPr>
          <w:rFonts w:ascii="Times New Roman" w:hAnsi="Times New Roman" w:cs="Times New Roman"/>
          <w:color w:val="000000"/>
        </w:rPr>
        <w:t xml:space="preserve"> to perform </w:t>
      </w:r>
      <w:r w:rsidRPr="00C66B16">
        <w:rPr>
          <w:rFonts w:ascii="Times New Roman" w:hAnsi="Times New Roman" w:cs="Times New Roman"/>
          <w:color w:val="000000"/>
        </w:rPr>
        <w:t>pairwise Permutational Multivariate Analysis of Variance (PERMANOVA). Principal Coordinate Analysis plots (</w:t>
      </w:r>
      <w:proofErr w:type="spellStart"/>
      <w:r w:rsidRPr="00C66B16">
        <w:rPr>
          <w:rFonts w:ascii="Times New Roman" w:hAnsi="Times New Roman" w:cs="Times New Roman"/>
          <w:color w:val="000000"/>
        </w:rPr>
        <w:t>PCoA</w:t>
      </w:r>
      <w:proofErr w:type="spellEnd"/>
      <w:r w:rsidRPr="00C66B16">
        <w:rPr>
          <w:rFonts w:ascii="Times New Roman" w:hAnsi="Times New Roman" w:cs="Times New Roman"/>
          <w:color w:val="000000"/>
        </w:rPr>
        <w:t>) were used to visualise dissimilarit</w:t>
      </w:r>
      <w:r w:rsidR="00F155AE">
        <w:rPr>
          <w:rFonts w:ascii="Times New Roman" w:hAnsi="Times New Roman" w:cs="Times New Roman"/>
          <w:color w:val="000000"/>
        </w:rPr>
        <w:t>i</w:t>
      </w:r>
      <w:r w:rsidRPr="00C66B16">
        <w:rPr>
          <w:rFonts w:ascii="Times New Roman" w:hAnsi="Times New Roman" w:cs="Times New Roman"/>
          <w:color w:val="000000"/>
        </w:rPr>
        <w:t xml:space="preserve">es based on Bray-Curtis similarity matrix and Weighted </w:t>
      </w:r>
      <w:proofErr w:type="spellStart"/>
      <w:r w:rsidRPr="00C66B16">
        <w:rPr>
          <w:rFonts w:ascii="Times New Roman" w:hAnsi="Times New Roman" w:cs="Times New Roman"/>
          <w:color w:val="000000"/>
        </w:rPr>
        <w:t>UniFrac</w:t>
      </w:r>
      <w:proofErr w:type="spellEnd"/>
      <w:r w:rsidRPr="00C66B16">
        <w:rPr>
          <w:rFonts w:ascii="Times New Roman" w:hAnsi="Times New Roman" w:cs="Times New Roman"/>
          <w:color w:val="000000"/>
        </w:rPr>
        <w:t xml:space="preserve"> distance matrices. Significance of results was based on high F values and level of significance based on low p-values (&lt;0.05) for a comparison to be considered a significantly different. </w:t>
      </w:r>
    </w:p>
    <w:p w14:paraId="7248C790" w14:textId="77777777" w:rsidR="00BE1FB8" w:rsidRDefault="00BE1FB8" w:rsidP="00456AFC">
      <w:pPr>
        <w:spacing w:line="360" w:lineRule="auto"/>
        <w:jc w:val="both"/>
        <w:rPr>
          <w:rFonts w:ascii="Times New Roman" w:hAnsi="Times New Roman" w:cs="Times New Roman"/>
          <w:color w:val="000000"/>
        </w:rPr>
      </w:pPr>
    </w:p>
    <w:p w14:paraId="7474C671" w14:textId="6CD1CAD7" w:rsidR="007C41EB" w:rsidRPr="005A1F61" w:rsidRDefault="007C41EB" w:rsidP="00456AFC">
      <w:pPr>
        <w:spacing w:line="360" w:lineRule="auto"/>
        <w:jc w:val="both"/>
        <w:rPr>
          <w:rFonts w:ascii="Times New Roman" w:hAnsi="Times New Roman" w:cs="Times New Roman"/>
          <w:b/>
          <w:bCs/>
          <w:i/>
          <w:iCs/>
          <w:color w:val="000000"/>
        </w:rPr>
      </w:pPr>
      <w:r w:rsidRPr="005A1F61">
        <w:rPr>
          <w:rFonts w:ascii="Times New Roman" w:hAnsi="Times New Roman" w:cs="Times New Roman"/>
          <w:b/>
          <w:bCs/>
          <w:i/>
          <w:iCs/>
          <w:color w:val="000000"/>
        </w:rPr>
        <w:t>Homogeneity variances</w:t>
      </w:r>
    </w:p>
    <w:p w14:paraId="0AD2DD95" w14:textId="6D1CD4CC" w:rsidR="007C41EB" w:rsidRDefault="00C66B16" w:rsidP="00BE1FB8">
      <w:pPr>
        <w:spacing w:line="360" w:lineRule="auto"/>
        <w:jc w:val="both"/>
        <w:rPr>
          <w:rFonts w:ascii="Times New Roman" w:hAnsi="Times New Roman" w:cs="Times New Roman"/>
          <w:color w:val="000000"/>
        </w:rPr>
      </w:pPr>
      <w:r w:rsidRPr="00C66B16">
        <w:rPr>
          <w:rFonts w:ascii="Times New Roman" w:hAnsi="Times New Roman" w:cs="Times New Roman"/>
          <w:color w:val="000000"/>
        </w:rPr>
        <w:t xml:space="preserve">To understand multivariate homogeneity of groups, variances between multiple conditions (combinations of treatments over time), vegan’s </w:t>
      </w:r>
      <w:proofErr w:type="spellStart"/>
      <w:r w:rsidRPr="005A1F61">
        <w:rPr>
          <w:rFonts w:ascii="Times New Roman" w:hAnsi="Times New Roman" w:cs="Times New Roman"/>
          <w:color w:val="000000"/>
        </w:rPr>
        <w:t>betadisper</w:t>
      </w:r>
      <w:proofErr w:type="spellEnd"/>
      <w:r w:rsidRPr="00C66B16">
        <w:rPr>
          <w:rFonts w:ascii="Times New Roman" w:hAnsi="Times New Roman" w:cs="Times New Roman"/>
          <w:color w:val="000000"/>
        </w:rPr>
        <w:t xml:space="preserve"> function was used, in which the </w:t>
      </w:r>
      <w:r w:rsidRPr="00C66B16">
        <w:rPr>
          <w:rFonts w:ascii="Times New Roman" w:hAnsi="Times New Roman" w:cs="Times New Roman"/>
          <w:color w:val="000000"/>
        </w:rPr>
        <w:lastRenderedPageBreak/>
        <w:t xml:space="preserve">distances between objects and group centroids are handled by using a reduced order representation based on distance metrics (Bray-Curtis or Weighted </w:t>
      </w:r>
      <w:proofErr w:type="spellStart"/>
      <w:r w:rsidRPr="00C66B16">
        <w:rPr>
          <w:rFonts w:ascii="Times New Roman" w:hAnsi="Times New Roman" w:cs="Times New Roman"/>
          <w:color w:val="000000"/>
        </w:rPr>
        <w:t>UniFrac</w:t>
      </w:r>
      <w:proofErr w:type="spellEnd"/>
      <w:r w:rsidRPr="00C66B16">
        <w:rPr>
          <w:rFonts w:ascii="Times New Roman" w:hAnsi="Times New Roman" w:cs="Times New Roman"/>
          <w:color w:val="000000"/>
        </w:rPr>
        <w:t xml:space="preserve">) in principal coordinates space and afterwards performing ANOVA on differences of each sample from the mean of the group they belong to. Vegan’s </w:t>
      </w:r>
      <w:proofErr w:type="spellStart"/>
      <w:r w:rsidRPr="00C66B16">
        <w:rPr>
          <w:rFonts w:ascii="Times New Roman" w:hAnsi="Times New Roman" w:cs="Times New Roman"/>
          <w:color w:val="000000"/>
        </w:rPr>
        <w:t>adonis</w:t>
      </w:r>
      <w:proofErr w:type="spellEnd"/>
      <w:r w:rsidRPr="00C66B16">
        <w:rPr>
          <w:rFonts w:ascii="Times New Roman" w:hAnsi="Times New Roman" w:cs="Times New Roman"/>
          <w:color w:val="000000"/>
        </w:rPr>
        <w:t xml:space="preserve"> function was used for multivariate analysis of variance (PERMANOVA) among sources of variation (treatment and sampling time) using distance matrices (Bray-Curtis</w:t>
      </w:r>
      <w:r w:rsidR="001F731E" w:rsidRPr="00C66B16" w:rsidDel="001F731E">
        <w:rPr>
          <w:rFonts w:ascii="Times New Roman" w:hAnsi="Times New Roman" w:cs="Times New Roman"/>
          <w:color w:val="000000"/>
        </w:rPr>
        <w:t xml:space="preserve"> </w:t>
      </w:r>
      <w:r w:rsidRPr="00C66B16">
        <w:rPr>
          <w:rFonts w:ascii="Times New Roman" w:hAnsi="Times New Roman" w:cs="Times New Roman"/>
          <w:color w:val="000000"/>
        </w:rPr>
        <w:t xml:space="preserve">/Weighted </w:t>
      </w:r>
      <w:proofErr w:type="spellStart"/>
      <w:r w:rsidRPr="00C66B16">
        <w:rPr>
          <w:rFonts w:ascii="Times New Roman" w:hAnsi="Times New Roman" w:cs="Times New Roman"/>
          <w:color w:val="000000"/>
        </w:rPr>
        <w:t>Unifrac</w:t>
      </w:r>
      <w:proofErr w:type="spellEnd"/>
      <w:r w:rsidRPr="00C66B16">
        <w:rPr>
          <w:rFonts w:ascii="Times New Roman" w:hAnsi="Times New Roman" w:cs="Times New Roman"/>
          <w:color w:val="000000"/>
        </w:rPr>
        <w:t xml:space="preserve">). To determine which ASVs were significantly different between multiple conditions (treatments/days), DESeq2 package </w:t>
      </w:r>
      <w:r w:rsidRPr="00C66B16">
        <w:rPr>
          <w:rFonts w:ascii="Times New Roman" w:hAnsi="Times New Roman" w:cs="Times New Roman"/>
          <w:color w:val="000000"/>
        </w:rPr>
        <w:fldChar w:fldCharType="begin" w:fldLock="1"/>
      </w:r>
      <w:r w:rsidR="007C41EB">
        <w:rPr>
          <w:rFonts w:ascii="Times New Roman" w:hAnsi="Times New Roman" w:cs="Times New Roman"/>
          <w:color w:val="000000"/>
        </w:rPr>
        <w:instrText>ADDIN CSL_CITATION {"citationItems":[{"id":"ITEM-1","itemData":{"DOI":"10.1186/s13059-014-0550-8","ISSN":"1474760X","PMID":"25516281","abstract":"In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http://www.bioconductor.org/packages/release/bioc/html/DESeq2.html.","author":[{"dropping-particle":"","family":"Love","given":"Michael I.","non-dropping-particle":"","parse-names":false,"suffix":""},{"dropping-particle":"","family":"Huber","given":"Wolfgang","non-dropping-particle":"","parse-names":false,"suffix":""},{"dropping-particle":"","family":"Anders","given":"Simon","non-dropping-particle":"","parse-names":false,"suffix":""}],"container-title":"Genome Biology","id":"ITEM-1","issue":"12","issued":{"date-parts":[["2014"]]},"page":"1-21","title":"Moderated estimation of fold change and dispersion for RNA-seq data with DESeq2","type":"article-journal","volume":"15"},"uris":["http://www.mendeley.com/documents/?uuid=1cf1c2d5-6c6b-455b-9097-8695ff562b3b"]}],"mendeley":{"formattedCitation":"(10)","plainTextFormattedCitation":"(10)","previouslyFormattedCitation":"(10)"},"properties":{"noteIndex":0},"schema":"https://github.com/citation-style-language/schema/raw/master/csl-citation.json"}</w:instrText>
      </w:r>
      <w:r w:rsidRPr="00C66B16">
        <w:rPr>
          <w:rFonts w:ascii="Times New Roman" w:hAnsi="Times New Roman" w:cs="Times New Roman"/>
          <w:color w:val="000000"/>
        </w:rPr>
        <w:fldChar w:fldCharType="separate"/>
      </w:r>
      <w:r w:rsidR="007C41EB" w:rsidRPr="007C41EB">
        <w:rPr>
          <w:rFonts w:ascii="Times New Roman" w:hAnsi="Times New Roman" w:cs="Times New Roman"/>
          <w:noProof/>
          <w:color w:val="000000"/>
        </w:rPr>
        <w:t>(10)</w:t>
      </w:r>
      <w:r w:rsidRPr="00C66B16">
        <w:rPr>
          <w:rFonts w:ascii="Times New Roman" w:hAnsi="Times New Roman" w:cs="Times New Roman"/>
          <w:color w:val="000000"/>
        </w:rPr>
        <w:fldChar w:fldCharType="end"/>
      </w:r>
      <w:r w:rsidRPr="00C66B16">
        <w:rPr>
          <w:rFonts w:ascii="Times New Roman" w:hAnsi="Times New Roman" w:cs="Times New Roman"/>
          <w:color w:val="000000"/>
        </w:rPr>
        <w:t xml:space="preserve"> was used. This function uses negative binomial GLM-fitting and </w:t>
      </w:r>
      <w:proofErr w:type="spellStart"/>
      <w:r w:rsidRPr="00C66B16">
        <w:rPr>
          <w:rFonts w:ascii="Times New Roman" w:hAnsi="Times New Roman" w:cs="Times New Roman"/>
          <w:color w:val="000000"/>
        </w:rPr>
        <w:t>wald</w:t>
      </w:r>
      <w:proofErr w:type="spellEnd"/>
      <w:r w:rsidRPr="00C66B16">
        <w:rPr>
          <w:rFonts w:ascii="Times New Roman" w:hAnsi="Times New Roman" w:cs="Times New Roman"/>
          <w:color w:val="000000"/>
        </w:rPr>
        <w:t xml:space="preserve"> statistics prior to applying Bayesian shrinkage. </w:t>
      </w:r>
    </w:p>
    <w:p w14:paraId="061C8F1F" w14:textId="77777777" w:rsidR="00BE1FB8" w:rsidRDefault="00BE1FB8" w:rsidP="00BE1FB8">
      <w:pPr>
        <w:spacing w:line="360" w:lineRule="auto"/>
        <w:jc w:val="both"/>
        <w:rPr>
          <w:rFonts w:ascii="Times New Roman" w:hAnsi="Times New Roman" w:cs="Times New Roman"/>
          <w:color w:val="000000"/>
        </w:rPr>
      </w:pPr>
    </w:p>
    <w:p w14:paraId="13F77B45" w14:textId="4CEBBD88" w:rsidR="007C41EB" w:rsidRPr="005A1F61" w:rsidRDefault="007C41EB" w:rsidP="005A1F61">
      <w:pPr>
        <w:spacing w:line="360" w:lineRule="auto"/>
        <w:jc w:val="both"/>
        <w:rPr>
          <w:rFonts w:ascii="Times New Roman" w:hAnsi="Times New Roman" w:cs="Times New Roman"/>
          <w:b/>
          <w:bCs/>
          <w:i/>
          <w:iCs/>
          <w:color w:val="000000"/>
        </w:rPr>
      </w:pPr>
      <w:r w:rsidRPr="005A1F61">
        <w:rPr>
          <w:rFonts w:ascii="Times New Roman" w:hAnsi="Times New Roman" w:cs="Times New Roman"/>
          <w:b/>
          <w:bCs/>
          <w:i/>
          <w:iCs/>
          <w:color w:val="000000"/>
        </w:rPr>
        <w:t>Local contribution to beta diversity (LCBD)</w:t>
      </w:r>
    </w:p>
    <w:p w14:paraId="3D0206C9" w14:textId="10AB593A" w:rsidR="007C41EB" w:rsidRDefault="00C66B16" w:rsidP="00BE1FB8">
      <w:pPr>
        <w:spacing w:line="360" w:lineRule="auto"/>
        <w:jc w:val="both"/>
        <w:rPr>
          <w:rFonts w:ascii="Times New Roman" w:hAnsi="Times New Roman" w:cs="Times New Roman"/>
          <w:color w:val="000000"/>
        </w:rPr>
      </w:pPr>
      <w:r w:rsidRPr="00C66B16">
        <w:rPr>
          <w:rFonts w:ascii="Times New Roman" w:hAnsi="Times New Roman" w:cs="Times New Roman"/>
          <w:color w:val="000000"/>
        </w:rPr>
        <w:t xml:space="preserve">To show how each sample was markedly different in terms of beta diversity, we have performed LCBD analysis using </w:t>
      </w:r>
      <w:proofErr w:type="spellStart"/>
      <w:r w:rsidRPr="00C66B16">
        <w:rPr>
          <w:rFonts w:ascii="Times New Roman" w:hAnsi="Times New Roman" w:cs="Times New Roman"/>
          <w:color w:val="000000"/>
        </w:rPr>
        <w:t>adespatial</w:t>
      </w:r>
      <w:proofErr w:type="spellEnd"/>
      <w:r w:rsidRPr="00C66B16">
        <w:rPr>
          <w:rFonts w:ascii="Times New Roman" w:hAnsi="Times New Roman" w:cs="Times New Roman"/>
          <w:color w:val="000000"/>
        </w:rPr>
        <w:t xml:space="preserve"> package </w:t>
      </w:r>
      <w:r w:rsidRPr="00C66B16">
        <w:rPr>
          <w:rFonts w:ascii="Times New Roman" w:hAnsi="Times New Roman" w:cs="Times New Roman"/>
          <w:color w:val="000000"/>
        </w:rPr>
        <w:fldChar w:fldCharType="begin" w:fldLock="1"/>
      </w:r>
      <w:r w:rsidR="007C41EB">
        <w:rPr>
          <w:rFonts w:ascii="Times New Roman" w:hAnsi="Times New Roman" w:cs="Times New Roman"/>
          <w:color w:val="000000"/>
        </w:rPr>
        <w:instrText>ADDIN CSL_CITATION {"citationItems":[{"id":"ITEM-1","itemData":{"author":[{"dropping-particle":"","family":"Dray","given":"Author Stéphane","non-dropping-particle":"","parse-names":false,"suffix":""},{"dropping-particle":"","family":"Blanchet","given":"Guillaume","non-dropping-particle":"","parse-names":false,"suffix":""},{"dropping-particle":"","family":"Borcard","given":"Daniel","non-dropping-particle":"","parse-names":false,"suffix":""},{"dropping-particle":"","family":"Guenard","given":"Guillaume","non-dropping-particle":"","parse-names":false,"suffix":""},{"dropping-particle":"","family":"Jombart","given":"Thibaut","non-dropping-particle":"","parse-names":false,"suffix":""},{"dropping-particle":"","family":"Larocque","given":"Guillaume","non-dropping-particle":"","parse-names":false,"suffix":""},{"dropping-particle":"","family":"Legendre","given":"Pierre","non-dropping-particle":"","parse-names":false,"suffix":""},{"dropping-particle":"","family":"Madi","given":"Naima","non-dropping-particle":"","parse-names":false,"suffix":""},{"dropping-particle":"","family":"Wagner","given":"Helene H","non-dropping-particle":"","parse-names":false,"suffix":""}],"id":"ITEM-1","issued":{"date-parts":[["2017"]]},"number":"0.0-8","publisher":"CRAN","title":"Package ‘adespatial’. R package version 0.0-8.","type":"article"},"uris":["http://www.mendeley.com/documents/?uuid=03bc1f3e-91f5-4a56-8de7-e0347e3cf1e6"]}],"mendeley":{"formattedCitation":"(11)","plainTextFormattedCitation":"(11)","previouslyFormattedCitation":"(11)"},"properties":{"noteIndex":0},"schema":"https://github.com/citation-style-language/schema/raw/master/csl-citation.json"}</w:instrText>
      </w:r>
      <w:r w:rsidRPr="00C66B16">
        <w:rPr>
          <w:rFonts w:ascii="Times New Roman" w:hAnsi="Times New Roman" w:cs="Times New Roman"/>
          <w:color w:val="000000"/>
        </w:rPr>
        <w:fldChar w:fldCharType="separate"/>
      </w:r>
      <w:r w:rsidR="007C41EB" w:rsidRPr="007C41EB">
        <w:rPr>
          <w:rFonts w:ascii="Times New Roman" w:hAnsi="Times New Roman" w:cs="Times New Roman"/>
          <w:noProof/>
          <w:color w:val="000000"/>
        </w:rPr>
        <w:t>(11)</w:t>
      </w:r>
      <w:r w:rsidRPr="00C66B16">
        <w:rPr>
          <w:rFonts w:ascii="Times New Roman" w:hAnsi="Times New Roman" w:cs="Times New Roman"/>
          <w:color w:val="000000"/>
        </w:rPr>
        <w:fldChar w:fldCharType="end"/>
      </w:r>
      <w:r w:rsidRPr="00C66B16">
        <w:rPr>
          <w:rFonts w:ascii="Times New Roman" w:hAnsi="Times New Roman" w:cs="Times New Roman"/>
          <w:color w:val="000000"/>
        </w:rPr>
        <w:t xml:space="preserve">. The procedure calculates the total beta diversity considering all the samples, and then allocates the proportions based on how different the microbial community structure of a single sample is from the average (with higher LCBD values representing outliers) beta diversity, and also provides a mean to show when the community structure has stabilised in a temporal setting </w:t>
      </w:r>
      <w:r w:rsidRPr="00C66B16">
        <w:rPr>
          <w:rFonts w:ascii="Times New Roman" w:hAnsi="Times New Roman" w:cs="Times New Roman"/>
          <w:color w:val="000000"/>
        </w:rPr>
        <w:fldChar w:fldCharType="begin" w:fldLock="1"/>
      </w:r>
      <w:r w:rsidR="007C41EB">
        <w:rPr>
          <w:rFonts w:ascii="Times New Roman" w:hAnsi="Times New Roman" w:cs="Times New Roman"/>
          <w:color w:val="000000"/>
        </w:rPr>
        <w:instrText>ADDIN CSL_CITATION {"citationItems":[{"id":"ITEM-1","itemData":{"DOI":"10.3389/fmicb.2018.02452","ISSN":"1664302X","abstract":"Chickens are a key food source for humans yet their microbiome contains bacteria that can be pathogenic to humans, and indeed potentially to chickens themselves. Campylobacter is present within the chicken gut and is the leading cause of bacterial foodborne gastroenteritis within humans worldwide. Infection can lead to secondary sequelae such as Guillain-Barré syndrome and stunted growth in children from low-resource areas. Despite the global health impact and economic burden of Campylobacter, how and when Campylobacter appears within chickens remains unclear. The lack of day to day microbiome data with replicates, relevant metadata, and a lack of natural infection studies have delayed our understanding of the chicken gut microbiome and Campylobacter. Here, we performed a comprehensive day to day microbiome analysis of the chicken cecum from day 3 to 35 (12 replicates each day; final n = 379). We combined metadata such as chicken weight and feed conversion rates to investigate what the driving forces are for the microbial changes within the chicken gut over time, and how this relates to Campylobacter appearance within a natural habitat setting. We found a rapidly increasing microbial diversity up to day 12 with variation observed both in terms of genera and abundance, before a stabilization of the microbial diversity after day 20. In particular, we identified a shift from competitive to environmental drivers of microbial community from days 12 to 20 creating a window of opportunity whereby Campylobacter can appear. Campylobacter was identified at day 16 which was 1 day after the most substantial changes in metabolic profiles observed. In addition, microbial variation over time is most likely influenced by the diet of the chickens whereby significant shifts in OTU abundances and beta dispersion of samples often corresponded with changes in feed. This study is unique in comparison to the most recent studies as neither sampling was sporadic nor Campylobacter was artificially introduced, thus the experiments were performed in a natural setting. We believe that our findings can be useful for future intervention strategies and help reduce the burden of Campylobacter within the food chain.","author":[{"dropping-particle":"","family":"Ijaz","given":"Umer Zeeshan","non-dropping-particle":"","parse-names":false,"suffix":""},{"dropping-particle":"","family":"Sivaloganathan","given":"Lojika","non-dropping-particle":"","parse-names":false,"suffix":""},{"dropping-particle":"","family":"McKenna","given":"Aaron","non-dropping-particle":"","parse-names":false,"suffix":""},{"dropping-particle":"","family":"Richmond","given":"Anne","non-dropping-particle":"","parse-names":false,"suffix":""},{"dropping-particle":"","family":"Kelly","given":"Carmel","non-dropping-particle":"","parse-names":false,"suffix":""},{"dropping-particle":"","family":"Linton","given":"Mark","non-dropping-particle":"","parse-names":false,"suffix":""},{"dropping-particle":"","family":"Stratakos","given":"Alexandros Ch","non-dropping-particle":"","parse-names":false,"suffix":""},{"dropping-particle":"","family":"Lavery","given":"Ursula","non-dropping-particle":"","parse-names":false,"suffix":""},{"dropping-particle":"","family":"Elmi","given":"Abdi","non-dropping-particle":"","parse-names":false,"suffix":""},{"dropping-particle":"","family":"Wren","given":"Brendan W.","non-dropping-particle":"","parse-names":false,"suffix":""},{"dropping-particle":"","family":"Dorrell","given":"Nick","non-dropping-particle":"","parse-names":false,"suffix":""},{"dropping-particle":"","family":"Corcionivoschi","given":"Nicolae","non-dropping-particle":"","parse-names":false,"suffix":""},{"dropping-particle":"","family":"Gundogdu","given":"Ozan","non-dropping-particle":"","parse-names":false,"suffix":""}],"container-title":"Frontiers in Microbiology","id":"ITEM-1","issue":"OCT","issued":{"date-parts":[["2018"]]},"page":"1-14","title":"Comprehensive longitudinal microbiome analysis of the chicken cecum reveals a shift from competitive to environmental drivers and a window of opportunity for Campylobacter","type":"article-journal","volume":"9"},"uris":["http://www.mendeley.com/documents/?uuid=9da37b1d-4803-487c-a6f3-67b7233c9ae5"]}],"mendeley":{"formattedCitation":"(12)","plainTextFormattedCitation":"(12)","previouslyFormattedCitation":"(12)"},"properties":{"noteIndex":0},"schema":"https://github.com/citation-style-language/schema/raw/master/csl-citation.json"}</w:instrText>
      </w:r>
      <w:r w:rsidRPr="00C66B16">
        <w:rPr>
          <w:rFonts w:ascii="Times New Roman" w:hAnsi="Times New Roman" w:cs="Times New Roman"/>
          <w:color w:val="000000"/>
        </w:rPr>
        <w:fldChar w:fldCharType="separate"/>
      </w:r>
      <w:r w:rsidR="007C41EB" w:rsidRPr="007C41EB">
        <w:rPr>
          <w:rFonts w:ascii="Times New Roman" w:hAnsi="Times New Roman" w:cs="Times New Roman"/>
          <w:noProof/>
          <w:color w:val="000000"/>
        </w:rPr>
        <w:t>(12)</w:t>
      </w:r>
      <w:r w:rsidRPr="00C66B16">
        <w:rPr>
          <w:rFonts w:ascii="Times New Roman" w:hAnsi="Times New Roman" w:cs="Times New Roman"/>
          <w:color w:val="000000"/>
        </w:rPr>
        <w:fldChar w:fldCharType="end"/>
      </w:r>
      <w:r w:rsidRPr="00C66B16">
        <w:rPr>
          <w:rFonts w:ascii="Times New Roman" w:hAnsi="Times New Roman" w:cs="Times New Roman"/>
          <w:color w:val="000000"/>
        </w:rPr>
        <w:t xml:space="preserve">. </w:t>
      </w:r>
    </w:p>
    <w:p w14:paraId="188ACC0E" w14:textId="77777777" w:rsidR="00BE1FB8" w:rsidRDefault="00BE1FB8" w:rsidP="00BE1FB8">
      <w:pPr>
        <w:spacing w:line="360" w:lineRule="auto"/>
        <w:jc w:val="both"/>
        <w:rPr>
          <w:rFonts w:ascii="Times New Roman" w:hAnsi="Times New Roman" w:cs="Times New Roman"/>
          <w:color w:val="000000"/>
        </w:rPr>
      </w:pPr>
    </w:p>
    <w:p w14:paraId="387C44A8" w14:textId="4A20C69B" w:rsidR="007C41EB" w:rsidRPr="005A1F61" w:rsidRDefault="007C41EB" w:rsidP="005A1F61">
      <w:pPr>
        <w:spacing w:line="360" w:lineRule="auto"/>
        <w:jc w:val="both"/>
        <w:rPr>
          <w:rFonts w:ascii="Times New Roman" w:hAnsi="Times New Roman" w:cs="Times New Roman"/>
          <w:b/>
          <w:bCs/>
          <w:i/>
          <w:iCs/>
          <w:color w:val="000000"/>
        </w:rPr>
      </w:pPr>
      <w:r w:rsidRPr="005A1F61">
        <w:rPr>
          <w:rFonts w:ascii="Times New Roman" w:hAnsi="Times New Roman" w:cs="Times New Roman"/>
          <w:b/>
          <w:bCs/>
          <w:i/>
          <w:iCs/>
          <w:color w:val="000000"/>
        </w:rPr>
        <w:t xml:space="preserve">Ecological drivers </w:t>
      </w:r>
    </w:p>
    <w:p w14:paraId="2B8D896B" w14:textId="1FC30197" w:rsidR="00C66B16" w:rsidRDefault="00C66B16" w:rsidP="00BE1FB8">
      <w:pPr>
        <w:spacing w:line="360" w:lineRule="auto"/>
        <w:jc w:val="both"/>
        <w:rPr>
          <w:rFonts w:ascii="Times New Roman" w:hAnsi="Times New Roman" w:cs="Times New Roman"/>
          <w:color w:val="000000"/>
        </w:rPr>
      </w:pPr>
      <w:r w:rsidRPr="00C66B16">
        <w:rPr>
          <w:rFonts w:ascii="Times New Roman" w:hAnsi="Times New Roman" w:cs="Times New Roman"/>
          <w:color w:val="000000"/>
        </w:rPr>
        <w:t>To</w:t>
      </w:r>
      <w:r w:rsidR="0045352E">
        <w:rPr>
          <w:rFonts w:ascii="Times New Roman" w:hAnsi="Times New Roman" w:cs="Times New Roman"/>
          <w:color w:val="000000"/>
        </w:rPr>
        <w:t xml:space="preserve"> better understand how the environment influences </w:t>
      </w:r>
      <w:r w:rsidRPr="00C66B16">
        <w:rPr>
          <w:rFonts w:ascii="Times New Roman" w:hAnsi="Times New Roman" w:cs="Times New Roman"/>
          <w:color w:val="000000"/>
        </w:rPr>
        <w:t>the microbial community structure</w:t>
      </w:r>
      <w:r w:rsidR="0045352E">
        <w:rPr>
          <w:rFonts w:ascii="Times New Roman" w:hAnsi="Times New Roman" w:cs="Times New Roman"/>
          <w:color w:val="000000"/>
        </w:rPr>
        <w:t>,</w:t>
      </w:r>
      <w:r w:rsidRPr="00C66B16">
        <w:rPr>
          <w:rFonts w:ascii="Times New Roman" w:hAnsi="Times New Roman" w:cs="Times New Roman"/>
          <w:color w:val="000000"/>
        </w:rPr>
        <w:t xml:space="preserve"> we quantified the nearest-taxon-index (NTI; local phylogenetic clustering) and nearest-relative-index (NRI; global phylogenetic clustering)</w:t>
      </w:r>
      <w:r w:rsidR="0045352E">
        <w:rPr>
          <w:rFonts w:ascii="Times New Roman" w:hAnsi="Times New Roman" w:cs="Times New Roman"/>
          <w:color w:val="000000"/>
        </w:rPr>
        <w:t xml:space="preserve"> by </w:t>
      </w:r>
      <w:r w:rsidRPr="00C66B16">
        <w:rPr>
          <w:rFonts w:ascii="Times New Roman" w:hAnsi="Times New Roman" w:cs="Times New Roman"/>
          <w:color w:val="000000"/>
        </w:rPr>
        <w:t>adopt</w:t>
      </w:r>
      <w:r w:rsidR="0045352E">
        <w:rPr>
          <w:rFonts w:ascii="Times New Roman" w:hAnsi="Times New Roman" w:cs="Times New Roman"/>
          <w:color w:val="000000"/>
        </w:rPr>
        <w:t>ing</w:t>
      </w:r>
      <w:r w:rsidRPr="00C66B16">
        <w:rPr>
          <w:rFonts w:ascii="Times New Roman" w:hAnsi="Times New Roman" w:cs="Times New Roman"/>
          <w:color w:val="000000"/>
        </w:rPr>
        <w:t xml:space="preserve"> the approach </w:t>
      </w:r>
      <w:r w:rsidR="0045352E">
        <w:rPr>
          <w:rFonts w:ascii="Times New Roman" w:hAnsi="Times New Roman" w:cs="Times New Roman"/>
          <w:color w:val="000000"/>
        </w:rPr>
        <w:t>of</w:t>
      </w:r>
      <w:r w:rsidRPr="00C66B16">
        <w:rPr>
          <w:rFonts w:ascii="Times New Roman" w:hAnsi="Times New Roman" w:cs="Times New Roman"/>
          <w:color w:val="000000"/>
        </w:rPr>
        <w:t xml:space="preserve"> </w:t>
      </w:r>
      <w:proofErr w:type="spellStart"/>
      <w:r w:rsidR="0053738C">
        <w:rPr>
          <w:rFonts w:ascii="Times New Roman" w:hAnsi="Times New Roman" w:cs="Times New Roman"/>
          <w:color w:val="000000"/>
        </w:rPr>
        <w:t>Stegen</w:t>
      </w:r>
      <w:proofErr w:type="spellEnd"/>
      <w:r w:rsidR="0053738C">
        <w:rPr>
          <w:rFonts w:ascii="Times New Roman" w:hAnsi="Times New Roman" w:cs="Times New Roman"/>
          <w:color w:val="000000"/>
        </w:rPr>
        <w:t xml:space="preserve"> et al.</w:t>
      </w:r>
      <w:r w:rsidRPr="00C66B16">
        <w:rPr>
          <w:rFonts w:ascii="Times New Roman" w:hAnsi="Times New Roman" w:cs="Times New Roman"/>
          <w:color w:val="000000"/>
        </w:rPr>
        <w:t xml:space="preserve"> </w:t>
      </w:r>
      <w:r w:rsidRPr="00C66B16">
        <w:rPr>
          <w:rFonts w:ascii="Times New Roman" w:hAnsi="Times New Roman" w:cs="Times New Roman"/>
          <w:color w:val="000000"/>
        </w:rPr>
        <w:fldChar w:fldCharType="begin" w:fldLock="1"/>
      </w:r>
      <w:r w:rsidR="007C41EB">
        <w:rPr>
          <w:rFonts w:ascii="Times New Roman" w:hAnsi="Times New Roman" w:cs="Times New Roman"/>
          <w:color w:val="000000"/>
        </w:rPr>
        <w:instrText>ADDIN CSL_CITATION {"citationItems":[{"id":"ITEM-1","itemData":{"DOI":"10.1038/ismej.2012.22","ISSN":"17517362","abstract":"A major goal of microbial community ecology is to understand the forces that structure community composition. Deterministic selection by specific environmental factors is sometimes important, but in other cases stochastic or ecologically neutral processes dominate. Lacking is a unified conceptual framework aiming to understand why deterministic processes dominate in some contexts but not others. Here we work toward such a framework. By testing predictions derived from general ecological theory we aim to uncover factors that govern the relative influences of deterministic and stochastic processes. We couple spatiotemporal data on subsurface microbial communities and environmental parameters with metrics and null models of within and between community phylogenetic composition. Testing for phylogenetic signal in organismal niches showed that more closely related taxa have more similar habitat associations. Community phylogenetic analyses further showed that ecologically similar taxa coexist to a greater degree than expected by chance. Environmental filtering thus deterministically governs subsurface microbial community composition. More importantly, the influence of deterministic environmental filtering relative to stochastic factors was maximized at both ends of an environmental variation gradient. A stronger role of stochastic factors was, however, supported through analyses of phylogenetic temporal turnover. Although phylogenetic turnover was on average faster than expected, most pairwise comparisons were not themselves significantly non-random. The relative influence of deterministic environmental filtering over community dynamics was elevated, however, in the most temporally and spatially variable environments. Our results point to general rules governing the relative influences of stochastic and deterministic processes across micro- and macro-organisms. © 2012 International Society for Microbial Ecology All rights reserved.","author":[{"dropping-particle":"","family":"Stegen","given":"James C.","non-dropping-particle":"","parse-names":false,"suffix":""},{"dropping-particle":"","family":"Lin","given":"Xueju","non-dropping-particle":"","parse-names":false,"suffix":""},{"dropping-particle":"","family":"Konopka","given":"Allan E.","non-dropping-particle":"","parse-names":false,"suffix":""},{"dropping-particle":"","family":"Fredrickson","given":"James K.","non-dropping-particle":"","parse-names":false,"suffix":""}],"container-title":"ISME Journal","id":"ITEM-1","issue":"9","issued":{"date-parts":[["2012"]]},"page":"1653-1664","publisher":"Nature Publishing Group","title":"Stochastic and deterministic assembly processes in subsurface microbial communities","type":"article-journal","volume":"6"},"uris":["http://www.mendeley.com/documents/?uuid=47ac0221-ce59-41ec-80ae-c6b00e308cc7"]}],"mendeley":{"formattedCitation":"(13)","plainTextFormattedCitation":"(13)","previouslyFormattedCitation":"(13)"},"properties":{"noteIndex":0},"schema":"https://github.com/citation-style-language/schema/raw/master/csl-citation.json"}</w:instrText>
      </w:r>
      <w:r w:rsidRPr="00C66B16">
        <w:rPr>
          <w:rFonts w:ascii="Times New Roman" w:hAnsi="Times New Roman" w:cs="Times New Roman"/>
          <w:color w:val="000000"/>
        </w:rPr>
        <w:fldChar w:fldCharType="separate"/>
      </w:r>
      <w:r w:rsidR="007C41EB" w:rsidRPr="007C41EB">
        <w:rPr>
          <w:rFonts w:ascii="Times New Roman" w:hAnsi="Times New Roman" w:cs="Times New Roman"/>
          <w:noProof/>
          <w:color w:val="000000"/>
        </w:rPr>
        <w:t>(13)</w:t>
      </w:r>
      <w:r w:rsidRPr="00C66B16">
        <w:rPr>
          <w:rFonts w:ascii="Times New Roman" w:hAnsi="Times New Roman" w:cs="Times New Roman"/>
          <w:color w:val="000000"/>
        </w:rPr>
        <w:fldChar w:fldCharType="end"/>
      </w:r>
      <w:r w:rsidR="001F731E">
        <w:rPr>
          <w:rFonts w:ascii="Times New Roman" w:hAnsi="Times New Roman" w:cs="Times New Roman"/>
          <w:color w:val="000000"/>
        </w:rPr>
        <w:t>.</w:t>
      </w:r>
      <w:r w:rsidR="0045352E">
        <w:rPr>
          <w:rFonts w:ascii="Times New Roman" w:hAnsi="Times New Roman" w:cs="Times New Roman"/>
          <w:color w:val="000000"/>
        </w:rPr>
        <w:t xml:space="preserve"> </w:t>
      </w:r>
      <w:r w:rsidR="00694026">
        <w:rPr>
          <w:rFonts w:ascii="Times New Roman" w:hAnsi="Times New Roman" w:cs="Times New Roman"/>
          <w:color w:val="000000"/>
        </w:rPr>
        <w:t xml:space="preserve">NRI and NTI were calculated using </w:t>
      </w:r>
      <w:proofErr w:type="spellStart"/>
      <w:r w:rsidR="00694026">
        <w:rPr>
          <w:rFonts w:ascii="Times New Roman" w:hAnsi="Times New Roman" w:cs="Times New Roman"/>
          <w:color w:val="000000"/>
        </w:rPr>
        <w:t>ses.mpd</w:t>
      </w:r>
      <w:proofErr w:type="spellEnd"/>
      <w:r w:rsidR="00694026">
        <w:rPr>
          <w:rFonts w:ascii="Times New Roman" w:hAnsi="Times New Roman" w:cs="Times New Roman"/>
          <w:color w:val="000000"/>
        </w:rPr>
        <w:t xml:space="preserve">() and </w:t>
      </w:r>
      <w:proofErr w:type="spellStart"/>
      <w:r w:rsidR="00694026">
        <w:rPr>
          <w:rFonts w:ascii="Times New Roman" w:hAnsi="Times New Roman" w:cs="Times New Roman"/>
          <w:color w:val="000000"/>
        </w:rPr>
        <w:t>ses.mntd</w:t>
      </w:r>
      <w:proofErr w:type="spellEnd"/>
      <w:r w:rsidR="00694026">
        <w:rPr>
          <w:rFonts w:ascii="Times New Roman" w:hAnsi="Times New Roman" w:cs="Times New Roman"/>
          <w:color w:val="000000"/>
        </w:rPr>
        <w:t xml:space="preserve">() functions, respectively, from the picante package </w:t>
      </w:r>
      <w:r w:rsidR="00F6230B">
        <w:rPr>
          <w:rFonts w:ascii="Times New Roman" w:hAnsi="Times New Roman" w:cs="Times New Roman"/>
          <w:color w:val="000000"/>
        </w:rPr>
        <w:fldChar w:fldCharType="begin" w:fldLock="1"/>
      </w:r>
      <w:r w:rsidR="00F6230B">
        <w:rPr>
          <w:rFonts w:ascii="Times New Roman" w:hAnsi="Times New Roman" w:cs="Times New Roman"/>
          <w:color w:val="000000"/>
        </w:rPr>
        <w:instrText>ADDIN CSL_CITATION {"citationItems":[{"id":"ITEM-1","itemData":{"author":[{"dropping-particle":"","family":"Kembel","given":"Steven W.","non-dropping-particle":"","parse-names":false,"suffix":""},{"dropping-particle":"","family":"Cowan","given":"Peter D.","non-dropping-particle":"","parse-names":false,"suffix":""},{"dropping-particle":"","family":"Helmus","given":"Matthew R.","non-dropping-particle":"","parse-names":false,"suffix":""},{"dropping-particle":"","family":"Cornwell","given":"William K.","non-dropping-particle":"","parse-names":false,"suffix":""},{"dropping-particle":"","family":"Morlon","given":"Helene","non-dropping-particle":"","parse-names":false,"suffix":""},{"dropping-particle":"","family":"Ackerly","given":"David D.","non-dropping-particle":"","parse-names":false,"suffix":""},{"dropping-particle":"","family":"Blomberg","given":"Simon P.","non-dropping-particle":"","parse-names":false,"suffix":""},{"dropping-particle":"","family":"Webb","given":"Campbell O.","non-dropping-particle":"","parse-names":false,"suffix":""}],"container-title":"Bioinformatics","id":"ITEM-1","issue":"11","issued":{"date-parts":[["2010"]]},"page":"1463-1464","title":"Picante: R tools for integrating phylogenies and ecology","type":"article-journal","volume":"26"},"uris":["http://www.mendeley.com/documents/?uuid=4223ae5d-e28f-4ab8-9ff8-2c44f0ae06e6"]}],"mendeley":{"formattedCitation":"(14)","plainTextFormattedCitation":"(14)"},"properties":{"noteIndex":0},"schema":"https://github.com/citation-style-language/schema/raw/master/csl-citation.json"}</w:instrText>
      </w:r>
      <w:r w:rsidR="00F6230B">
        <w:rPr>
          <w:rFonts w:ascii="Times New Roman" w:hAnsi="Times New Roman" w:cs="Times New Roman"/>
          <w:color w:val="000000"/>
        </w:rPr>
        <w:fldChar w:fldCharType="separate"/>
      </w:r>
      <w:r w:rsidR="00F6230B" w:rsidRPr="00F6230B">
        <w:rPr>
          <w:rFonts w:ascii="Times New Roman" w:hAnsi="Times New Roman" w:cs="Times New Roman"/>
          <w:noProof/>
          <w:color w:val="000000"/>
        </w:rPr>
        <w:t>(14)</w:t>
      </w:r>
      <w:r w:rsidR="00F6230B">
        <w:rPr>
          <w:rFonts w:ascii="Times New Roman" w:hAnsi="Times New Roman" w:cs="Times New Roman"/>
          <w:color w:val="000000"/>
        </w:rPr>
        <w:fldChar w:fldCharType="end"/>
      </w:r>
      <w:r w:rsidR="00F6230B">
        <w:rPr>
          <w:rFonts w:ascii="Times New Roman" w:hAnsi="Times New Roman" w:cs="Times New Roman"/>
          <w:color w:val="000000"/>
        </w:rPr>
        <w:t>.</w:t>
      </w:r>
    </w:p>
    <w:p w14:paraId="1720C2CB" w14:textId="77777777" w:rsidR="00BE1FB8" w:rsidRDefault="00BE1FB8" w:rsidP="00BE1FB8">
      <w:pPr>
        <w:spacing w:line="360" w:lineRule="auto"/>
        <w:jc w:val="both"/>
        <w:rPr>
          <w:rFonts w:ascii="Times New Roman" w:hAnsi="Times New Roman" w:cs="Times New Roman"/>
          <w:color w:val="000000"/>
        </w:rPr>
      </w:pPr>
    </w:p>
    <w:p w14:paraId="7A51C8E8" w14:textId="7045F6F7" w:rsidR="007C41EB" w:rsidRPr="005A1F61" w:rsidRDefault="007C41EB" w:rsidP="005A1F61">
      <w:pPr>
        <w:spacing w:line="360" w:lineRule="auto"/>
        <w:jc w:val="both"/>
        <w:rPr>
          <w:rFonts w:ascii="Times New Roman" w:hAnsi="Times New Roman" w:cs="Times New Roman"/>
          <w:b/>
          <w:bCs/>
          <w:i/>
          <w:iCs/>
          <w:color w:val="000000"/>
        </w:rPr>
      </w:pPr>
      <w:r w:rsidRPr="005A1F61">
        <w:rPr>
          <w:rFonts w:ascii="Times New Roman" w:hAnsi="Times New Roman" w:cs="Times New Roman"/>
          <w:b/>
          <w:bCs/>
          <w:i/>
          <w:iCs/>
          <w:color w:val="000000"/>
        </w:rPr>
        <w:t>Subset regression analysis</w:t>
      </w:r>
    </w:p>
    <w:p w14:paraId="6FDD9859" w14:textId="5EDD9D6B" w:rsidR="00C66B16" w:rsidRDefault="00C66B16" w:rsidP="00BE1FB8">
      <w:pPr>
        <w:spacing w:line="360" w:lineRule="auto"/>
        <w:jc w:val="both"/>
        <w:rPr>
          <w:rFonts w:ascii="Times New Roman" w:hAnsi="Times New Roman" w:cs="Times New Roman"/>
          <w:color w:val="000000"/>
        </w:rPr>
      </w:pPr>
      <w:r w:rsidRPr="00C66B16">
        <w:rPr>
          <w:rFonts w:ascii="Times New Roman" w:hAnsi="Times New Roman" w:cs="Times New Roman"/>
          <w:color w:val="000000"/>
        </w:rPr>
        <w:t xml:space="preserve">We performed subset regression of different metrics of microbiome (alpha and beta diversity) by testing all possible combination of the predictor variables (in our case, categorical variables), and then selecting the best model according to some statistical criteria, with recommendations given </w:t>
      </w:r>
      <w:r w:rsidR="0053738C">
        <w:rPr>
          <w:rFonts w:ascii="Times New Roman" w:hAnsi="Times New Roman" w:cs="Times New Roman"/>
          <w:color w:val="000000"/>
        </w:rPr>
        <w:t xml:space="preserve">by </w:t>
      </w:r>
      <w:proofErr w:type="spellStart"/>
      <w:r w:rsidR="0053738C">
        <w:rPr>
          <w:rFonts w:ascii="Times New Roman" w:hAnsi="Times New Roman" w:cs="Times New Roman"/>
          <w:color w:val="000000"/>
        </w:rPr>
        <w:t>Kassambra</w:t>
      </w:r>
      <w:proofErr w:type="spellEnd"/>
      <w:r w:rsidR="0053738C">
        <w:rPr>
          <w:rFonts w:ascii="Times New Roman" w:hAnsi="Times New Roman" w:cs="Times New Roman"/>
          <w:color w:val="000000"/>
        </w:rPr>
        <w:t xml:space="preserve"> et al. </w:t>
      </w:r>
      <w:r w:rsidRPr="00C66B16">
        <w:rPr>
          <w:rFonts w:ascii="Times New Roman" w:hAnsi="Times New Roman" w:cs="Times New Roman"/>
          <w:color w:val="000000"/>
        </w:rPr>
        <w:fldChar w:fldCharType="begin" w:fldLock="1"/>
      </w:r>
      <w:r w:rsidR="00F6230B">
        <w:rPr>
          <w:rFonts w:ascii="Times New Roman" w:hAnsi="Times New Roman" w:cs="Times New Roman"/>
          <w:color w:val="000000"/>
        </w:rPr>
        <w:instrText>ADDIN CSL_CITATION {"citationItems":[{"id":"ITEM-1","itemData":{"ISBN":"978-1-986406-85-7","abstract":"Discovering knowledge from big multivariate data, recorded every days, requires specialized machine learning techniques. This book presents an easy to use practical guide in R to compute the most popular machine learning methods for exploring real word data sets, as well as, for building predictive models. The main parts of the book include: A) Unsupervised learning methods, to explore and discover knowledge from a large multivariate data set using clustering and principal component methods. You will learn hierarchical clustering, k-means, principal component analysis and correspondence analysis methods. B) Regression analysis, to predict a quantitative outcome value using linear regression and non-linear regression strategies. C) Classification techniques, to predict a qualitative outcome value using logistic regression, discriminant analysis, naive bayes classifier and support vector machines. D) Advanced machine learning methods, to build robust regression and classification models using k-nearest neighbors methods, decision tree models, ensemble methods (bagging, random forest and boosting). E) Model selection methods, to select automatically the best combination of predictor variables for building an optimal predictive model. These include, best subsets selection methods, stepwise regression and penalized regression (ridge, lasso and elastic net regression models). We also present principal component-based regression methods, which are useful when the data contain multiple correlated predictor variables. F) Model validation and evaluation techniques for measuring the performance of a predictive model. G) Model diagnostics for detecting and fixing a potential problems in a predictive model.The book presents the basic principles of these tasks and provide many examples in R. This book offers solid guidance in data mining for students and researchers.Key features: - Covers machine learning algorithm and implementation- Key mathematical concepts are presented- Short, self-contained chapters with practical examples.","author":[{"dropping-particle":"","family":"Kassambara","given":"Alboukadel","non-dropping-particle":"","parse-names":false,"suffix":""}],"id":"ITEM-1","issued":{"date-parts":[["2018"]]},"number-of-pages":"211","publisher":"STHDA","title":"Machine Learning Essentials: Practical Guide in R","type":"book"},"uris":["http://www.mendeley.com/documents/?uuid=125f9425-3d86-3eef-a97f-9457b0d032d8"]}],"mendeley":{"formattedCitation":"(15)","plainTextFormattedCitation":"(15)","previouslyFormattedCitation":"(14)"},"properties":{"noteIndex":0},"schema":"https://github.com/citation-style-language/schema/raw/master/csl-citation.json"}</w:instrText>
      </w:r>
      <w:r w:rsidRPr="00C66B16">
        <w:rPr>
          <w:rFonts w:ascii="Times New Roman" w:hAnsi="Times New Roman" w:cs="Times New Roman"/>
          <w:color w:val="000000"/>
        </w:rPr>
        <w:fldChar w:fldCharType="separate"/>
      </w:r>
      <w:r w:rsidR="00F6230B" w:rsidRPr="00F6230B">
        <w:rPr>
          <w:rFonts w:ascii="Times New Roman" w:hAnsi="Times New Roman" w:cs="Times New Roman"/>
          <w:noProof/>
          <w:color w:val="000000"/>
        </w:rPr>
        <w:t>(15)</w:t>
      </w:r>
      <w:r w:rsidRPr="00C66B16">
        <w:rPr>
          <w:rFonts w:ascii="Times New Roman" w:hAnsi="Times New Roman" w:cs="Times New Roman"/>
          <w:color w:val="000000"/>
        </w:rPr>
        <w:fldChar w:fldCharType="end"/>
      </w:r>
      <w:r w:rsidRPr="00C66B16">
        <w:rPr>
          <w:rFonts w:ascii="Times New Roman" w:hAnsi="Times New Roman" w:cs="Times New Roman"/>
          <w:color w:val="000000"/>
        </w:rPr>
        <w:t xml:space="preserve"> </w:t>
      </w:r>
      <w:r w:rsidR="0053738C">
        <w:rPr>
          <w:rFonts w:ascii="Times New Roman" w:hAnsi="Times New Roman" w:cs="Times New Roman"/>
          <w:color w:val="000000"/>
        </w:rPr>
        <w:t xml:space="preserve">with their </w:t>
      </w:r>
      <w:r w:rsidRPr="00C66B16">
        <w:rPr>
          <w:rFonts w:ascii="Times New Roman" w:hAnsi="Times New Roman" w:cs="Times New Roman"/>
          <w:color w:val="000000"/>
        </w:rPr>
        <w:t xml:space="preserve">code available online </w:t>
      </w:r>
      <w:hyperlink r:id="rId8" w:history="1">
        <w:r w:rsidRPr="00C66B16">
          <w:rPr>
            <w:rStyle w:val="Hyperlink"/>
            <w:rFonts w:ascii="Times New Roman" w:hAnsi="Times New Roman" w:cs="Times New Roman"/>
          </w:rPr>
          <w:t>here</w:t>
        </w:r>
      </w:hyperlink>
      <w:r w:rsidRPr="00C66B16">
        <w:rPr>
          <w:rFonts w:ascii="Times New Roman" w:hAnsi="Times New Roman" w:cs="Times New Roman"/>
          <w:color w:val="000000"/>
        </w:rPr>
        <w:t xml:space="preserve">. The R function </w:t>
      </w:r>
      <w:proofErr w:type="spellStart"/>
      <w:r w:rsidRPr="005A1F61">
        <w:rPr>
          <w:rFonts w:ascii="Times New Roman" w:hAnsi="Times New Roman" w:cs="Times New Roman"/>
          <w:color w:val="000000"/>
        </w:rPr>
        <w:t>regsubsets</w:t>
      </w:r>
      <w:proofErr w:type="spellEnd"/>
      <w:r w:rsidR="007216DA">
        <w:rPr>
          <w:rFonts w:ascii="Times New Roman" w:hAnsi="Times New Roman" w:cs="Times New Roman"/>
          <w:color w:val="000000"/>
        </w:rPr>
        <w:t>()</w:t>
      </w:r>
      <w:r w:rsidRPr="00C66B16">
        <w:rPr>
          <w:rFonts w:ascii="Times New Roman" w:hAnsi="Times New Roman" w:cs="Times New Roman"/>
          <w:color w:val="000000"/>
        </w:rPr>
        <w:t xml:space="preserve"> from leaps package </w:t>
      </w:r>
      <w:r w:rsidRPr="00C66B16">
        <w:rPr>
          <w:rFonts w:ascii="Times New Roman" w:hAnsi="Times New Roman" w:cs="Times New Roman"/>
          <w:color w:val="000000"/>
        </w:rPr>
        <w:fldChar w:fldCharType="begin" w:fldLock="1"/>
      </w:r>
      <w:r w:rsidR="00F6230B">
        <w:rPr>
          <w:rFonts w:ascii="Times New Roman" w:hAnsi="Times New Roman" w:cs="Times New Roman"/>
          <w:color w:val="000000"/>
        </w:rPr>
        <w:instrText>ADDIN CSL_CITATION {"citationItems":[{"id":"ITEM-1","itemData":{"author":[{"dropping-particle":"","family":"Lumley","given":"Thomas","non-dropping-particle":"","parse-names":false,"suffix":""}],"id":"ITEM-1","issued":{"date-parts":[["2020"]]},"title":"Leaps: Regression subset selection. R package version 3.1","type":"article-journal"},"uris":["http://www.mendeley.com/documents/?uuid=4a089f8a-9581-49fe-bc88-b7e051637b5e"]}],"mendeley":{"formattedCitation":"(16)","plainTextFormattedCitation":"(16)","previouslyFormattedCitation":"(15)"},"properties":{"noteIndex":0},"schema":"https://github.com/citation-style-language/schema/raw/master/csl-citation.json"}</w:instrText>
      </w:r>
      <w:r w:rsidRPr="00C66B16">
        <w:rPr>
          <w:rFonts w:ascii="Times New Roman" w:hAnsi="Times New Roman" w:cs="Times New Roman"/>
          <w:color w:val="000000"/>
        </w:rPr>
        <w:fldChar w:fldCharType="separate"/>
      </w:r>
      <w:r w:rsidR="00F6230B" w:rsidRPr="00F6230B">
        <w:rPr>
          <w:rFonts w:ascii="Times New Roman" w:hAnsi="Times New Roman" w:cs="Times New Roman"/>
          <w:noProof/>
          <w:color w:val="000000"/>
        </w:rPr>
        <w:t>(16)</w:t>
      </w:r>
      <w:r w:rsidRPr="00C66B16">
        <w:rPr>
          <w:rFonts w:ascii="Times New Roman" w:hAnsi="Times New Roman" w:cs="Times New Roman"/>
          <w:color w:val="000000"/>
        </w:rPr>
        <w:fldChar w:fldCharType="end"/>
      </w:r>
      <w:r w:rsidRPr="00C66B16">
        <w:rPr>
          <w:rFonts w:ascii="Times New Roman" w:hAnsi="Times New Roman" w:cs="Times New Roman"/>
          <w:color w:val="000000"/>
        </w:rPr>
        <w:t xml:space="preserve"> was used to identify different best models of different sizes, by specifying the option </w:t>
      </w:r>
      <w:proofErr w:type="spellStart"/>
      <w:r w:rsidRPr="00C66B16">
        <w:rPr>
          <w:rFonts w:ascii="Times New Roman" w:hAnsi="Times New Roman" w:cs="Times New Roman"/>
          <w:color w:val="000000"/>
        </w:rPr>
        <w:t>nvmax</w:t>
      </w:r>
      <w:proofErr w:type="spellEnd"/>
      <w:r w:rsidRPr="00C66B16">
        <w:rPr>
          <w:rFonts w:ascii="Times New Roman" w:hAnsi="Times New Roman" w:cs="Times New Roman"/>
          <w:color w:val="000000"/>
        </w:rPr>
        <w:t xml:space="preserve">, set to the maximum number of predictors to incorporate in the model. Having obtained the best possible subsets, the k-fold cross-validation consisting of first dividing the data into k subsets. Each subset (10%) served successively as </w:t>
      </w:r>
      <w:r w:rsidRPr="00C66B16">
        <w:rPr>
          <w:rFonts w:ascii="Times New Roman" w:hAnsi="Times New Roman" w:cs="Times New Roman"/>
          <w:color w:val="000000"/>
        </w:rPr>
        <w:lastRenderedPageBreak/>
        <w:t xml:space="preserve">test data set and the remaining subset (90%) as training data. The average cross-validation error was then computed as the model prediction error. This was computed using a custom function utilising R’s </w:t>
      </w:r>
      <w:r w:rsidRPr="005A1F61">
        <w:rPr>
          <w:rFonts w:ascii="Times New Roman" w:hAnsi="Times New Roman" w:cs="Times New Roman"/>
          <w:color w:val="000000"/>
        </w:rPr>
        <w:t>train</w:t>
      </w:r>
      <w:r w:rsidRPr="00C66B16">
        <w:rPr>
          <w:rFonts w:ascii="Times New Roman" w:hAnsi="Times New Roman" w:cs="Times New Roman"/>
          <w:color w:val="000000"/>
        </w:rPr>
        <w:t xml:space="preserve"> function from the caret package </w:t>
      </w:r>
      <w:r w:rsidRPr="00C66B16">
        <w:rPr>
          <w:rFonts w:ascii="Times New Roman" w:hAnsi="Times New Roman" w:cs="Times New Roman"/>
          <w:color w:val="000000"/>
        </w:rPr>
        <w:fldChar w:fldCharType="begin" w:fldLock="1"/>
      </w:r>
      <w:r w:rsidR="00F6230B">
        <w:rPr>
          <w:rFonts w:ascii="Times New Roman" w:hAnsi="Times New Roman" w:cs="Times New Roman"/>
          <w:color w:val="000000"/>
        </w:rPr>
        <w:instrText>ADDIN CSL_CITATION {"citationItems":[{"id":"ITEM-1","itemData":{"ISSN":"15487660","abstract":"The caret package, short for classification and regression training, contains numerous tools for developing predictive models using the rich set of models available in R. The package focuses on simplifying model training and tuning across a wide variety of modeling techniques. It also includes methods for pre-processing training data, calculating variable importance, and model visualizations. An example from computational chemistry is used to illustrate the functionality on a real data set and to benchmark the benefits of parallel processing with several types of models.","author":[{"dropping-particle":"","family":"Kuhn","given":"Max","non-dropping-particle":"","parse-names":false,"suffix":""}],"container-title":"Journal Of Statistical Software","id":"ITEM-1","issue":"5","issued":{"date-parts":[["2008"]]},"page":"1–26","title":"caret Package","type":"article-journal","volume":"28"},"uris":["http://www.mendeley.com/documents/?uuid=134a0a4a-1f45-44bb-bc2d-4ade93f8335f"]}],"mendeley":{"formattedCitation":"(17)","plainTextFormattedCitation":"(17)","previouslyFormattedCitation":"(16)"},"properties":{"noteIndex":0},"schema":"https://github.com/citation-style-language/schema/raw/master/csl-citation.json"}</w:instrText>
      </w:r>
      <w:r w:rsidRPr="00C66B16">
        <w:rPr>
          <w:rFonts w:ascii="Times New Roman" w:hAnsi="Times New Roman" w:cs="Times New Roman"/>
          <w:color w:val="000000"/>
        </w:rPr>
        <w:fldChar w:fldCharType="separate"/>
      </w:r>
      <w:r w:rsidR="00F6230B" w:rsidRPr="00F6230B">
        <w:rPr>
          <w:rFonts w:ascii="Times New Roman" w:hAnsi="Times New Roman" w:cs="Times New Roman"/>
          <w:noProof/>
          <w:color w:val="000000"/>
        </w:rPr>
        <w:t>(17)</w:t>
      </w:r>
      <w:r w:rsidRPr="00C66B16">
        <w:rPr>
          <w:rFonts w:ascii="Times New Roman" w:hAnsi="Times New Roman" w:cs="Times New Roman"/>
          <w:color w:val="000000"/>
        </w:rPr>
        <w:fldChar w:fldCharType="end"/>
      </w:r>
      <w:r w:rsidRPr="00C66B16">
        <w:rPr>
          <w:rFonts w:ascii="Times New Roman" w:hAnsi="Times New Roman" w:cs="Times New Roman"/>
          <w:color w:val="000000"/>
        </w:rPr>
        <w:t xml:space="preserve"> and </w:t>
      </w:r>
      <w:proofErr w:type="spellStart"/>
      <w:r w:rsidRPr="005A1F61">
        <w:rPr>
          <w:rFonts w:ascii="Times New Roman" w:hAnsi="Times New Roman" w:cs="Times New Roman"/>
          <w:color w:val="000000"/>
        </w:rPr>
        <w:t>tab_model</w:t>
      </w:r>
      <w:proofErr w:type="spellEnd"/>
      <w:r w:rsidRPr="00C66B16">
        <w:rPr>
          <w:rFonts w:ascii="Times New Roman" w:hAnsi="Times New Roman" w:cs="Times New Roman"/>
          <w:color w:val="000000"/>
        </w:rPr>
        <w:t xml:space="preserve"> function from </w:t>
      </w:r>
      <w:proofErr w:type="spellStart"/>
      <w:r w:rsidRPr="00C66B16">
        <w:rPr>
          <w:rFonts w:ascii="Times New Roman" w:hAnsi="Times New Roman" w:cs="Times New Roman"/>
          <w:color w:val="000000"/>
        </w:rPr>
        <w:t>sjPlot</w:t>
      </w:r>
      <w:proofErr w:type="spellEnd"/>
      <w:r w:rsidRPr="00C66B16">
        <w:rPr>
          <w:rFonts w:ascii="Times New Roman" w:hAnsi="Times New Roman" w:cs="Times New Roman"/>
          <w:color w:val="000000"/>
        </w:rPr>
        <w:t xml:space="preserve"> package </w:t>
      </w:r>
      <w:r w:rsidRPr="00C66B16">
        <w:rPr>
          <w:rFonts w:ascii="Times New Roman" w:hAnsi="Times New Roman" w:cs="Times New Roman"/>
          <w:color w:val="000000"/>
        </w:rPr>
        <w:fldChar w:fldCharType="begin" w:fldLock="1"/>
      </w:r>
      <w:r w:rsidR="00F6230B">
        <w:rPr>
          <w:rFonts w:ascii="Times New Roman" w:hAnsi="Times New Roman" w:cs="Times New Roman"/>
          <w:color w:val="000000"/>
        </w:rPr>
        <w:instrText>ADDIN CSL_CITATION {"citationItems":[{"id":"ITEM-1","itemData":{"DOI":"10.5281/ZENODO.2400856","abstract":"Collection of plotting and table output functions for data visualization. Results of various statistical analyses (that are commonly used in social sciences) can be visualized using this package, including simple and cross tabulated frequencies, histograms, box plots, (generalized) linear models, mixed effects models, principal component analysis and correlation matrices, cluster analyses, scatter plots, stacked scales, effects plots of regression models (including interaction terms) and much more. This package supports labelled data.","author":[{"dropping-particle":"","family":"Lüdecke","given":"Daniel","non-dropping-particle":"","parse-names":false,"suffix":""}],"id":"ITEM-1","issued":{"date-parts":[["2014","12","18"]]},"page":"2016","publisher":"Zenodo","title":"sjPlot - Data visualization for statistics in social science","type":"article"},"uris":["http://www.mendeley.com/documents/?uuid=7d91be86-0094-3752-86e5-423f6b6964b8"]}],"mendeley":{"formattedCitation":"(18)","plainTextFormattedCitation":"(18)","previouslyFormattedCitation":"(17)"},"properties":{"noteIndex":0},"schema":"https://github.com/citation-style-language/schema/raw/master/csl-citation.json"}</w:instrText>
      </w:r>
      <w:r w:rsidRPr="00C66B16">
        <w:rPr>
          <w:rFonts w:ascii="Times New Roman" w:hAnsi="Times New Roman" w:cs="Times New Roman"/>
          <w:color w:val="000000"/>
        </w:rPr>
        <w:fldChar w:fldCharType="separate"/>
      </w:r>
      <w:r w:rsidR="00F6230B" w:rsidRPr="00F6230B">
        <w:rPr>
          <w:rFonts w:ascii="Times New Roman" w:hAnsi="Times New Roman" w:cs="Times New Roman"/>
          <w:noProof/>
          <w:color w:val="000000"/>
        </w:rPr>
        <w:t>(18)</w:t>
      </w:r>
      <w:r w:rsidRPr="00C66B16">
        <w:rPr>
          <w:rFonts w:ascii="Times New Roman" w:hAnsi="Times New Roman" w:cs="Times New Roman"/>
          <w:color w:val="000000"/>
        </w:rPr>
        <w:fldChar w:fldCharType="end"/>
      </w:r>
      <w:r w:rsidRPr="00C66B16">
        <w:rPr>
          <w:rFonts w:ascii="Times New Roman" w:hAnsi="Times New Roman" w:cs="Times New Roman"/>
          <w:color w:val="000000"/>
        </w:rPr>
        <w:t>.</w:t>
      </w:r>
    </w:p>
    <w:p w14:paraId="76ECEA22" w14:textId="77777777" w:rsidR="00BE1FB8" w:rsidRDefault="00BE1FB8" w:rsidP="00BE1FB8">
      <w:pPr>
        <w:spacing w:line="360" w:lineRule="auto"/>
        <w:jc w:val="both"/>
        <w:rPr>
          <w:rFonts w:ascii="Times New Roman" w:hAnsi="Times New Roman" w:cs="Times New Roman"/>
          <w:color w:val="000000"/>
        </w:rPr>
      </w:pPr>
    </w:p>
    <w:p w14:paraId="3B971668" w14:textId="4EC79251" w:rsidR="007C41EB" w:rsidRPr="005A1F61" w:rsidRDefault="007C41EB" w:rsidP="005A1F61">
      <w:pPr>
        <w:spacing w:line="360" w:lineRule="auto"/>
        <w:jc w:val="both"/>
        <w:rPr>
          <w:rFonts w:ascii="Times New Roman" w:hAnsi="Times New Roman" w:cs="Times New Roman"/>
          <w:b/>
          <w:bCs/>
          <w:i/>
          <w:iCs/>
          <w:color w:val="000000"/>
        </w:rPr>
      </w:pPr>
      <w:r w:rsidRPr="005A1F61">
        <w:rPr>
          <w:rFonts w:ascii="Times New Roman" w:hAnsi="Times New Roman" w:cs="Times New Roman"/>
          <w:b/>
          <w:bCs/>
          <w:i/>
          <w:iCs/>
          <w:color w:val="000000"/>
        </w:rPr>
        <w:t>Predicted taxa-functional relationship</w:t>
      </w:r>
    </w:p>
    <w:p w14:paraId="5037C8F9" w14:textId="79DF1980" w:rsidR="0053738C" w:rsidRDefault="0053738C" w:rsidP="00BE1FB8">
      <w:pPr>
        <w:pStyle w:val="SMText"/>
        <w:spacing w:line="360" w:lineRule="auto"/>
        <w:ind w:firstLine="0"/>
        <w:jc w:val="both"/>
        <w:rPr>
          <w:kern w:val="32"/>
        </w:rPr>
      </w:pPr>
      <w:r w:rsidRPr="006A387D">
        <w:rPr>
          <w:color w:val="000000"/>
        </w:rPr>
        <w:t xml:space="preserve">To </w:t>
      </w:r>
      <w:r w:rsidR="006A387D" w:rsidRPr="006A387D">
        <w:rPr>
          <w:color w:val="000000"/>
        </w:rPr>
        <w:t>categorise</w:t>
      </w:r>
      <w:r w:rsidRPr="006A387D">
        <w:rPr>
          <w:color w:val="000000"/>
        </w:rPr>
        <w:t xml:space="preserve"> the predicted functional </w:t>
      </w:r>
      <w:r w:rsidR="006A387D" w:rsidRPr="006A387D">
        <w:rPr>
          <w:color w:val="000000"/>
        </w:rPr>
        <w:t>diversity</w:t>
      </w:r>
      <w:r w:rsidR="006A387D">
        <w:rPr>
          <w:color w:val="000000"/>
        </w:rPr>
        <w:t>,</w:t>
      </w:r>
      <w:r w:rsidR="006A387D" w:rsidRPr="006A387D">
        <w:rPr>
          <w:color w:val="000000"/>
        </w:rPr>
        <w:t xml:space="preserve"> </w:t>
      </w:r>
      <w:r w:rsidR="006A387D">
        <w:rPr>
          <w:color w:val="000000"/>
        </w:rPr>
        <w:t xml:space="preserve">we used KEGG (Kyoto </w:t>
      </w:r>
      <w:proofErr w:type="spellStart"/>
      <w:r w:rsidR="006A387D">
        <w:rPr>
          <w:color w:val="000000"/>
        </w:rPr>
        <w:t>Encyclopedia</w:t>
      </w:r>
      <w:proofErr w:type="spellEnd"/>
      <w:r w:rsidR="006A387D">
        <w:rPr>
          <w:color w:val="000000"/>
        </w:rPr>
        <w:t xml:space="preserve"> of Genes and Genomes) pathway mapping tool and </w:t>
      </w:r>
      <w:proofErr w:type="spellStart"/>
      <w:r w:rsidR="006A387D">
        <w:rPr>
          <w:color w:val="000000"/>
        </w:rPr>
        <w:t>MetaCyc</w:t>
      </w:r>
      <w:proofErr w:type="spellEnd"/>
      <w:r w:rsidR="006A387D">
        <w:rPr>
          <w:color w:val="000000"/>
        </w:rPr>
        <w:t xml:space="preserve"> databases </w:t>
      </w:r>
      <w:r w:rsidR="006A387D">
        <w:rPr>
          <w:color w:val="000000"/>
        </w:rPr>
        <w:fldChar w:fldCharType="begin" w:fldLock="1"/>
      </w:r>
      <w:r w:rsidR="00F6230B">
        <w:rPr>
          <w:color w:val="000000"/>
        </w:rPr>
        <w:instrText>ADDIN CSL_CITATION {"citationItems":[{"id":"ITEM-1","itemData":{"DOI":"10.1093/nar/gkz862","abstract":"MetaCyc (MetaCyc.org) is a comprehensive reference database of metabolic pathways and enzymes from all domains of life. It contains 2749 pathways derived from more than 60 000 publications, making it the largest curated collection of metabolic pathways. The data in MetaCyc are evidence-based and richly curated, resulting in an encyclopedic reference tool for metabolism. MetaCyc is also used as a knowledge base for generating thousands of organism-specific Pathway/Genome Databases (PGDBs), which are available in BioCyc.org and other genomic portals. This article provides an update on the developments in MetaCyc during September 2017 to August 2019, up to version 23.1. Some of the topics that received intensive curation during this period include cobamides biosynthesis, sterol metabolism, fatty acid biosynthesis, lipid metabolism, carotenoid metabolism, protein glycosylation, antibiotics and cytotoxins biosynthesis, siderophore biosynthesis, bioluminescence, vitamin K metabolism, brominated compound metabolism, plant secondary metabolism and human metabolism. Other additions include modifications to the GlycanBuilder software that enable displaying glycans using symbolic representation , improved graphics and fonts for web displays, improvements in the PathoLogic component of Pathway Tools, and the optional addition of regulatory information to pathway diagrams.","author":[{"dropping-particle":"","family":"Caspi","given":"Ron","non-dropping-particle":"","parse-names":false,"suffix":""},{"dropping-particle":"","family":"Billington","given":"Richard","non-dropping-particle":"","parse-names":false,"suffix":""},{"dropping-particle":"","family":"Keseler","given":"Ingrid M","non-dropping-particle":"","parse-names":false,"suffix":""},{"dropping-particle":"","family":"Kothari","given":"Anamika","non-dropping-particle":"","parse-names":false,"suffix":""},{"dropping-particle":"","family":"Krummenacker","given":"Markus","non-dropping-particle":"","parse-names":false,"suffix":""},{"dropping-particle":"","family":"Midford","given":"Peter E","non-dropping-particle":"","parse-names":false,"suffix":""},{"dropping-particle":"","family":"Ong","given":"Wai Kit","non-dropping-particle":"","parse-names":false,"suffix":""},{"dropping-particle":"","family":"Paley","given":"Suzanne","non-dropping-particle":"","parse-names":false,"suffix":""},{"dropping-particle":"","family":"Subhraveti","given":"Pallavi","non-dropping-particle":"","parse-names":false,"suffix":""},{"dropping-particle":"","family":"Karp","given":"Peter D","non-dropping-particle":"","parse-names":false,"suffix":""}],"container-title":"Nucleic Acids Research","id":"ITEM-1","issued":{"date-parts":[["2019"]]},"page":"445-453","title":"The MetaCyc database of metabolic pathways and enzymes-a 2019 update","type":"article-journal","volume":"48"},"uris":["http://www.mendeley.com/documents/?uuid=c5f6ef1a-8b06-3628-9eef-c48d3c4fd66a"]}],"mendeley":{"formattedCitation":"(19)","plainTextFormattedCitation":"(19)","previouslyFormattedCitation":"(18)"},"properties":{"noteIndex":0},"schema":"https://github.com/citation-style-language/schema/raw/master/csl-citation.json"}</w:instrText>
      </w:r>
      <w:r w:rsidR="006A387D">
        <w:rPr>
          <w:color w:val="000000"/>
        </w:rPr>
        <w:fldChar w:fldCharType="separate"/>
      </w:r>
      <w:r w:rsidR="00F6230B" w:rsidRPr="00F6230B">
        <w:rPr>
          <w:noProof/>
          <w:color w:val="000000"/>
        </w:rPr>
        <w:t>(19)</w:t>
      </w:r>
      <w:r w:rsidR="006A387D">
        <w:rPr>
          <w:color w:val="000000"/>
        </w:rPr>
        <w:fldChar w:fldCharType="end"/>
      </w:r>
      <w:r w:rsidR="006A387D">
        <w:rPr>
          <w:color w:val="000000"/>
        </w:rPr>
        <w:t xml:space="preserve">. </w:t>
      </w:r>
      <w:r w:rsidRPr="006A387D">
        <w:rPr>
          <w:kern w:val="32"/>
        </w:rPr>
        <w:t xml:space="preserve">KEGG orthologs (KO) involved in aliphatic and aromatic hydrocarbon degradation were manually filtered along with biosurfactant-associated enzymes for each treatment. We specifically looked at genes for rhamnolipid (glycolipid) and </w:t>
      </w:r>
      <w:proofErr w:type="spellStart"/>
      <w:r w:rsidRPr="006A387D">
        <w:rPr>
          <w:kern w:val="32"/>
        </w:rPr>
        <w:t>surfactin</w:t>
      </w:r>
      <w:proofErr w:type="spellEnd"/>
      <w:r w:rsidRPr="006A387D">
        <w:rPr>
          <w:kern w:val="32"/>
        </w:rPr>
        <w:t xml:space="preserve"> (lipopeptide) synthesis as they are the most studied and the</w:t>
      </w:r>
      <w:r w:rsidR="006A387D">
        <w:rPr>
          <w:kern w:val="32"/>
        </w:rPr>
        <w:t>se</w:t>
      </w:r>
      <w:r w:rsidRPr="006A387D">
        <w:rPr>
          <w:kern w:val="32"/>
        </w:rPr>
        <w:t xml:space="preserve"> metabolic pathways </w:t>
      </w:r>
      <w:r w:rsidR="005B6F8D">
        <w:rPr>
          <w:kern w:val="32"/>
        </w:rPr>
        <w:t xml:space="preserve">are </w:t>
      </w:r>
      <w:r w:rsidRPr="006A387D">
        <w:rPr>
          <w:kern w:val="32"/>
        </w:rPr>
        <w:t xml:space="preserve">well known. Because our study focused on a marine microbial community, we also selected genes for exopolymer production which are more characteristic in marine bacteria, for example </w:t>
      </w:r>
      <w:proofErr w:type="spellStart"/>
      <w:r w:rsidRPr="006A387D">
        <w:rPr>
          <w:i/>
          <w:iCs/>
          <w:kern w:val="32"/>
        </w:rPr>
        <w:t>Alcanivorax</w:t>
      </w:r>
      <w:proofErr w:type="spellEnd"/>
      <w:r w:rsidRPr="006A387D">
        <w:rPr>
          <w:kern w:val="32"/>
        </w:rPr>
        <w:t xml:space="preserve"> sp. and </w:t>
      </w:r>
      <w:proofErr w:type="spellStart"/>
      <w:r w:rsidRPr="006A387D">
        <w:rPr>
          <w:i/>
          <w:iCs/>
          <w:kern w:val="32"/>
        </w:rPr>
        <w:t>Halomonas</w:t>
      </w:r>
      <w:proofErr w:type="spellEnd"/>
      <w:r w:rsidRPr="006A387D">
        <w:rPr>
          <w:kern w:val="32"/>
        </w:rPr>
        <w:t xml:space="preserve"> sp., </w:t>
      </w:r>
      <w:proofErr w:type="gramStart"/>
      <w:r w:rsidRPr="006A387D">
        <w:rPr>
          <w:kern w:val="32"/>
        </w:rPr>
        <w:t>and also</w:t>
      </w:r>
      <w:proofErr w:type="gramEnd"/>
      <w:r w:rsidRPr="006A387D">
        <w:rPr>
          <w:kern w:val="32"/>
        </w:rPr>
        <w:t xml:space="preserve"> genes encoding the </w:t>
      </w:r>
      <w:proofErr w:type="spellStart"/>
      <w:r w:rsidRPr="006A387D">
        <w:rPr>
          <w:i/>
          <w:iCs/>
          <w:kern w:val="32"/>
        </w:rPr>
        <w:t>rhl</w:t>
      </w:r>
      <w:proofErr w:type="spellEnd"/>
      <w:r w:rsidRPr="006A387D">
        <w:rPr>
          <w:kern w:val="32"/>
        </w:rPr>
        <w:t xml:space="preserve"> quorum sensing system in rhamnolipid-producing strains that regulates the production of rhamnolipid biosurfactants.</w:t>
      </w:r>
    </w:p>
    <w:p w14:paraId="7EE24D24" w14:textId="77777777" w:rsidR="00BE1FB8" w:rsidRDefault="00BE1FB8" w:rsidP="00BE1FB8">
      <w:pPr>
        <w:pStyle w:val="SMText"/>
        <w:spacing w:line="360" w:lineRule="auto"/>
        <w:ind w:firstLine="0"/>
        <w:jc w:val="both"/>
        <w:rPr>
          <w:kern w:val="32"/>
        </w:rPr>
      </w:pPr>
    </w:p>
    <w:p w14:paraId="70350064" w14:textId="5577EF87" w:rsidR="007C41EB" w:rsidRPr="005A1F61" w:rsidRDefault="007C41EB" w:rsidP="007C41EB">
      <w:pPr>
        <w:pStyle w:val="SMText"/>
        <w:spacing w:line="360" w:lineRule="auto"/>
        <w:ind w:firstLine="0"/>
        <w:jc w:val="both"/>
        <w:rPr>
          <w:b/>
          <w:bCs/>
          <w:i/>
          <w:iCs/>
          <w:kern w:val="32"/>
        </w:rPr>
      </w:pPr>
      <w:r w:rsidRPr="005A1F61">
        <w:rPr>
          <w:b/>
          <w:bCs/>
          <w:i/>
          <w:iCs/>
          <w:kern w:val="32"/>
        </w:rPr>
        <w:t>Predicted taxa-function robustness</w:t>
      </w:r>
    </w:p>
    <w:p w14:paraId="0A9B64AA" w14:textId="4AB651D8" w:rsidR="00D16C95" w:rsidRDefault="007C41EB" w:rsidP="007C41EB">
      <w:pPr>
        <w:pStyle w:val="SMText"/>
        <w:spacing w:line="360" w:lineRule="auto"/>
        <w:ind w:firstLine="0"/>
        <w:jc w:val="both"/>
      </w:pPr>
      <w:r>
        <w:rPr>
          <w:color w:val="000000"/>
        </w:rPr>
        <w:t xml:space="preserve">The taxa-function robustness measure of the microbial communities was determined by following the method of </w:t>
      </w:r>
      <w:proofErr w:type="spellStart"/>
      <w:r>
        <w:rPr>
          <w:color w:val="000000"/>
        </w:rPr>
        <w:t>Eng</w:t>
      </w:r>
      <w:proofErr w:type="spellEnd"/>
      <w:r>
        <w:rPr>
          <w:color w:val="000000"/>
        </w:rPr>
        <w:t xml:space="preserve"> and </w:t>
      </w:r>
      <w:proofErr w:type="spellStart"/>
      <w:r>
        <w:rPr>
          <w:color w:val="000000"/>
        </w:rPr>
        <w:t>Borenstein</w:t>
      </w:r>
      <w:proofErr w:type="spellEnd"/>
      <w:r>
        <w:rPr>
          <w:color w:val="000000"/>
        </w:rPr>
        <w:t xml:space="preserve"> </w:t>
      </w:r>
      <w:r>
        <w:rPr>
          <w:color w:val="000000"/>
        </w:rPr>
        <w:fldChar w:fldCharType="begin" w:fldLock="1"/>
      </w:r>
      <w:r w:rsidR="00F6230B">
        <w:rPr>
          <w:color w:val="000000"/>
        </w:rPr>
        <w:instrText>ADDIN CSL_CITATION {"citationItems":[{"id":"ITEM-1","itemData":{"author":[{"dropping-particle":"","family":"Eng","given":"Alexander","non-dropping-particle":"","parse-names":false,"suffix":""},{"dropping-particle":"","family":"Borenstein","given":"Elhanan","non-dropping-particle":"","parse-names":false,"suffix":""}],"container-title":"Microbiome","id":"ITEM-1","issue":"45","issued":{"date-parts":[["2018"]]},"page":"19","title":"Taxa-function robustness in microbial communities","type":"article-journal","volume":"6"},"uris":["http://www.mendeley.com/documents/?uuid=fcdb9ab2-2867-4516-a313-09e927f5ce11"]}],"mendeley":{"formattedCitation":"(20)","plainTextFormattedCitation":"(20)","previouslyFormattedCitation":"(19)"},"properties":{"noteIndex":0},"schema":"https://github.com/citation-style-language/schema/raw/master/csl-citation.json"}</w:instrText>
      </w:r>
      <w:r>
        <w:rPr>
          <w:color w:val="000000"/>
        </w:rPr>
        <w:fldChar w:fldCharType="separate"/>
      </w:r>
      <w:r w:rsidR="00F6230B" w:rsidRPr="00F6230B">
        <w:rPr>
          <w:noProof/>
          <w:color w:val="000000"/>
        </w:rPr>
        <w:t>(20)</w:t>
      </w:r>
      <w:r>
        <w:rPr>
          <w:color w:val="000000"/>
        </w:rPr>
        <w:fldChar w:fldCharType="end"/>
      </w:r>
      <w:r>
        <w:rPr>
          <w:color w:val="000000"/>
        </w:rPr>
        <w:t xml:space="preserve">. Briefly, the raw 16s rRNA sequences were used in QIIME2 to generate functional profiles based on the KO groups assigned to the </w:t>
      </w:r>
      <w:proofErr w:type="spellStart"/>
      <w:r>
        <w:rPr>
          <w:color w:val="000000"/>
        </w:rPr>
        <w:t>Greengenes</w:t>
      </w:r>
      <w:proofErr w:type="spellEnd"/>
      <w:r>
        <w:rPr>
          <w:color w:val="000000"/>
        </w:rPr>
        <w:t xml:space="preserve"> database (gg_13_5) </w:t>
      </w:r>
      <w:r>
        <w:rPr>
          <w:color w:val="000000"/>
        </w:rPr>
        <w:fldChar w:fldCharType="begin" w:fldLock="1"/>
      </w:r>
      <w:r w:rsidR="00F6230B">
        <w:rPr>
          <w:color w:val="000000"/>
        </w:rPr>
        <w:instrText>ADDIN CSL_CITATION {"citationItems":[{"id":"ITEM-1","itemData":{"DOI":"10.1128/AEM.03006-05","ISSN":"0099-2240","PMID":"16820507","abstract":"A 16S rRNA gene database (http://greengenes.lbl.gov) addresses limitations of public repositories by providing chimera screening, standard alignment, and taxonomic classification using multiple published taxonomies. It was found that there is incongruent taxonomic nomenclature among curators even at the phylum level. Putative chimeras were identified in 3% of environmental sequences and in 0.2% of records derived from isolates. Environmental sequences were classified into 100 phylum-level lineages in the Archaea and Bacteria.","author":[{"dropping-particle":"","family":"DeSantis","given":"T Z","non-dropping-particle":"","parse-names":false,"suffix":""},{"dropping-particle":"","family":"Hugenholtz","given":"P","non-dropping-particle":"","parse-names":false,"suffix":""},{"dropping-particle":"","family":"Larsen","given":"N","non-dropping-particle":"","parse-names":false,"suffix":""},{"dropping-particle":"","family":"Rojas","given":"M","non-dropping-particle":"","parse-names":false,"suffix":""},{"dropping-particle":"","family":"Brodie","given":"E L","non-dropping-particle":"","parse-names":false,"suffix":""},{"dropping-particle":"","family":"Keller","given":"K","non-dropping-particle":"","parse-names":false,"suffix":""},{"dropping-particle":"","family":"Huber","given":"T","non-dropping-particle":"","parse-names":false,"suffix":""},{"dropping-particle":"","family":"Dalevi","given":"D","non-dropping-particle":"","parse-names":false,"suffix":""},{"dropping-particle":"","family":"Hu","given":"P","non-dropping-particle":"","parse-names":false,"suffix":""},{"dropping-particle":"","family":"Andersen","given":"G L","non-dropping-particle":"","parse-names":false,"suffix":""}],"container-title":"Applied and environmental microbiology","id":"ITEM-1","issue":"7","issued":{"date-parts":[["2006","7","1"]]},"page":"5069-72","publisher":"American Society for Microbiology","title":"Greengenes, a chimera-checked 16S rRNA gene database and workbench compatible with ARB.","type":"article-journal","volume":"72"},"uris":["http://www.mendeley.com/documents/?uuid=c2abf43b-f070-3b3e-bffb-f71902ebe662"]}],"mendeley":{"formattedCitation":"(21)","plainTextFormattedCitation":"(21)","previouslyFormattedCitation":"(20)"},"properties":{"noteIndex":0},"schema":"https://github.com/citation-style-language/schema/raw/master/csl-citation.json"}</w:instrText>
      </w:r>
      <w:r>
        <w:rPr>
          <w:color w:val="000000"/>
        </w:rPr>
        <w:fldChar w:fldCharType="separate"/>
      </w:r>
      <w:r w:rsidR="00F6230B" w:rsidRPr="00F6230B">
        <w:rPr>
          <w:noProof/>
          <w:color w:val="000000"/>
        </w:rPr>
        <w:t>(21)</w:t>
      </w:r>
      <w:r>
        <w:rPr>
          <w:color w:val="000000"/>
        </w:rPr>
        <w:fldChar w:fldCharType="end"/>
      </w:r>
      <w:r>
        <w:rPr>
          <w:color w:val="000000"/>
        </w:rPr>
        <w:t xml:space="preserve">. Each of the 90 samples (across 7 treatments) was perturbed 100 times to calculate a two-dimensional taxonomic shift versus functional shift profile. For the taxonomic shift, the </w:t>
      </w:r>
      <w:proofErr w:type="gramStart"/>
      <w:r>
        <w:rPr>
          <w:color w:val="000000"/>
        </w:rPr>
        <w:t>phylogeny-aware</w:t>
      </w:r>
      <w:proofErr w:type="gramEnd"/>
      <w:r>
        <w:rPr>
          <w:color w:val="000000"/>
        </w:rPr>
        <w:t xml:space="preserve"> weighted </w:t>
      </w:r>
      <w:proofErr w:type="spellStart"/>
      <w:r>
        <w:rPr>
          <w:color w:val="000000"/>
        </w:rPr>
        <w:t>UniFrac</w:t>
      </w:r>
      <w:proofErr w:type="spellEnd"/>
      <w:r>
        <w:rPr>
          <w:color w:val="000000"/>
        </w:rPr>
        <w:t xml:space="preserve"> dissimilarity metric was calculated between the original sample and its perturbations, and for the functional shift, cosine dissimilarity was used between the functional profiles of the original community and its perturbations. Next, the relationship between taxonomic perturbation magnitude and functional profile shift are fitted </w:t>
      </w:r>
      <w:r w:rsidR="00E010AD">
        <w:rPr>
          <w:color w:val="000000"/>
        </w:rPr>
        <w:t xml:space="preserve">using </w:t>
      </w:r>
      <w:r>
        <w:rPr>
          <w:color w:val="000000"/>
        </w:rPr>
        <w:t xml:space="preserve">the linear regression model on natural log-transformed data: </w:t>
      </w:r>
      <m:oMath>
        <m:func>
          <m:funcPr>
            <m:ctrlPr>
              <w:rPr>
                <w:rFonts w:ascii="Cambria Math" w:hAnsi="Cambria Math"/>
                <w:i/>
                <w:color w:val="000000"/>
              </w:rPr>
            </m:ctrlPr>
          </m:funcPr>
          <m:fName>
            <m:r>
              <m:rPr>
                <m:sty m:val="p"/>
              </m:rPr>
              <w:rPr>
                <w:rFonts w:ascii="Cambria Math" w:hAnsi="Cambria Math"/>
                <w:color w:val="000000"/>
              </w:rPr>
              <m:t>ln</m:t>
            </m:r>
          </m:fName>
          <m:e>
            <m:d>
              <m:dPr>
                <m:ctrlPr>
                  <w:rPr>
                    <w:rFonts w:ascii="Cambria Math" w:hAnsi="Cambria Math"/>
                    <w:i/>
                    <w:color w:val="000000"/>
                  </w:rPr>
                </m:ctrlPr>
              </m:dPr>
              <m:e>
                <m:r>
                  <w:rPr>
                    <w:rFonts w:ascii="Cambria Math" w:hAnsi="Cambria Math"/>
                    <w:color w:val="000000"/>
                  </w:rPr>
                  <m:t>ƒ</m:t>
                </m:r>
              </m:e>
            </m:d>
            <m:r>
              <w:rPr>
                <w:rFonts w:ascii="Cambria Math" w:hAnsi="Cambria Math"/>
                <w:color w:val="000000"/>
              </w:rPr>
              <m:t>= -</m:t>
            </m:r>
          </m:e>
        </m:func>
        <m:r>
          <w:rPr>
            <w:rFonts w:ascii="Cambria Math" w:hAnsi="Cambria Math"/>
            <w:color w:val="000000"/>
          </w:rPr>
          <m:t xml:space="preserve">a +b </m:t>
        </m:r>
        <m:func>
          <m:funcPr>
            <m:ctrlPr>
              <w:rPr>
                <w:rFonts w:ascii="Cambria Math" w:hAnsi="Cambria Math"/>
                <w:i/>
                <w:color w:val="000000"/>
              </w:rPr>
            </m:ctrlPr>
          </m:funcPr>
          <m:fName>
            <m:r>
              <m:rPr>
                <m:sty m:val="p"/>
              </m:rPr>
              <w:rPr>
                <w:rFonts w:ascii="Cambria Math" w:hAnsi="Cambria Math"/>
                <w:color w:val="000000"/>
              </w:rPr>
              <m:t>ln</m:t>
            </m:r>
          </m:fName>
          <m:e>
            <m:d>
              <m:dPr>
                <m:ctrlPr>
                  <w:rPr>
                    <w:rFonts w:ascii="Cambria Math" w:hAnsi="Cambria Math"/>
                    <w:i/>
                    <w:color w:val="000000"/>
                  </w:rPr>
                </m:ctrlPr>
              </m:dPr>
              <m:e>
                <m:r>
                  <w:rPr>
                    <w:rFonts w:ascii="Cambria Math" w:hAnsi="Cambria Math"/>
                    <w:color w:val="000000"/>
                  </w:rPr>
                  <m:t>t</m:t>
                </m:r>
              </m:e>
            </m:d>
          </m:e>
        </m:func>
      </m:oMath>
      <w:r w:rsidR="00E010AD">
        <w:t xml:space="preserve"> to estimate two coefficients: attenuation </w:t>
      </w:r>
      <w:r w:rsidR="00E010AD" w:rsidRPr="005A1F61">
        <w:rPr>
          <w:i/>
          <w:iCs/>
        </w:rPr>
        <w:t>a</w:t>
      </w:r>
      <w:r w:rsidR="00E010AD">
        <w:rPr>
          <w:b/>
          <w:bCs/>
        </w:rPr>
        <w:t xml:space="preserve">, </w:t>
      </w:r>
      <w:r w:rsidR="00E010AD">
        <w:t xml:space="preserve">and buffering </w:t>
      </w:r>
      <w:r w:rsidR="00E010AD" w:rsidRPr="005A1F61">
        <w:rPr>
          <w:i/>
          <w:iCs/>
        </w:rPr>
        <w:t>b</w:t>
      </w:r>
      <w:r w:rsidR="00E010AD">
        <w:t>. Attenuation is described as the expected rate at which increases in the taxonomic perturbation magnitude are expected to increase functional shifts, and buffering specifies exactly how large a perturbation must be before a functional profile shift becomes apparent. The attenuation and buffering coefficients serve as proxy (robustness factors) to summarise the property of a sample, and then were calculated for all samples in the dataset</w:t>
      </w:r>
      <w:r w:rsidR="001F731E">
        <w:t xml:space="preserve"> </w:t>
      </w:r>
      <w:r w:rsidR="00E010AD">
        <w:fldChar w:fldCharType="begin" w:fldLock="1"/>
      </w:r>
      <w:r w:rsidR="00F6230B">
        <w:instrText>ADDIN CSL_CITATION {"citationItems":[{"id":"ITEM-1","itemData":{"author":[{"dropping-particle":"","family":"Eng","given":"Alexander","non-dropping-particle":"","parse-names":false,"suffix":""},{"dropping-particle":"","family":"Borenstein","given":"Elhanan","non-dropping-particle":"","parse-names":false,"suffix":""}],"container-title":"Microbiome","id":"ITEM-1","issue":"45","issued":{"date-parts":[["2018"]]},"page":"19","title":"Taxa-function robustness in microbial communities","type":"article-journal","volume":"6"},"uris":["http://www.mendeley.com/documents/?uuid=fcdb9ab2-2867-4516-a313-09e927f5ce11"]}],"mendeley":{"formattedCitation":"(20)","plainTextFormattedCitation":"(20)","previouslyFormattedCitation":"(19)"},"properties":{"noteIndex":0},"schema":"https://github.com/citation-style-language/schema/raw/master/csl-citation.json"}</w:instrText>
      </w:r>
      <w:r w:rsidR="00E010AD">
        <w:fldChar w:fldCharType="separate"/>
      </w:r>
      <w:r w:rsidR="00F6230B" w:rsidRPr="00F6230B">
        <w:rPr>
          <w:noProof/>
        </w:rPr>
        <w:t>(20)</w:t>
      </w:r>
      <w:r w:rsidR="00E010AD">
        <w:fldChar w:fldCharType="end"/>
      </w:r>
      <w:r w:rsidR="00E010AD">
        <w:t>.</w:t>
      </w:r>
      <w:r w:rsidR="004969FD">
        <w:t xml:space="preserve"> </w:t>
      </w:r>
      <w:r w:rsidR="004969FD">
        <w:rPr>
          <w:color w:val="000000"/>
        </w:rPr>
        <w:t xml:space="preserve">As the attenuation </w:t>
      </w:r>
      <w:r w:rsidR="004969FD">
        <w:rPr>
          <w:color w:val="000000"/>
        </w:rPr>
        <w:lastRenderedPageBreak/>
        <w:t>describes the slope of the response curve, it means that larger taxonomic perturbations should yield larger functional shifts.</w:t>
      </w:r>
    </w:p>
    <w:p w14:paraId="548DB0A0" w14:textId="77777777" w:rsidR="00E010AD" w:rsidRPr="00E010AD" w:rsidRDefault="00E010AD" w:rsidP="005A1F61">
      <w:pPr>
        <w:pStyle w:val="SMText"/>
        <w:spacing w:line="360" w:lineRule="auto"/>
        <w:ind w:firstLine="0"/>
        <w:jc w:val="both"/>
      </w:pPr>
    </w:p>
    <w:p w14:paraId="593B6F5D" w14:textId="72401544" w:rsidR="00C66B16" w:rsidRDefault="00D16C95" w:rsidP="00C66B16">
      <w:pPr>
        <w:widowControl w:val="0"/>
        <w:autoSpaceDE w:val="0"/>
        <w:autoSpaceDN w:val="0"/>
        <w:adjustRightInd w:val="0"/>
        <w:spacing w:line="360" w:lineRule="auto"/>
        <w:rPr>
          <w:rFonts w:ascii="Times New Roman" w:hAnsi="Times New Roman" w:cs="Times New Roman"/>
          <w:b/>
          <w:bCs/>
          <w:color w:val="000000" w:themeColor="text1"/>
        </w:rPr>
      </w:pPr>
      <w:r>
        <w:rPr>
          <w:rFonts w:ascii="Times New Roman" w:hAnsi="Times New Roman" w:cs="Times New Roman"/>
          <w:b/>
          <w:bCs/>
          <w:color w:val="000000" w:themeColor="text1"/>
        </w:rPr>
        <w:t>Hydrocarbon degradation analysis</w:t>
      </w:r>
      <w:r w:rsidR="006A387D">
        <w:rPr>
          <w:rFonts w:ascii="Times New Roman" w:hAnsi="Times New Roman" w:cs="Times New Roman"/>
          <w:b/>
          <w:bCs/>
          <w:color w:val="000000" w:themeColor="text1"/>
        </w:rPr>
        <w:t xml:space="preserve"> by GC-FID/MS</w:t>
      </w:r>
    </w:p>
    <w:p w14:paraId="5F3DAF0D" w14:textId="388D0F26" w:rsidR="006A387D" w:rsidRPr="006A387D" w:rsidRDefault="006A387D" w:rsidP="006A387D">
      <w:pPr>
        <w:pStyle w:val="SMText"/>
        <w:spacing w:line="360" w:lineRule="auto"/>
        <w:ind w:firstLine="0"/>
        <w:jc w:val="both"/>
        <w:rPr>
          <w:kern w:val="32"/>
        </w:rPr>
      </w:pPr>
      <w:r w:rsidRPr="006A387D">
        <w:rPr>
          <w:kern w:val="32"/>
        </w:rPr>
        <w:t xml:space="preserve">Replicate bottles (300-ml volume per bottle) were sacrificed for hydrocarbon extraction at three time points – on days 0, 7 and 28. Total hydrocarbons were extracted via solvent extraction using dichloromethane (DCM; HPLC grade, </w:t>
      </w:r>
      <w:proofErr w:type="spellStart"/>
      <w:r w:rsidRPr="006A387D">
        <w:rPr>
          <w:kern w:val="32"/>
        </w:rPr>
        <w:t>ThermoFisher</w:t>
      </w:r>
      <w:proofErr w:type="spellEnd"/>
      <w:r w:rsidRPr="006A387D">
        <w:rPr>
          <w:kern w:val="32"/>
        </w:rPr>
        <w:t>, UK) at an oil/water mix to DCM ratio of 1:1.  The DCM fraction was removed into acid-washed and dried pre-weighted 500-ml round-bottom flasks and the aqueous phase re-extracted with DCM twice more. Combined DCM extracts were then rotary evaporated to ~2 ml at 40</w:t>
      </w:r>
      <w:r w:rsidRPr="006A387D">
        <w:rPr>
          <w:kern w:val="32"/>
        </w:rPr>
        <w:sym w:font="Symbol" w:char="F0B0"/>
      </w:r>
      <w:r w:rsidRPr="006A387D">
        <w:rPr>
          <w:kern w:val="32"/>
        </w:rPr>
        <w:t xml:space="preserve">C and transferred to amber glass vials and stored at -20 </w:t>
      </w:r>
      <w:r w:rsidRPr="006A387D">
        <w:rPr>
          <w:kern w:val="32"/>
        </w:rPr>
        <w:sym w:font="Symbol" w:char="F0B0"/>
      </w:r>
      <w:r w:rsidRPr="006A387D">
        <w:rPr>
          <w:kern w:val="32"/>
        </w:rPr>
        <w:t>C for subsequent analysis by GC-FID/MS.</w:t>
      </w:r>
    </w:p>
    <w:p w14:paraId="5C7176DE" w14:textId="47EEE44C" w:rsidR="006A387D" w:rsidRPr="006A387D" w:rsidRDefault="006A387D" w:rsidP="006A387D">
      <w:pPr>
        <w:pStyle w:val="SMText"/>
        <w:spacing w:line="360" w:lineRule="auto"/>
        <w:ind w:firstLine="720"/>
        <w:jc w:val="both"/>
        <w:rPr>
          <w:kern w:val="32"/>
        </w:rPr>
      </w:pPr>
      <w:r w:rsidRPr="006A387D">
        <w:rPr>
          <w:kern w:val="32"/>
        </w:rPr>
        <w:t xml:space="preserve">A known aliquot corresponding to ca. 10 mg of total hydrocarbon content was taken from each sample and transferred to a 10 ml vial and dried down using a gentle stream of nitrogen gas. Sample residues were dissolved in a small volume of hexane (~200 µl). A methodological blank (no crude oil) was used to ensure no contamination from any residual hydrocarbons during the analysis, and a sample of the original </w:t>
      </w:r>
      <w:proofErr w:type="spellStart"/>
      <w:r w:rsidRPr="006A387D">
        <w:rPr>
          <w:kern w:val="32"/>
        </w:rPr>
        <w:t>Schiehallion</w:t>
      </w:r>
      <w:proofErr w:type="spellEnd"/>
      <w:r w:rsidRPr="006A387D">
        <w:rPr>
          <w:kern w:val="32"/>
        </w:rPr>
        <w:t xml:space="preserve"> crude oil was analysed as a reference. Total hydrocarbon extracts were separated into two complementary polarity-defined fractions (aliphatic and aromatic) by using so-called </w:t>
      </w:r>
      <w:r w:rsidRPr="006A387D">
        <w:rPr>
          <w:i/>
          <w:iCs/>
          <w:kern w:val="32"/>
        </w:rPr>
        <w:t>flash</w:t>
      </w:r>
      <w:r w:rsidRPr="006A387D">
        <w:rPr>
          <w:kern w:val="32"/>
        </w:rPr>
        <w:t xml:space="preserve"> open-column chromatography over 0.5 g silica gel (0.060 – 0.200mm, 60A) and 0.5 g alumina (aluminium oxide, 50-200</w:t>
      </w:r>
      <w:r w:rsidRPr="006A387D">
        <w:rPr>
          <w:kern w:val="32"/>
        </w:rPr>
        <w:sym w:font="Symbol" w:char="F06D"/>
      </w:r>
      <w:r w:rsidRPr="006A387D">
        <w:rPr>
          <w:kern w:val="32"/>
        </w:rPr>
        <w:t xml:space="preserve">m, 60A) sorbents. Sorbents were pre-extracted with DCM to minimize organic contaminants and then activated at 120 </w:t>
      </w:r>
      <w:r w:rsidRPr="006A387D">
        <w:rPr>
          <w:kern w:val="32"/>
        </w:rPr>
        <w:sym w:font="Symbol" w:char="F0B0"/>
      </w:r>
      <w:r w:rsidRPr="006A387D">
        <w:rPr>
          <w:kern w:val="32"/>
        </w:rPr>
        <w:t xml:space="preserve">C prior to use. Sorbents were introduced to open columns as slurries in hexane. Each column was packed with half the alumina, topped with silica gel, and then alumina again. The column was flushed with at least two bed-volumes of hexane (~4 ml) before the sample, which was dissolved in hexane, was applied to the top of the column. The aliphatic fraction of the total petroleum hydrocarbons (TPH) was eluted with 4 ml of hexane into an organics-free 2 ml glass vial. The aromatic fraction of the TPH was eluted with 4 ml DCM into a separate vial. Elution solvents were dried-down under nitrogen, re-dissolved in hexane (aliphatic fraction) and DCM (aromatic fraction) and transferred to organics-free 300 µl GC/MS borosilicate vial inserts. The samples were dried as before with nitrogen gas. The TPH fractions were then analysed by injecting 1 µl of the hydrocarbon fraction diluted in hexane in the autosampler of a Thermo Trace 1310 GC coupled with Thermo ISQ LT MS and fitted with a </w:t>
      </w:r>
      <w:proofErr w:type="spellStart"/>
      <w:r w:rsidRPr="006A387D">
        <w:rPr>
          <w:kern w:val="32"/>
        </w:rPr>
        <w:t>splitless</w:t>
      </w:r>
      <w:proofErr w:type="spellEnd"/>
      <w:r w:rsidRPr="006A387D">
        <w:rPr>
          <w:kern w:val="32"/>
        </w:rPr>
        <w:t xml:space="preserve"> constant temperature injector (300 </w:t>
      </w:r>
      <w:r w:rsidRPr="006A387D">
        <w:rPr>
          <w:kern w:val="32"/>
        </w:rPr>
        <w:sym w:font="Symbol" w:char="F0B0"/>
      </w:r>
      <w:r w:rsidRPr="006A387D">
        <w:rPr>
          <w:kern w:val="32"/>
        </w:rPr>
        <w:t xml:space="preserve">C), a flame ionisation detector (FID) at 310 </w:t>
      </w:r>
      <w:r w:rsidRPr="006A387D">
        <w:rPr>
          <w:kern w:val="32"/>
        </w:rPr>
        <w:sym w:font="Symbol" w:char="F0B0"/>
      </w:r>
      <w:r w:rsidRPr="006A387D">
        <w:rPr>
          <w:kern w:val="32"/>
        </w:rPr>
        <w:t xml:space="preserve">C, and an HP-5MS capillary column (30m x 0.25mm x 0.2µm; Agilent). </w:t>
      </w:r>
      <w:r w:rsidRPr="006A387D">
        <w:rPr>
          <w:kern w:val="32"/>
        </w:rPr>
        <w:lastRenderedPageBreak/>
        <w:t xml:space="preserve">The column programme was set at 50 </w:t>
      </w:r>
      <w:r w:rsidRPr="006A387D">
        <w:rPr>
          <w:kern w:val="32"/>
        </w:rPr>
        <w:sym w:font="Symbol" w:char="F0B0"/>
      </w:r>
      <w:r w:rsidRPr="006A387D">
        <w:rPr>
          <w:kern w:val="32"/>
        </w:rPr>
        <w:t xml:space="preserve">C for 2 min and 5 </w:t>
      </w:r>
      <w:r w:rsidRPr="006A387D">
        <w:rPr>
          <w:kern w:val="32"/>
        </w:rPr>
        <w:sym w:font="Symbol" w:char="F0B0"/>
      </w:r>
      <w:r w:rsidRPr="006A387D">
        <w:rPr>
          <w:kern w:val="32"/>
        </w:rPr>
        <w:t xml:space="preserve">C/min to 310 </w:t>
      </w:r>
      <w:r w:rsidRPr="006A387D">
        <w:rPr>
          <w:kern w:val="32"/>
        </w:rPr>
        <w:sym w:font="Symbol" w:char="F0B0"/>
      </w:r>
      <w:r w:rsidRPr="006A387D">
        <w:rPr>
          <w:kern w:val="32"/>
        </w:rPr>
        <w:t xml:space="preserve">C for 21 min to a total run time of 75 minutes. Chromatographic data were acquired and processed through </w:t>
      </w:r>
      <w:proofErr w:type="spellStart"/>
      <w:r w:rsidRPr="006A387D">
        <w:rPr>
          <w:kern w:val="32"/>
        </w:rPr>
        <w:t>Chromeleon</w:t>
      </w:r>
      <w:proofErr w:type="spellEnd"/>
      <w:r w:rsidRPr="006A387D">
        <w:rPr>
          <w:kern w:val="32"/>
        </w:rPr>
        <w:t xml:space="preserve"> software (v. 7.2.8; Thermo Fisher). Peak areas of individual C</w:t>
      </w:r>
      <w:r w:rsidRPr="006A387D">
        <w:rPr>
          <w:kern w:val="32"/>
          <w:vertAlign w:val="subscript"/>
        </w:rPr>
        <w:t>12</w:t>
      </w:r>
      <w:r w:rsidRPr="006A387D">
        <w:rPr>
          <w:kern w:val="32"/>
        </w:rPr>
        <w:t xml:space="preserve"> to C</w:t>
      </w:r>
      <w:r w:rsidRPr="006A387D">
        <w:rPr>
          <w:kern w:val="32"/>
          <w:vertAlign w:val="subscript"/>
        </w:rPr>
        <w:t>30</w:t>
      </w:r>
      <w:r w:rsidRPr="006A387D">
        <w:rPr>
          <w:kern w:val="32"/>
        </w:rPr>
        <w:t xml:space="preserve"> </w:t>
      </w:r>
      <w:r w:rsidRPr="006A387D">
        <w:rPr>
          <w:i/>
          <w:iCs/>
          <w:kern w:val="32"/>
        </w:rPr>
        <w:t>n</w:t>
      </w:r>
      <w:r w:rsidRPr="006A387D">
        <w:rPr>
          <w:kern w:val="32"/>
        </w:rPr>
        <w:t xml:space="preserve">-alkanes and the isoprenoids pristane and phytane were calculated. The aromatic hydrocarbons were analysed by GC-MS in full scan mode (50-600 amu at 4 min). </w:t>
      </w:r>
    </w:p>
    <w:p w14:paraId="07E9F7C5" w14:textId="0A87964B" w:rsidR="006A387D" w:rsidRPr="006A387D" w:rsidRDefault="006A387D" w:rsidP="006A387D">
      <w:pPr>
        <w:pStyle w:val="SMText"/>
        <w:spacing w:line="360" w:lineRule="auto"/>
        <w:ind w:firstLine="720"/>
        <w:jc w:val="both"/>
        <w:rPr>
          <w:kern w:val="32"/>
        </w:rPr>
      </w:pPr>
      <w:r w:rsidRPr="006A387D">
        <w:rPr>
          <w:kern w:val="32"/>
        </w:rPr>
        <w:t xml:space="preserve">Peak areas of aliphatic and aromatic hydrocarbon species/groups that were biodegraded after 7 or 28 days were calculated by subtracting the respective hydrocarbon concentrations measured in the control from those of the treatment incubations. Additionally, ratios of </w:t>
      </w:r>
      <w:r w:rsidRPr="006A387D">
        <w:rPr>
          <w:i/>
          <w:iCs/>
          <w:kern w:val="32"/>
        </w:rPr>
        <w:t>n</w:t>
      </w:r>
      <w:r w:rsidRPr="006A387D">
        <w:rPr>
          <w:kern w:val="32"/>
        </w:rPr>
        <w:t>-alkanes to acyclic isoprenoid hydrocarbons (</w:t>
      </w:r>
      <w:r w:rsidRPr="006A387D">
        <w:rPr>
          <w:i/>
          <w:iCs/>
          <w:kern w:val="32"/>
        </w:rPr>
        <w:t>n</w:t>
      </w:r>
      <w:r w:rsidRPr="006A387D">
        <w:rPr>
          <w:kern w:val="32"/>
        </w:rPr>
        <w:t>C</w:t>
      </w:r>
      <w:r w:rsidRPr="006A387D">
        <w:rPr>
          <w:kern w:val="32"/>
          <w:vertAlign w:val="subscript"/>
        </w:rPr>
        <w:t>17</w:t>
      </w:r>
      <w:r w:rsidRPr="006A387D">
        <w:rPr>
          <w:kern w:val="32"/>
        </w:rPr>
        <w:t xml:space="preserve">/pristane and </w:t>
      </w:r>
      <w:r w:rsidRPr="006A387D">
        <w:rPr>
          <w:i/>
          <w:iCs/>
          <w:kern w:val="32"/>
        </w:rPr>
        <w:t>n</w:t>
      </w:r>
      <w:r w:rsidRPr="006A387D">
        <w:rPr>
          <w:kern w:val="32"/>
        </w:rPr>
        <w:t>C</w:t>
      </w:r>
      <w:r w:rsidRPr="006A387D">
        <w:rPr>
          <w:kern w:val="32"/>
          <w:vertAlign w:val="subscript"/>
        </w:rPr>
        <w:t>18</w:t>
      </w:r>
      <w:r w:rsidRPr="006A387D">
        <w:rPr>
          <w:kern w:val="32"/>
        </w:rPr>
        <w:t xml:space="preserve">/phytane) were used as conventional indicators of biological degradation, due to the recalcitrance imparted by the branched structure of the isoprenoid biomarkers </w:t>
      </w:r>
      <w:r w:rsidRPr="006A387D">
        <w:rPr>
          <w:kern w:val="32"/>
        </w:rPr>
        <w:fldChar w:fldCharType="begin" w:fldLock="1"/>
      </w:r>
      <w:r w:rsidR="00F6230B">
        <w:rPr>
          <w:kern w:val="32"/>
        </w:rPr>
        <w:instrText>ADDIN CSL_CITATION {"citationItems":[{"id":"ITEM-1","itemData":{"DOI":"10.1016/J.ORGGEOCHEM.2013.10.010","ISSN":"0146-6380","abstract":"Isoprenoids, a diverse class of compounds synthesized by all three domains of life, comprise many of the biomarker compounds used in paleoenvironmental and paleoecological reconstruction of Earth history. These biomarkers include hopanoids, sterols and archaeal membrane lipids. While changes in hydrocarbon profiles in anoxic sediments and oilfields indicate that anaerobic microbial metabolism is involved in the disappearance or alteration of isoprenoids, direct links between specific compounds and their microbial degraders are lacking. Here we describe pristane (Pr) and phytane (Ph) degradation associated with NO3- reduction. We confirmed isoprenoid conversion to CO2 using 13C-labeled Ph. After 120days, dissolved inorganic carbon (DIC) produced in incubations grown with 13C-labeled Ph had a δ13C value of +76.7±11.9‰, significantly higher than values for incubations with unlabeled Ph (−35.7±2.0‰) and those without an added carbon substrate (−30.0±2.1‰). Additional incubations, displayed NO3- reduction after amendment with archaeal diphytanyl glycerol diether (DGD) core lipids, but not in those amended with glycerol diphytanyl glycerol tetraether (GDGT) core lipids. Both 16S rRNA clone libraries and whole cell rRNA-targeted fluorescent in situ hybridization (FISH) indicated that the likely Pr and Ph degrading Bacteria were Gamma proteobacteria, with&gt;99% similarity to Pseudomonas stutzeri.","author":[{"dropping-particle":"","family":"Dawson","given":"Katherine S.","non-dropping-particle":"","parse-names":false,"suffix":""},{"dropping-particle":"","family":"Schaperdoth","given":"Irene","non-dropping-particle":"","parse-names":false,"suffix":""},{"dropping-particle":"","family":"Freeman","given":"Katherine H.","non-dropping-particle":"","parse-names":false,"suffix":""},{"dropping-particle":"","family":"Macalady","given":"Jennifer L.","non-dropping-particle":"","parse-names":false,"suffix":""}],"container-title":"Organic Geochemistry","id":"ITEM-1","issued":{"date-parts":[["2013","12","1"]]},"page":"118-126","publisher":"Pergamon","title":"Anaerobic biodegradation of the isoprenoid biomarkers pristane and phytane","type":"article-journal","volume":"65"},"uris":["http://www.mendeley.com/documents/?uuid=11cdf009-37d8-326d-977f-f35f6656491c"]}],"mendeley":{"formattedCitation":"(22)","plainTextFormattedCitation":"(22)","previouslyFormattedCitation":"(21)"},"properties":{"noteIndex":0},"schema":"https://github.com/citation-style-language/schema/raw/master/csl-citation.json"}</w:instrText>
      </w:r>
      <w:r w:rsidRPr="006A387D">
        <w:rPr>
          <w:kern w:val="32"/>
        </w:rPr>
        <w:fldChar w:fldCharType="separate"/>
      </w:r>
      <w:r w:rsidR="00F6230B" w:rsidRPr="00F6230B">
        <w:rPr>
          <w:noProof/>
          <w:kern w:val="32"/>
        </w:rPr>
        <w:t>(22)</w:t>
      </w:r>
      <w:r w:rsidRPr="006A387D">
        <w:rPr>
          <w:kern w:val="32"/>
        </w:rPr>
        <w:fldChar w:fldCharType="end"/>
      </w:r>
      <w:r w:rsidRPr="006A387D">
        <w:rPr>
          <w:kern w:val="32"/>
        </w:rPr>
        <w:t xml:space="preserve">. Similarly, for the aromatic hydrocarbons, four ratios indicative of biodegradation were determined (phenanthrene/9-methylphenanthrene, 3+2-methylphenanthrene/9+1-methylphenanthrene, 3-methylphenanthrene/9-methylphenanthrene) </w:t>
      </w:r>
      <w:r w:rsidRPr="006A387D">
        <w:rPr>
          <w:kern w:val="32"/>
        </w:rPr>
        <w:fldChar w:fldCharType="begin" w:fldLock="1"/>
      </w:r>
      <w:r w:rsidR="00F6230B">
        <w:rPr>
          <w:kern w:val="32"/>
        </w:rPr>
        <w:instrText>ADDIN CSL_CITATION {"citationItems":[{"id":"ITEM-1","itemData":{"DOI":"10.1016/J.ORGGEOCHEM.2013.10.010","ISSN":"0146-6380","abstract":"Isoprenoids, a diverse class of compounds synthesized by all three domains of life, comprise many of the biomarker compounds used in paleoenvironmental and paleoecological reconstruction of Earth history. These biomarkers include hopanoids, sterols and archaeal membrane lipids. While changes in hydrocarbon profiles in anoxic sediments and oilfields indicate that anaerobic microbial metabolism is involved in the disappearance or alteration of isoprenoids, direct links between specific compounds and their microbial degraders are lacking. Here we describe pristane (Pr) and phytane (Ph) degradation associated with NO3- reduction. We confirmed isoprenoid conversion to CO2 using 13C-labeled Ph. After 120days, dissolved inorganic carbon (DIC) produced in incubations grown with 13C-labeled Ph had a δ13C value of +76.7±11.9‰, significantly higher than values for incubations with unlabeled Ph (−35.7±2.0‰) and those without an added carbon substrate (−30.0±2.1‰). Additional incubations, displayed NO3- reduction after amendment with archaeal diphytanyl glycerol diether (DGD) core lipids, but not in those amended with glycerol diphytanyl glycerol tetraether (GDGT) core lipids. Both 16S rRNA clone libraries and whole cell rRNA-targeted fluorescent in situ hybridization (FISH) indicated that the likely Pr and Ph degrading Bacteria were Gamma proteobacteria, with&gt;99% similarity to Pseudomonas stutzeri.","author":[{"dropping-particle":"","family":"Dawson","given":"Katherine S.","non-dropping-particle":"","parse-names":false,"suffix":""},{"dropping-particle":"","family":"Schaperdoth","given":"Irene","non-dropping-particle":"","parse-names":false,"suffix":""},{"dropping-particle":"","family":"Freeman","given":"Katherine H.","non-dropping-particle":"","parse-names":false,"suffix":""},{"dropping-particle":"","family":"Macalady","given":"Jennifer L.","non-dropping-particle":"","parse-names":false,"suffix":""}],"container-title":"Organic Geochemistry","id":"ITEM-1","issued":{"date-parts":[["2013","12","1"]]},"page":"118-126","publisher":"Pergamon","title":"Anaerobic biodegradation of the isoprenoid biomarkers pristane and phytane","type":"article-journal","volume":"65"},"uris":["http://www.mendeley.com/documents/?uuid=11cdf009-37d8-326d-977f-f35f6656491c"]}],"mendeley":{"formattedCitation":"(22)","plainTextFormattedCitation":"(22)","previouslyFormattedCitation":"(21)"},"properties":{"noteIndex":0},"schema":"https://github.com/citation-style-language/schema/raw/master/csl-citation.json"}</w:instrText>
      </w:r>
      <w:r w:rsidRPr="006A387D">
        <w:rPr>
          <w:kern w:val="32"/>
        </w:rPr>
        <w:fldChar w:fldCharType="separate"/>
      </w:r>
      <w:r w:rsidR="00F6230B" w:rsidRPr="00F6230B">
        <w:rPr>
          <w:noProof/>
          <w:kern w:val="32"/>
        </w:rPr>
        <w:t>(22)</w:t>
      </w:r>
      <w:r w:rsidRPr="006A387D">
        <w:rPr>
          <w:kern w:val="32"/>
        </w:rPr>
        <w:fldChar w:fldCharType="end"/>
      </w:r>
      <w:r w:rsidRPr="006A387D">
        <w:rPr>
          <w:kern w:val="32"/>
        </w:rPr>
        <w:t xml:space="preserve">. Two-way ANOVA and </w:t>
      </w:r>
      <w:r w:rsidRPr="006A387D">
        <w:rPr>
          <w:i/>
          <w:iCs/>
          <w:kern w:val="32"/>
        </w:rPr>
        <w:t>post-hoc</w:t>
      </w:r>
      <w:r w:rsidRPr="006A387D">
        <w:rPr>
          <w:kern w:val="32"/>
        </w:rPr>
        <w:t xml:space="preserve"> Tukey tests were performed to test for significant differences in the degradation of the hydrocarbons analysed between the treatments.</w:t>
      </w:r>
    </w:p>
    <w:p w14:paraId="39FA33D3" w14:textId="77777777" w:rsidR="002535F2" w:rsidRDefault="002535F2" w:rsidP="00C07BFC">
      <w:pPr>
        <w:rPr>
          <w:rFonts w:ascii="Times New Roman" w:hAnsi="Times New Roman" w:cs="Times New Roman"/>
          <w:b/>
          <w:bCs/>
          <w:sz w:val="28"/>
          <w:szCs w:val="28"/>
        </w:rPr>
      </w:pPr>
    </w:p>
    <w:p w14:paraId="2A211F36" w14:textId="4F6E975F" w:rsidR="00C07BFC" w:rsidRPr="00BE1FB8" w:rsidRDefault="002535F2" w:rsidP="003B6ABE">
      <w:pPr>
        <w:rPr>
          <w:rFonts w:ascii="Times New Roman" w:hAnsi="Times New Roman" w:cs="Times New Roman"/>
          <w:b/>
          <w:bCs/>
          <w:sz w:val="28"/>
          <w:szCs w:val="28"/>
        </w:rPr>
      </w:pPr>
      <w:r w:rsidRPr="002535F2">
        <w:rPr>
          <w:rFonts w:ascii="Times New Roman" w:hAnsi="Times New Roman" w:cs="Times New Roman"/>
          <w:b/>
          <w:bCs/>
          <w:sz w:val="28"/>
          <w:szCs w:val="28"/>
        </w:rPr>
        <w:t>References</w:t>
      </w:r>
    </w:p>
    <w:p w14:paraId="132C5795" w14:textId="64F022D6" w:rsidR="00F6230B" w:rsidRPr="00F6230B" w:rsidRDefault="00081713"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081713">
        <w:rPr>
          <w:rFonts w:ascii="Times New Roman" w:hAnsi="Times New Roman" w:cs="Times New Roman"/>
        </w:rPr>
        <w:fldChar w:fldCharType="begin" w:fldLock="1"/>
      </w:r>
      <w:r w:rsidRPr="00081713">
        <w:rPr>
          <w:rFonts w:ascii="Times New Roman" w:hAnsi="Times New Roman" w:cs="Times New Roman"/>
        </w:rPr>
        <w:instrText xml:space="preserve">ADDIN Mendeley Bibliography CSL_BIBLIOGRAPHY </w:instrText>
      </w:r>
      <w:r w:rsidRPr="00081713">
        <w:rPr>
          <w:rFonts w:ascii="Times New Roman" w:hAnsi="Times New Roman" w:cs="Times New Roman"/>
        </w:rPr>
        <w:fldChar w:fldCharType="separate"/>
      </w:r>
      <w:r w:rsidR="00F6230B" w:rsidRPr="00F6230B">
        <w:rPr>
          <w:rFonts w:ascii="Times New Roman" w:hAnsi="Times New Roman" w:cs="Times New Roman"/>
          <w:noProof/>
        </w:rPr>
        <w:t xml:space="preserve">1. </w:t>
      </w:r>
      <w:r w:rsidR="00F6230B" w:rsidRPr="00F6230B">
        <w:rPr>
          <w:rFonts w:ascii="Times New Roman" w:hAnsi="Times New Roman" w:cs="Times New Roman"/>
          <w:noProof/>
        </w:rPr>
        <w:tab/>
        <w:t xml:space="preserve">Turrell WR, Slesser G, Adams RD, Payne R, Gillibrand PA. Decadal variability in the composition of Faroe Shetland Channel bottom water. Deep-Sea Research Part I: Oceanographic Research Papers. 1999;46(1):1–25. </w:t>
      </w:r>
    </w:p>
    <w:p w14:paraId="2728A0CF"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2. </w:t>
      </w:r>
      <w:r w:rsidRPr="00F6230B">
        <w:rPr>
          <w:rFonts w:ascii="Times New Roman" w:hAnsi="Times New Roman" w:cs="Times New Roman"/>
          <w:noProof/>
        </w:rPr>
        <w:tab/>
        <w:t xml:space="preserve">Tillett D, Neilan BA. Xanthogenate nucleic acid isolation from cultured and environmental cyanobacteria. Journal of Phycology. 2000;36(1):251–8. </w:t>
      </w:r>
    </w:p>
    <w:p w14:paraId="5CADE915"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3. </w:t>
      </w:r>
      <w:r w:rsidRPr="00F6230B">
        <w:rPr>
          <w:rFonts w:ascii="Times New Roman" w:hAnsi="Times New Roman" w:cs="Times New Roman"/>
          <w:noProof/>
        </w:rPr>
        <w:tab/>
        <w:t xml:space="preserve">Berry D, Ben Mahfoudh K, Wagner M, Loy A. Barcoded primers used in multiplex amplicon pyrosequencing bias amplification. Applied and environmental microbiology. 2011 Nov 1;77(21):7846–9. </w:t>
      </w:r>
    </w:p>
    <w:p w14:paraId="16D3BA33"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4. </w:t>
      </w:r>
      <w:r w:rsidRPr="00F6230B">
        <w:rPr>
          <w:rFonts w:ascii="Times New Roman" w:hAnsi="Times New Roman" w:cs="Times New Roman"/>
          <w:noProof/>
        </w:rPr>
        <w:tab/>
        <w:t xml:space="preserve">Galkiewicz JP, Kellogg CA. Cross-Kingdom Amplification Using Bacteria-Specific Primers: Complications for Studies of Coral Microbial Ecology. APPLIED AND ENVIRONMENTAL MICROBIOLOGY. 2008;74(24):7828–31. </w:t>
      </w:r>
    </w:p>
    <w:p w14:paraId="539AFBC3"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5. </w:t>
      </w:r>
      <w:r w:rsidRPr="00F6230B">
        <w:rPr>
          <w:rFonts w:ascii="Times New Roman" w:hAnsi="Times New Roman" w:cs="Times New Roman"/>
          <w:noProof/>
        </w:rPr>
        <w:tab/>
        <w:t xml:space="preserve">Chirino B, Strahsburger E, Agulló L, González M, Seeger M. Genomic and Functional Analyses of the 2-Aminophenol Catabolic Pathway and Partial Conversion of Its Substrate into Picolinic Acid in Burkholderia xenovorans LB400. PLoS ONE. </w:t>
      </w:r>
      <w:r w:rsidRPr="00F6230B">
        <w:rPr>
          <w:rFonts w:ascii="Times New Roman" w:hAnsi="Times New Roman" w:cs="Times New Roman"/>
          <w:noProof/>
        </w:rPr>
        <w:lastRenderedPageBreak/>
        <w:t xml:space="preserve">2013;8(10). </w:t>
      </w:r>
    </w:p>
    <w:p w14:paraId="7BB93B62"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6. </w:t>
      </w:r>
      <w:r w:rsidRPr="00F6230B">
        <w:rPr>
          <w:rFonts w:ascii="Times New Roman" w:hAnsi="Times New Roman" w:cs="Times New Roman"/>
          <w:noProof/>
        </w:rPr>
        <w:tab/>
        <w:t xml:space="preserve">Parada AE, Needham DM, Fuhrman JA. Every base matters: Assessing small subunit rRNA primers for marine microbiomes with mock communities, time series and global field samples. Environmental Microbiology. 2016;18(5):1403–14. </w:t>
      </w:r>
    </w:p>
    <w:p w14:paraId="0C280CC0"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7. </w:t>
      </w:r>
      <w:r w:rsidRPr="00F6230B">
        <w:rPr>
          <w:rFonts w:ascii="Times New Roman" w:hAnsi="Times New Roman" w:cs="Times New Roman"/>
          <w:noProof/>
        </w:rPr>
        <w:tab/>
        <w:t xml:space="preserve">Apprill A, Mcnally S, Parsons R, Weber L. Minor revision to V4 region SSU rRNA 806R gene primer greatly increases detection of SAR11 bacterioplankton. Aquatic Microbial Ecology. 2015;75(2):129–37. </w:t>
      </w:r>
    </w:p>
    <w:p w14:paraId="777DD5D2"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8. </w:t>
      </w:r>
      <w:r w:rsidRPr="00F6230B">
        <w:rPr>
          <w:rFonts w:ascii="Times New Roman" w:hAnsi="Times New Roman" w:cs="Times New Roman"/>
          <w:noProof/>
        </w:rPr>
        <w:tab/>
        <w:t xml:space="preserve">Caporaso JG, Lauber CL, Walters WA, Berg-Lyons D, Lozupone CA, Turnbaugh PJ, et al. Global patterns of 16S rRNA diversity at a depth of millions of sequences per sample. PNAS. 2011;108(Supplement_1):4516–22. </w:t>
      </w:r>
    </w:p>
    <w:p w14:paraId="3180E2B5"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9. </w:t>
      </w:r>
      <w:r w:rsidRPr="00F6230B">
        <w:rPr>
          <w:rFonts w:ascii="Times New Roman" w:hAnsi="Times New Roman" w:cs="Times New Roman"/>
          <w:noProof/>
        </w:rPr>
        <w:tab/>
        <w:t xml:space="preserve">Oksanen AJ, Blanchet FG, Friendly M, Kindt R, Legendre P, Mcglinn D, et al. Community ecology package ‘ vegan ’. R package version 2.5-6. 2019; </w:t>
      </w:r>
    </w:p>
    <w:p w14:paraId="388618B0"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10. </w:t>
      </w:r>
      <w:r w:rsidRPr="00F6230B">
        <w:rPr>
          <w:rFonts w:ascii="Times New Roman" w:hAnsi="Times New Roman" w:cs="Times New Roman"/>
          <w:noProof/>
        </w:rPr>
        <w:tab/>
        <w:t xml:space="preserve">Love MI, Huber W, Anders S. Moderated estimation of fold change and dispersion for RNA-seq data with DESeq2. Genome Biology. 2014;15(12):1–21. </w:t>
      </w:r>
    </w:p>
    <w:p w14:paraId="0B6DF71A"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11. </w:t>
      </w:r>
      <w:r w:rsidRPr="00F6230B">
        <w:rPr>
          <w:rFonts w:ascii="Times New Roman" w:hAnsi="Times New Roman" w:cs="Times New Roman"/>
          <w:noProof/>
        </w:rPr>
        <w:tab/>
        <w:t xml:space="preserve">Dray AS, Blanchet G, Borcard D, Guenard G, Jombart T, Larocque G, et al. Package ‘adespatial’. R package version 0.0-8. CRAN; 2017. </w:t>
      </w:r>
    </w:p>
    <w:p w14:paraId="14AD47C9"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12. </w:t>
      </w:r>
      <w:r w:rsidRPr="00F6230B">
        <w:rPr>
          <w:rFonts w:ascii="Times New Roman" w:hAnsi="Times New Roman" w:cs="Times New Roman"/>
          <w:noProof/>
        </w:rPr>
        <w:tab/>
        <w:t xml:space="preserve">Ijaz UZ, Sivaloganathan L, McKenna A, Richmond A, Kelly C, Linton M, et al. Comprehensive longitudinal microbiome analysis of the chicken cecum reveals a shift from competitive to environmental drivers and a window of opportunity for Campylobacter. Frontiers in Microbiology. 2018;9(OCT):1–14. </w:t>
      </w:r>
    </w:p>
    <w:p w14:paraId="56A7AB5B"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13. </w:t>
      </w:r>
      <w:r w:rsidRPr="00F6230B">
        <w:rPr>
          <w:rFonts w:ascii="Times New Roman" w:hAnsi="Times New Roman" w:cs="Times New Roman"/>
          <w:noProof/>
        </w:rPr>
        <w:tab/>
        <w:t xml:space="preserve">Stegen JC, Lin X, Konopka AE, Fredrickson JK. Stochastic and deterministic assembly processes in subsurface microbial communities. ISME Journal. 2012;6(9):1653–64. </w:t>
      </w:r>
    </w:p>
    <w:p w14:paraId="7965AAE1"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14. </w:t>
      </w:r>
      <w:r w:rsidRPr="00F6230B">
        <w:rPr>
          <w:rFonts w:ascii="Times New Roman" w:hAnsi="Times New Roman" w:cs="Times New Roman"/>
          <w:noProof/>
        </w:rPr>
        <w:tab/>
        <w:t xml:space="preserve">Kembel SW, Cowan PD, Helmus MR, Cornwell WK, Morlon H, Ackerly DD, et al. Picante: R tools for integrating phylogenies and ecology. Bioinformatics. 2010;26(11):1463–4. </w:t>
      </w:r>
    </w:p>
    <w:p w14:paraId="4C597E5C"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15. </w:t>
      </w:r>
      <w:r w:rsidRPr="00F6230B">
        <w:rPr>
          <w:rFonts w:ascii="Times New Roman" w:hAnsi="Times New Roman" w:cs="Times New Roman"/>
          <w:noProof/>
        </w:rPr>
        <w:tab/>
        <w:t xml:space="preserve">Kassambara A. Machine Learning Essentials: Practical Guide in R. STHDA; 2018. 211 p. </w:t>
      </w:r>
    </w:p>
    <w:p w14:paraId="20517CBF"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16. </w:t>
      </w:r>
      <w:r w:rsidRPr="00F6230B">
        <w:rPr>
          <w:rFonts w:ascii="Times New Roman" w:hAnsi="Times New Roman" w:cs="Times New Roman"/>
          <w:noProof/>
        </w:rPr>
        <w:tab/>
        <w:t xml:space="preserve">Lumley T. Leaps: Regression subset selection. R package version 3.1. 2020; </w:t>
      </w:r>
    </w:p>
    <w:p w14:paraId="712B5F62"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17. </w:t>
      </w:r>
      <w:r w:rsidRPr="00F6230B">
        <w:rPr>
          <w:rFonts w:ascii="Times New Roman" w:hAnsi="Times New Roman" w:cs="Times New Roman"/>
          <w:noProof/>
        </w:rPr>
        <w:tab/>
        <w:t xml:space="preserve">Kuhn M. caret Package. Journal Of Statistical Software. 2008;28(5):1–26. </w:t>
      </w:r>
    </w:p>
    <w:p w14:paraId="27F7350E"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18. </w:t>
      </w:r>
      <w:r w:rsidRPr="00F6230B">
        <w:rPr>
          <w:rFonts w:ascii="Times New Roman" w:hAnsi="Times New Roman" w:cs="Times New Roman"/>
          <w:noProof/>
        </w:rPr>
        <w:tab/>
        <w:t xml:space="preserve">Lüdecke D. sjPlot - Data visualization for statistics in social science. Zenodo; 2014. p. </w:t>
      </w:r>
      <w:r w:rsidRPr="00F6230B">
        <w:rPr>
          <w:rFonts w:ascii="Times New Roman" w:hAnsi="Times New Roman" w:cs="Times New Roman"/>
          <w:noProof/>
        </w:rPr>
        <w:lastRenderedPageBreak/>
        <w:t xml:space="preserve">2016. </w:t>
      </w:r>
    </w:p>
    <w:p w14:paraId="51BB16B4"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19. </w:t>
      </w:r>
      <w:r w:rsidRPr="00F6230B">
        <w:rPr>
          <w:rFonts w:ascii="Times New Roman" w:hAnsi="Times New Roman" w:cs="Times New Roman"/>
          <w:noProof/>
        </w:rPr>
        <w:tab/>
        <w:t xml:space="preserve">Caspi R, Billington R, Keseler IM, Kothari A, Krummenacker M, Midford PE, et al. The MetaCyc database of metabolic pathways and enzymes-a 2019 update. Nucleic Acids Research. 2019;48:445–53. </w:t>
      </w:r>
    </w:p>
    <w:p w14:paraId="1162CF36"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20. </w:t>
      </w:r>
      <w:r w:rsidRPr="00F6230B">
        <w:rPr>
          <w:rFonts w:ascii="Times New Roman" w:hAnsi="Times New Roman" w:cs="Times New Roman"/>
          <w:noProof/>
        </w:rPr>
        <w:tab/>
        <w:t xml:space="preserve">Eng A, Borenstein E. Taxa-function robustness in microbial communities. Microbiome. 2018;6(45):19. </w:t>
      </w:r>
    </w:p>
    <w:p w14:paraId="16B3F99A"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21. </w:t>
      </w:r>
      <w:r w:rsidRPr="00F6230B">
        <w:rPr>
          <w:rFonts w:ascii="Times New Roman" w:hAnsi="Times New Roman" w:cs="Times New Roman"/>
          <w:noProof/>
        </w:rPr>
        <w:tab/>
        <w:t xml:space="preserve">DeSantis TZ, Hugenholtz P, Larsen N, Rojas M, Brodie EL, Keller K, et al. Greengenes, a chimera-checked 16S rRNA gene database and workbench compatible with ARB. Applied and environmental microbiology. 2006 Jul 1;72(7):5069–72. </w:t>
      </w:r>
    </w:p>
    <w:p w14:paraId="117B3827"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22. </w:t>
      </w:r>
      <w:r w:rsidRPr="00F6230B">
        <w:rPr>
          <w:rFonts w:ascii="Times New Roman" w:hAnsi="Times New Roman" w:cs="Times New Roman"/>
          <w:noProof/>
        </w:rPr>
        <w:tab/>
        <w:t xml:space="preserve">Dawson KS, Schaperdoth I, Freeman KH, Macalady JL. Anaerobic biodegradation of the isoprenoid biomarkers pristane and phytane. Organic Geochemistry. 2013 Dec 1;65:118–26. </w:t>
      </w:r>
    </w:p>
    <w:p w14:paraId="3F25F447" w14:textId="77777777" w:rsidR="00F6230B" w:rsidRPr="00F6230B" w:rsidRDefault="00F6230B" w:rsidP="005A1F61">
      <w:pPr>
        <w:widowControl w:val="0"/>
        <w:autoSpaceDE w:val="0"/>
        <w:autoSpaceDN w:val="0"/>
        <w:adjustRightInd w:val="0"/>
        <w:spacing w:before="120" w:after="120" w:line="360" w:lineRule="auto"/>
        <w:ind w:left="640" w:hanging="640"/>
        <w:jc w:val="both"/>
        <w:rPr>
          <w:rFonts w:ascii="Times New Roman" w:hAnsi="Times New Roman" w:cs="Times New Roman"/>
          <w:noProof/>
        </w:rPr>
      </w:pPr>
      <w:r w:rsidRPr="00F6230B">
        <w:rPr>
          <w:rFonts w:ascii="Times New Roman" w:hAnsi="Times New Roman" w:cs="Times New Roman"/>
          <w:noProof/>
        </w:rPr>
        <w:t xml:space="preserve">23. </w:t>
      </w:r>
      <w:r w:rsidRPr="00F6230B">
        <w:rPr>
          <w:rFonts w:ascii="Times New Roman" w:hAnsi="Times New Roman" w:cs="Times New Roman"/>
          <w:noProof/>
        </w:rPr>
        <w:tab/>
        <w:t xml:space="preserve">Chong J, Liu P, Zhou G, Xia J. Using MicrobiomeAnalyst for comprehensive statistical, functional, and meta-analysis of microbiome data. Nature Protocols. 2020 Mar 15;15(3):799–821. </w:t>
      </w:r>
    </w:p>
    <w:p w14:paraId="57C216A6" w14:textId="2E1925E8" w:rsidR="00944B21" w:rsidRPr="00081713" w:rsidRDefault="00081713" w:rsidP="005A1F61">
      <w:pPr>
        <w:widowControl w:val="0"/>
        <w:autoSpaceDE w:val="0"/>
        <w:autoSpaceDN w:val="0"/>
        <w:adjustRightInd w:val="0"/>
        <w:spacing w:before="120" w:after="120" w:line="360" w:lineRule="auto"/>
        <w:ind w:left="640" w:hanging="640"/>
        <w:jc w:val="both"/>
      </w:pPr>
      <w:r w:rsidRPr="00081713">
        <w:rPr>
          <w:rFonts w:ascii="Times New Roman" w:hAnsi="Times New Roman" w:cs="Times New Roman"/>
        </w:rPr>
        <w:fldChar w:fldCharType="end"/>
      </w:r>
    </w:p>
    <w:sectPr w:rsidR="00944B21" w:rsidRPr="00081713" w:rsidSect="00BE1FB8">
      <w:footerReference w:type="even" r:id="rId9"/>
      <w:footerReference w:type="default" r:id="rId10"/>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0FA4" w14:textId="77777777" w:rsidR="000B741C" w:rsidRDefault="000B741C" w:rsidP="00D96D78">
      <w:r>
        <w:separator/>
      </w:r>
    </w:p>
  </w:endnote>
  <w:endnote w:type="continuationSeparator" w:id="0">
    <w:p w14:paraId="19C1C231" w14:textId="77777777" w:rsidR="000B741C" w:rsidRDefault="000B741C" w:rsidP="00D9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6767324"/>
      <w:docPartObj>
        <w:docPartGallery w:val="Page Numbers (Bottom of Page)"/>
        <w:docPartUnique/>
      </w:docPartObj>
    </w:sdtPr>
    <w:sdtEndPr>
      <w:rPr>
        <w:rStyle w:val="PageNumber"/>
      </w:rPr>
    </w:sdtEndPr>
    <w:sdtContent>
      <w:p w14:paraId="7D6A283B" w14:textId="5E33754E" w:rsidR="005B6F8D" w:rsidRDefault="005B6F8D" w:rsidP="00BE1F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309252" w14:textId="77777777" w:rsidR="005B6F8D" w:rsidRDefault="005B6F8D" w:rsidP="00D96D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9138182"/>
      <w:docPartObj>
        <w:docPartGallery w:val="Page Numbers (Bottom of Page)"/>
        <w:docPartUnique/>
      </w:docPartObj>
    </w:sdtPr>
    <w:sdtEndPr>
      <w:rPr>
        <w:rStyle w:val="PageNumber"/>
      </w:rPr>
    </w:sdtEndPr>
    <w:sdtContent>
      <w:p w14:paraId="58CC2943" w14:textId="602EDC54" w:rsidR="005B6F8D" w:rsidRDefault="005B6F8D" w:rsidP="00BE1F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A70088" w14:textId="77777777" w:rsidR="005B6F8D" w:rsidRDefault="005B6F8D" w:rsidP="00D96D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4B1E" w14:textId="77777777" w:rsidR="000B741C" w:rsidRDefault="000B741C" w:rsidP="00D96D78">
      <w:r>
        <w:separator/>
      </w:r>
    </w:p>
  </w:footnote>
  <w:footnote w:type="continuationSeparator" w:id="0">
    <w:p w14:paraId="2054035C" w14:textId="77777777" w:rsidR="000B741C" w:rsidRDefault="000B741C" w:rsidP="00D96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A56"/>
    <w:multiLevelType w:val="hybridMultilevel"/>
    <w:tmpl w:val="AECC4D68"/>
    <w:lvl w:ilvl="0" w:tplc="CD26CA4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592ACD"/>
    <w:multiLevelType w:val="hybridMultilevel"/>
    <w:tmpl w:val="6BE6C65A"/>
    <w:lvl w:ilvl="0" w:tplc="DCB48CD6">
      <w:start w:val="1"/>
      <w:numFmt w:val="bullet"/>
      <w:lvlText w:val=""/>
      <w:lvlJc w:val="left"/>
      <w:pPr>
        <w:ind w:left="1000" w:hanging="360"/>
      </w:pPr>
      <w:rPr>
        <w:rFonts w:ascii="Symbol" w:eastAsiaTheme="minorHAnsi" w:hAnsi="Symbol" w:cs="Times New Roman"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cs="Wingdings" w:hint="default"/>
      </w:rPr>
    </w:lvl>
    <w:lvl w:ilvl="3" w:tplc="08090001" w:tentative="1">
      <w:start w:val="1"/>
      <w:numFmt w:val="bullet"/>
      <w:lvlText w:val=""/>
      <w:lvlJc w:val="left"/>
      <w:pPr>
        <w:ind w:left="3160" w:hanging="360"/>
      </w:pPr>
      <w:rPr>
        <w:rFonts w:ascii="Symbol" w:hAnsi="Symbol" w:cs="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cs="Wingdings" w:hint="default"/>
      </w:rPr>
    </w:lvl>
    <w:lvl w:ilvl="6" w:tplc="08090001" w:tentative="1">
      <w:start w:val="1"/>
      <w:numFmt w:val="bullet"/>
      <w:lvlText w:val=""/>
      <w:lvlJc w:val="left"/>
      <w:pPr>
        <w:ind w:left="5320" w:hanging="360"/>
      </w:pPr>
      <w:rPr>
        <w:rFonts w:ascii="Symbol" w:hAnsi="Symbol" w:cs="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cs="Wingdings" w:hint="default"/>
      </w:rPr>
    </w:lvl>
  </w:abstractNum>
  <w:abstractNum w:abstractNumId="2" w15:restartNumberingAfterBreak="0">
    <w:nsid w:val="750C1724"/>
    <w:multiLevelType w:val="hybridMultilevel"/>
    <w:tmpl w:val="EDA8CF02"/>
    <w:lvl w:ilvl="0" w:tplc="80CEDCE6">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9D"/>
    <w:rsid w:val="000579C7"/>
    <w:rsid w:val="00063783"/>
    <w:rsid w:val="00081713"/>
    <w:rsid w:val="000B741C"/>
    <w:rsid w:val="000B77D2"/>
    <w:rsid w:val="000E7CCD"/>
    <w:rsid w:val="000F7A2F"/>
    <w:rsid w:val="00112A77"/>
    <w:rsid w:val="00117568"/>
    <w:rsid w:val="001276E7"/>
    <w:rsid w:val="00145C69"/>
    <w:rsid w:val="001514AF"/>
    <w:rsid w:val="00156270"/>
    <w:rsid w:val="0015657A"/>
    <w:rsid w:val="00171E33"/>
    <w:rsid w:val="00174E88"/>
    <w:rsid w:val="00180409"/>
    <w:rsid w:val="0018735D"/>
    <w:rsid w:val="001B4D99"/>
    <w:rsid w:val="001C5929"/>
    <w:rsid w:val="001E76F9"/>
    <w:rsid w:val="001F704C"/>
    <w:rsid w:val="001F731E"/>
    <w:rsid w:val="00234F5C"/>
    <w:rsid w:val="00235E29"/>
    <w:rsid w:val="00244BA3"/>
    <w:rsid w:val="00247739"/>
    <w:rsid w:val="002535F2"/>
    <w:rsid w:val="00281C9E"/>
    <w:rsid w:val="0029487F"/>
    <w:rsid w:val="00296C09"/>
    <w:rsid w:val="002D4250"/>
    <w:rsid w:val="002D7BCD"/>
    <w:rsid w:val="002E0C76"/>
    <w:rsid w:val="002E74A7"/>
    <w:rsid w:val="002F27D1"/>
    <w:rsid w:val="002F3B7A"/>
    <w:rsid w:val="002F5F50"/>
    <w:rsid w:val="003029A4"/>
    <w:rsid w:val="00304F3D"/>
    <w:rsid w:val="003329EE"/>
    <w:rsid w:val="00341DE6"/>
    <w:rsid w:val="00397BE9"/>
    <w:rsid w:val="003B6ABE"/>
    <w:rsid w:val="003D3B83"/>
    <w:rsid w:val="003E3FA1"/>
    <w:rsid w:val="003F6F45"/>
    <w:rsid w:val="0045352E"/>
    <w:rsid w:val="00456AFC"/>
    <w:rsid w:val="00460635"/>
    <w:rsid w:val="00482425"/>
    <w:rsid w:val="00487530"/>
    <w:rsid w:val="004969FD"/>
    <w:rsid w:val="004A2050"/>
    <w:rsid w:val="00525272"/>
    <w:rsid w:val="00531C79"/>
    <w:rsid w:val="0053738C"/>
    <w:rsid w:val="00592829"/>
    <w:rsid w:val="005A1F61"/>
    <w:rsid w:val="005B1197"/>
    <w:rsid w:val="005B6F8D"/>
    <w:rsid w:val="005E1D9D"/>
    <w:rsid w:val="00615C2E"/>
    <w:rsid w:val="006346B6"/>
    <w:rsid w:val="00685DCB"/>
    <w:rsid w:val="00694026"/>
    <w:rsid w:val="006A387D"/>
    <w:rsid w:val="00702910"/>
    <w:rsid w:val="00704EB3"/>
    <w:rsid w:val="0070515D"/>
    <w:rsid w:val="00713AC7"/>
    <w:rsid w:val="00717DBF"/>
    <w:rsid w:val="007216DA"/>
    <w:rsid w:val="007429CC"/>
    <w:rsid w:val="0076354F"/>
    <w:rsid w:val="007C41EB"/>
    <w:rsid w:val="007E3F0A"/>
    <w:rsid w:val="00804EAF"/>
    <w:rsid w:val="00812184"/>
    <w:rsid w:val="00846020"/>
    <w:rsid w:val="008654D4"/>
    <w:rsid w:val="00880082"/>
    <w:rsid w:val="008B3A52"/>
    <w:rsid w:val="008D1FBF"/>
    <w:rsid w:val="008D3A4A"/>
    <w:rsid w:val="008F12B4"/>
    <w:rsid w:val="008F5401"/>
    <w:rsid w:val="009209DF"/>
    <w:rsid w:val="0093220E"/>
    <w:rsid w:val="00933370"/>
    <w:rsid w:val="00943A0A"/>
    <w:rsid w:val="00944B21"/>
    <w:rsid w:val="00954378"/>
    <w:rsid w:val="0095528C"/>
    <w:rsid w:val="00956940"/>
    <w:rsid w:val="00987B32"/>
    <w:rsid w:val="009D2E22"/>
    <w:rsid w:val="00A011A6"/>
    <w:rsid w:val="00A072C8"/>
    <w:rsid w:val="00A11FFA"/>
    <w:rsid w:val="00A2440B"/>
    <w:rsid w:val="00A257D8"/>
    <w:rsid w:val="00A471A1"/>
    <w:rsid w:val="00A54947"/>
    <w:rsid w:val="00A6657C"/>
    <w:rsid w:val="00A72966"/>
    <w:rsid w:val="00A809A9"/>
    <w:rsid w:val="00A96C0B"/>
    <w:rsid w:val="00AD2AD9"/>
    <w:rsid w:val="00AE5534"/>
    <w:rsid w:val="00B1312F"/>
    <w:rsid w:val="00B21FCA"/>
    <w:rsid w:val="00B7663A"/>
    <w:rsid w:val="00B80428"/>
    <w:rsid w:val="00BC2128"/>
    <w:rsid w:val="00BE1FB8"/>
    <w:rsid w:val="00BE54CC"/>
    <w:rsid w:val="00BF7023"/>
    <w:rsid w:val="00C00750"/>
    <w:rsid w:val="00C03FA0"/>
    <w:rsid w:val="00C07BFC"/>
    <w:rsid w:val="00C66B16"/>
    <w:rsid w:val="00C81D35"/>
    <w:rsid w:val="00C87F8B"/>
    <w:rsid w:val="00CA1BEE"/>
    <w:rsid w:val="00CD1EEE"/>
    <w:rsid w:val="00CE0007"/>
    <w:rsid w:val="00CE15E2"/>
    <w:rsid w:val="00D16071"/>
    <w:rsid w:val="00D16C95"/>
    <w:rsid w:val="00D82C64"/>
    <w:rsid w:val="00D8477C"/>
    <w:rsid w:val="00D96D78"/>
    <w:rsid w:val="00DA3E83"/>
    <w:rsid w:val="00DB05E7"/>
    <w:rsid w:val="00DC1016"/>
    <w:rsid w:val="00DC3BE1"/>
    <w:rsid w:val="00DF781B"/>
    <w:rsid w:val="00E010AD"/>
    <w:rsid w:val="00E22D4A"/>
    <w:rsid w:val="00E478A1"/>
    <w:rsid w:val="00E87733"/>
    <w:rsid w:val="00E96B94"/>
    <w:rsid w:val="00E96FA3"/>
    <w:rsid w:val="00F155AE"/>
    <w:rsid w:val="00F411AF"/>
    <w:rsid w:val="00F41289"/>
    <w:rsid w:val="00F42AF9"/>
    <w:rsid w:val="00F6230B"/>
    <w:rsid w:val="00F6421E"/>
    <w:rsid w:val="00F726E7"/>
    <w:rsid w:val="00FA3DD2"/>
    <w:rsid w:val="00FD1832"/>
    <w:rsid w:val="00FE5A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7C7E57"/>
  <w15:docId w15:val="{3888A87F-F445-054B-BDB3-E363BD16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4CC"/>
    <w:rPr>
      <w:color w:val="0563C1" w:themeColor="hyperlink"/>
      <w:u w:val="single"/>
    </w:rPr>
  </w:style>
  <w:style w:type="table" w:styleId="TableGrid">
    <w:name w:val="Table Grid"/>
    <w:basedOn w:val="TableNormal"/>
    <w:uiPriority w:val="39"/>
    <w:rsid w:val="0088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80082"/>
    <w:pPr>
      <w:spacing w:after="200"/>
    </w:pPr>
    <w:rPr>
      <w:i/>
      <w:iCs/>
      <w:color w:val="44546A" w:themeColor="text2"/>
      <w:sz w:val="18"/>
      <w:szCs w:val="18"/>
    </w:rPr>
  </w:style>
  <w:style w:type="paragraph" w:styleId="ListParagraph">
    <w:name w:val="List Paragraph"/>
    <w:basedOn w:val="Normal"/>
    <w:uiPriority w:val="34"/>
    <w:qFormat/>
    <w:rsid w:val="00880082"/>
    <w:pPr>
      <w:ind w:left="720"/>
      <w:contextualSpacing/>
    </w:pPr>
  </w:style>
  <w:style w:type="paragraph" w:styleId="BalloonText">
    <w:name w:val="Balloon Text"/>
    <w:basedOn w:val="Normal"/>
    <w:link w:val="BalloonTextChar"/>
    <w:uiPriority w:val="99"/>
    <w:semiHidden/>
    <w:unhideWhenUsed/>
    <w:rsid w:val="00E478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8A1"/>
    <w:rPr>
      <w:rFonts w:ascii="Times New Roman" w:hAnsi="Times New Roman" w:cs="Times New Roman"/>
      <w:sz w:val="18"/>
      <w:szCs w:val="18"/>
    </w:rPr>
  </w:style>
  <w:style w:type="numbering" w:customStyle="1" w:styleId="NoList1">
    <w:name w:val="No List1"/>
    <w:next w:val="NoList"/>
    <w:uiPriority w:val="99"/>
    <w:semiHidden/>
    <w:unhideWhenUsed/>
    <w:rsid w:val="002F27D1"/>
  </w:style>
  <w:style w:type="paragraph" w:customStyle="1" w:styleId="msonormal0">
    <w:name w:val="msonormal"/>
    <w:basedOn w:val="Normal"/>
    <w:rsid w:val="002F27D1"/>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F27D1"/>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A3DD2"/>
    <w:rPr>
      <w:color w:val="954F72"/>
      <w:u w:val="single"/>
    </w:rPr>
  </w:style>
  <w:style w:type="character" w:styleId="CommentReference">
    <w:name w:val="annotation reference"/>
    <w:basedOn w:val="DefaultParagraphFont"/>
    <w:uiPriority w:val="99"/>
    <w:semiHidden/>
    <w:unhideWhenUsed/>
    <w:rsid w:val="006346B6"/>
    <w:rPr>
      <w:sz w:val="16"/>
      <w:szCs w:val="16"/>
    </w:rPr>
  </w:style>
  <w:style w:type="paragraph" w:styleId="CommentText">
    <w:name w:val="annotation text"/>
    <w:basedOn w:val="Normal"/>
    <w:link w:val="CommentTextChar"/>
    <w:uiPriority w:val="99"/>
    <w:semiHidden/>
    <w:unhideWhenUsed/>
    <w:rsid w:val="006346B6"/>
    <w:rPr>
      <w:sz w:val="20"/>
      <w:szCs w:val="20"/>
    </w:rPr>
  </w:style>
  <w:style w:type="character" w:customStyle="1" w:styleId="CommentTextChar">
    <w:name w:val="Comment Text Char"/>
    <w:basedOn w:val="DefaultParagraphFont"/>
    <w:link w:val="CommentText"/>
    <w:uiPriority w:val="99"/>
    <w:semiHidden/>
    <w:rsid w:val="006346B6"/>
    <w:rPr>
      <w:sz w:val="20"/>
      <w:szCs w:val="20"/>
    </w:rPr>
  </w:style>
  <w:style w:type="paragraph" w:styleId="CommentSubject">
    <w:name w:val="annotation subject"/>
    <w:basedOn w:val="CommentText"/>
    <w:next w:val="CommentText"/>
    <w:link w:val="CommentSubjectChar"/>
    <w:uiPriority w:val="99"/>
    <w:semiHidden/>
    <w:unhideWhenUsed/>
    <w:rsid w:val="006346B6"/>
    <w:rPr>
      <w:b/>
      <w:bCs/>
    </w:rPr>
  </w:style>
  <w:style w:type="character" w:customStyle="1" w:styleId="CommentSubjectChar">
    <w:name w:val="Comment Subject Char"/>
    <w:basedOn w:val="CommentTextChar"/>
    <w:link w:val="CommentSubject"/>
    <w:uiPriority w:val="99"/>
    <w:semiHidden/>
    <w:rsid w:val="006346B6"/>
    <w:rPr>
      <w:b/>
      <w:bCs/>
      <w:sz w:val="20"/>
      <w:szCs w:val="20"/>
    </w:rPr>
  </w:style>
  <w:style w:type="paragraph" w:styleId="Revision">
    <w:name w:val="Revision"/>
    <w:hidden/>
    <w:uiPriority w:val="99"/>
    <w:semiHidden/>
    <w:rsid w:val="0029487F"/>
  </w:style>
  <w:style w:type="paragraph" w:styleId="Footer">
    <w:name w:val="footer"/>
    <w:basedOn w:val="Normal"/>
    <w:link w:val="FooterChar"/>
    <w:uiPriority w:val="99"/>
    <w:unhideWhenUsed/>
    <w:rsid w:val="00D96D78"/>
    <w:pPr>
      <w:tabs>
        <w:tab w:val="center" w:pos="4680"/>
        <w:tab w:val="right" w:pos="9360"/>
      </w:tabs>
    </w:pPr>
  </w:style>
  <w:style w:type="character" w:customStyle="1" w:styleId="FooterChar">
    <w:name w:val="Footer Char"/>
    <w:basedOn w:val="DefaultParagraphFont"/>
    <w:link w:val="Footer"/>
    <w:uiPriority w:val="99"/>
    <w:rsid w:val="00D96D78"/>
  </w:style>
  <w:style w:type="character" w:styleId="PageNumber">
    <w:name w:val="page number"/>
    <w:basedOn w:val="DefaultParagraphFont"/>
    <w:uiPriority w:val="99"/>
    <w:semiHidden/>
    <w:unhideWhenUsed/>
    <w:rsid w:val="00D96D78"/>
  </w:style>
  <w:style w:type="paragraph" w:customStyle="1" w:styleId="SMText">
    <w:name w:val="SM Text"/>
    <w:basedOn w:val="Normal"/>
    <w:qFormat/>
    <w:rsid w:val="008F12B4"/>
    <w:pPr>
      <w:ind w:firstLine="480"/>
    </w:pPr>
    <w:rPr>
      <w:rFonts w:ascii="Times New Roman" w:eastAsia="Times New Roman" w:hAnsi="Times New Roman" w:cs="Times New Roman"/>
      <w:lang w:eastAsia="en-GB"/>
    </w:rPr>
  </w:style>
  <w:style w:type="paragraph" w:customStyle="1" w:styleId="SMcaption">
    <w:name w:val="SM caption"/>
    <w:basedOn w:val="SMText"/>
    <w:qFormat/>
    <w:rsid w:val="003D3B83"/>
    <w:pPr>
      <w:ind w:firstLine="0"/>
    </w:pPr>
  </w:style>
  <w:style w:type="paragraph" w:styleId="Header">
    <w:name w:val="header"/>
    <w:basedOn w:val="Normal"/>
    <w:link w:val="HeaderChar"/>
    <w:uiPriority w:val="99"/>
    <w:unhideWhenUsed/>
    <w:rsid w:val="007429CC"/>
    <w:pPr>
      <w:tabs>
        <w:tab w:val="center" w:pos="4680"/>
        <w:tab w:val="right" w:pos="9360"/>
      </w:tabs>
    </w:pPr>
  </w:style>
  <w:style w:type="character" w:customStyle="1" w:styleId="HeaderChar">
    <w:name w:val="Header Char"/>
    <w:basedOn w:val="DefaultParagraphFont"/>
    <w:link w:val="Header"/>
    <w:uiPriority w:val="99"/>
    <w:rsid w:val="007429CC"/>
  </w:style>
  <w:style w:type="character" w:styleId="PlaceholderText">
    <w:name w:val="Placeholder Text"/>
    <w:basedOn w:val="DefaultParagraphFont"/>
    <w:uiPriority w:val="99"/>
    <w:semiHidden/>
    <w:rsid w:val="007C41EB"/>
    <w:rPr>
      <w:color w:val="808080"/>
    </w:rPr>
  </w:style>
  <w:style w:type="character" w:styleId="LineNumber">
    <w:name w:val="line number"/>
    <w:basedOn w:val="DefaultParagraphFont"/>
    <w:uiPriority w:val="99"/>
    <w:semiHidden/>
    <w:unhideWhenUsed/>
    <w:rsid w:val="00BE1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330">
      <w:bodyDiv w:val="1"/>
      <w:marLeft w:val="0"/>
      <w:marRight w:val="0"/>
      <w:marTop w:val="0"/>
      <w:marBottom w:val="0"/>
      <w:divBdr>
        <w:top w:val="none" w:sz="0" w:space="0" w:color="auto"/>
        <w:left w:val="none" w:sz="0" w:space="0" w:color="auto"/>
        <w:bottom w:val="none" w:sz="0" w:space="0" w:color="auto"/>
        <w:right w:val="none" w:sz="0" w:space="0" w:color="auto"/>
      </w:divBdr>
    </w:div>
    <w:div w:id="236404329">
      <w:bodyDiv w:val="1"/>
      <w:marLeft w:val="0"/>
      <w:marRight w:val="0"/>
      <w:marTop w:val="0"/>
      <w:marBottom w:val="0"/>
      <w:divBdr>
        <w:top w:val="none" w:sz="0" w:space="0" w:color="auto"/>
        <w:left w:val="none" w:sz="0" w:space="0" w:color="auto"/>
        <w:bottom w:val="none" w:sz="0" w:space="0" w:color="auto"/>
        <w:right w:val="none" w:sz="0" w:space="0" w:color="auto"/>
      </w:divBdr>
    </w:div>
    <w:div w:id="13422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hda.com/english/articles/37-model-selection-essentials-in-r/155-best-subsets-regression-essentials-in-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6E66E-7792-9C44-A1B8-B054A6C8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10712</Words>
  <Characters>61061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Nikolova</dc:creator>
  <cp:keywords/>
  <dc:description/>
  <cp:lastModifiedBy>Gutierrez, Tony</cp:lastModifiedBy>
  <cp:revision>3</cp:revision>
  <dcterms:created xsi:type="dcterms:W3CDTF">2021-04-22T21:14:00Z</dcterms:created>
  <dcterms:modified xsi:type="dcterms:W3CDTF">2021-07-28T10:41:00Z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http://www.zotero.org/styles/american-society-for-microbiology</vt:lpwstr>
  </property>
  <property fmtid="{D5CDD505-2E9C-101B-9397-08002B2CF9AE}" pid="5" name="Mendeley Recent Style Name 1_1">
    <vt:lpwstr>American Society for Microbiology</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http://www.zotero.org/styles/biomed-central</vt:lpwstr>
  </property>
  <property fmtid="{D5CDD505-2E9C-101B-9397-08002B2CF9AE}" pid="9" name="Mendeley Recent Style Name 3_1">
    <vt:lpwstr>BioMed Central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http://www.zotero.org/styles/frontiers-in-bioengineering-and-biotechnology</vt:lpwstr>
  </property>
  <property fmtid="{D5CDD505-2E9C-101B-9397-08002B2CF9AE}" pid="13" name="Mendeley Recent Style Name 5_1">
    <vt:lpwstr>Frontiers in Bioengineering and Biotechnology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fd7fd410-f80c-3a87-9149-0d3b713c4a4d</vt:lpwstr>
  </property>
  <property fmtid="{D5CDD505-2E9C-101B-9397-08002B2CF9AE}" pid="24" name="Mendeley Citation Style_1">
    <vt:lpwstr>http://www.zotero.org/styles/vancouver</vt:lpwstr>
  </property>
</Properties>
</file>