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7F" w:rsidRPr="00073177" w:rsidRDefault="00693B23" w:rsidP="006D0B7F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Additional</w:t>
      </w:r>
      <w:r w:rsidR="006D0B7F" w:rsidRPr="001606CE">
        <w:rPr>
          <w:rFonts w:ascii="Arial" w:hAnsi="Arial" w:cs="Arial"/>
          <w:b/>
          <w:bCs/>
          <w:sz w:val="24"/>
          <w:szCs w:val="24"/>
        </w:rPr>
        <w:t xml:space="preserve"> Material </w:t>
      </w:r>
    </w:p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</w:p>
    <w:p w:rsidR="006D0B7F" w:rsidRPr="001606CE" w:rsidRDefault="00693B23" w:rsidP="006D0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</w:t>
      </w:r>
      <w:r w:rsidR="006D0B7F" w:rsidRPr="001606CE">
        <w:rPr>
          <w:rFonts w:ascii="Arial" w:hAnsi="Arial" w:cs="Arial"/>
          <w:sz w:val="24"/>
          <w:szCs w:val="24"/>
        </w:rPr>
        <w:t xml:space="preserve">al Table </w:t>
      </w:r>
      <w:r>
        <w:rPr>
          <w:rFonts w:ascii="Arial" w:hAnsi="Arial" w:cs="Arial"/>
          <w:sz w:val="24"/>
          <w:szCs w:val="24"/>
        </w:rPr>
        <w:t>S</w:t>
      </w:r>
      <w:r w:rsidR="006D0B7F" w:rsidRPr="001606CE">
        <w:rPr>
          <w:rFonts w:ascii="Arial" w:hAnsi="Arial" w:cs="Arial"/>
          <w:sz w:val="24"/>
          <w:szCs w:val="24"/>
        </w:rPr>
        <w:t xml:space="preserve">1. Baseline characteristics of the patients by 10% weight change from baseline 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1984"/>
        <w:gridCol w:w="2268"/>
        <w:gridCol w:w="1134"/>
      </w:tblGrid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Weight loss ≥10%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Stable weight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Weight gain ≥10%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P-value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Age, years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62.0 ± 10.5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61.1 ± 9.9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58.9 ± 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 &gt;65yr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 (39.1%)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1628 (36.5%)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153 (25.6%)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Female,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 (39.1%)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1405 (31.5%)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198 (33.2%)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0.015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Diabetes duration, years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6.8 (2.6, 13.9)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7.1 (2.8, 13.7)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7.4 (2.4, 14.0)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0.92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Glycated hemoglobin, %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 ± 1.1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8.0 ± 1.1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8.1 ± 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0.024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Insulin,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 (28.6%)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1296 (29.1%)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217 (36.3%)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Metformin,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225 (69.9%)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2970 (66.6%)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367 (61.5%)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0.017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Sulfonylureas,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 (40.1%)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2104 (47.2%)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 (45.2%)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0.038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Thiazolidinediones,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 (3.7%)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103 (2.3%)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 (2.7%)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0.26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Weight at baseline, 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86.1 ± 21.6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82.9 ± 19.0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74.7 ± 17.3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 at baseline, Kg/m2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31.1 ± 6.4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29.6 ± 5.5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27.4 ± 5.1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0.002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235 (73.0%)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3275 (73.4%)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399 (66.8%)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 (21.1%)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884 (19.8%)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 (22.9%)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 (5.0%)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 (3.7%)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 (5.9%)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(0.9%)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 (3.1%)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 (4.4%)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smoker,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 (13.4%)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614 (13.8%)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 (12.9%)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0.84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Hypertension,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283 (87.9%)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3745 (83.9%)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441 (73.9%)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HF history,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 (30.1%)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1276 (28.6%)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160 (26.8%)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0.53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Prior stroke,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 (7.5%)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318 (7.1%)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 (7.7%)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0.87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PAD,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 (11.2%)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429 (9.6%)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 (8.2%)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0.32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Atrial Fibrillation,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 (11.8%)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302 (6.8%)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 (6.0%)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0.002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 (index event),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248 (77.0%)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3403 (76.5%)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501 (84.1%)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Unstable angina (index event),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 (23.0%)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1045 (23.5%)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 (15.9%)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Hemoglobin, g/dL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13.2 ± 1.6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13.5 ± 1.6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13.2 ± 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Anemia,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 (29.7%)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1091 (24.5%)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182 (30.5%)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eGFR, ml/min/1.73m2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65.3 ± 20.3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71.0 ± 21.2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73.3 ± 23.3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  <w:t>eGFR &lt;60 ml/min,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 (35.4%)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1289 (28.9%)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 (27.1%)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0.025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Heart rate, bpm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72.2 ± 11.9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71.1 ± 10.7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72.5 ± 10.8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0.006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SBP, mmHg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129.0 ± 18.6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129.4 ± 16.3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125.8 ± 18.0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&lt;0.001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SBP &gt;140/90 mmHg,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 (24.2%)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909 (20.4%)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 (15.6%)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0.004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Antiplatelets at baseline,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304 (94.4%)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4346 (97.4%)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582 (97.5%)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0.006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Beta-blockers at baseline,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 (77.6%)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3674 (82.4%)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487 (81.6%)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0.100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Statins at baseline,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287 (89.1%)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4031 (90.4%)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548 (91.8%)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0.38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CCBs at baseline,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73 (22.7%)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1025 (23.0%)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 (16.6%)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0.002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Diuretics at baseline,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144 (44.7%)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1642 (36.8%)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228 (38.2%)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0.017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ACEi or ARB at baseline, n. (%)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 (83.9%)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3673 (82.3%)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468 (78.4%)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0.042</w:t>
            </w:r>
          </w:p>
        </w:tc>
      </w:tr>
      <w:tr w:rsidR="006D0B7F" w:rsidRPr="001606CE" w:rsidTr="003A48E6">
        <w:trPr>
          <w:trHeight w:val="3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Randomization to alogliptin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159 (49.4%)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2250 (50.4%)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292 (48.9%)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0.75</w:t>
            </w:r>
          </w:p>
        </w:tc>
      </w:tr>
    </w:tbl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  <w:r w:rsidRPr="001606CE">
        <w:rPr>
          <w:rFonts w:ascii="Arial" w:hAnsi="Arial" w:cs="Arial"/>
          <w:sz w:val="24"/>
          <w:szCs w:val="24"/>
        </w:rPr>
        <w:t xml:space="preserve">Legend: BMI, body mass index; PAD, peripheral artery disease; MI, myocardial infarction; ACS, acute coronary syndrome; eGFR, estimated glomerular filtration rate; SBP, systolic blood pressure; CCBs, calcium channel blockers; ACEi/ARBs, angiotensin converting enzyme inhibitors/angiotensin receptor blockers. </w:t>
      </w:r>
    </w:p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  <w:r w:rsidRPr="001606CE">
        <w:rPr>
          <w:rFonts w:ascii="Arial" w:hAnsi="Arial" w:cs="Arial"/>
          <w:sz w:val="24"/>
          <w:szCs w:val="24"/>
        </w:rPr>
        <w:br w:type="page"/>
      </w:r>
    </w:p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</w:p>
    <w:p w:rsidR="006D0B7F" w:rsidRPr="001606CE" w:rsidRDefault="00693B23" w:rsidP="006D0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</w:t>
      </w:r>
      <w:r w:rsidR="006D0B7F" w:rsidRPr="001606CE">
        <w:rPr>
          <w:rFonts w:ascii="Arial" w:hAnsi="Arial" w:cs="Arial"/>
          <w:sz w:val="24"/>
          <w:szCs w:val="24"/>
        </w:rPr>
        <w:t xml:space="preserve">al Table </w:t>
      </w:r>
      <w:r>
        <w:rPr>
          <w:rFonts w:ascii="Arial" w:hAnsi="Arial" w:cs="Arial"/>
          <w:sz w:val="24"/>
          <w:szCs w:val="24"/>
        </w:rPr>
        <w:t>S</w:t>
      </w:r>
      <w:r w:rsidR="006D0B7F" w:rsidRPr="001606CE">
        <w:rPr>
          <w:rFonts w:ascii="Arial" w:hAnsi="Arial" w:cs="Arial"/>
          <w:sz w:val="24"/>
          <w:szCs w:val="24"/>
        </w:rPr>
        <w:t>2. Effect of alogliptin on weight change ≥5% and ≥10%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559"/>
      </w:tblGrid>
      <w:tr w:rsidR="006D0B7F" w:rsidRPr="001606CE" w:rsidTr="003A48E6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Alogliptin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Beta (95%CI)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P-value</w:t>
            </w:r>
          </w:p>
        </w:tc>
      </w:tr>
      <w:tr w:rsidR="006D0B7F" w:rsidRPr="001606CE" w:rsidTr="003A48E6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 xml:space="preserve">≥5% weight </w:t>
            </w: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0.15 (-0.06 to 0.36)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0.15</w:t>
            </w:r>
          </w:p>
        </w:tc>
      </w:tr>
      <w:tr w:rsidR="006D0B7F" w:rsidRPr="001606CE" w:rsidTr="003A48E6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 xml:space="preserve">≥10% weight </w:t>
            </w: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loss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0.01 (-0.41 to 0.41)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0.99</w:t>
            </w:r>
          </w:p>
        </w:tc>
      </w:tr>
      <w:tr w:rsidR="006D0B7F" w:rsidRPr="001606CE" w:rsidTr="003A48E6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 xml:space="preserve">≥5% weight </w:t>
            </w: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0.05 (-0.11 to 0.21)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0.57</w:t>
            </w:r>
          </w:p>
        </w:tc>
      </w:tr>
      <w:tr w:rsidR="006D0B7F" w:rsidRPr="001606CE" w:rsidTr="003A48E6">
        <w:trPr>
          <w:trHeight w:val="31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 xml:space="preserve">≥10% weight </w:t>
            </w: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-0.03 (-0.33 to 0.26)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0B7F" w:rsidRPr="001606CE" w:rsidRDefault="006D0B7F" w:rsidP="003A4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06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0.82</w:t>
            </w:r>
          </w:p>
        </w:tc>
      </w:tr>
    </w:tbl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</w:p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  <w:r w:rsidRPr="001606CE">
        <w:rPr>
          <w:rFonts w:ascii="Arial" w:hAnsi="Arial" w:cs="Arial"/>
          <w:sz w:val="24"/>
          <w:szCs w:val="24"/>
        </w:rPr>
        <w:br w:type="page"/>
      </w:r>
    </w:p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</w:p>
    <w:p w:rsidR="006D0B7F" w:rsidRPr="001606CE" w:rsidRDefault="00693B23" w:rsidP="006D0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</w:t>
      </w:r>
      <w:r w:rsidR="006D0B7F" w:rsidRPr="001606CE">
        <w:rPr>
          <w:rFonts w:ascii="Arial" w:hAnsi="Arial" w:cs="Arial"/>
          <w:sz w:val="24"/>
          <w:szCs w:val="24"/>
        </w:rPr>
        <w:t xml:space="preserve">al Table </w:t>
      </w:r>
      <w:r>
        <w:rPr>
          <w:rFonts w:ascii="Arial" w:hAnsi="Arial" w:cs="Arial"/>
          <w:sz w:val="24"/>
          <w:szCs w:val="24"/>
        </w:rPr>
        <w:t>S</w:t>
      </w:r>
      <w:r w:rsidR="006D0B7F" w:rsidRPr="001606CE">
        <w:rPr>
          <w:rFonts w:ascii="Arial" w:hAnsi="Arial" w:cs="Arial"/>
          <w:sz w:val="24"/>
          <w:szCs w:val="24"/>
        </w:rPr>
        <w:t>3. Association of body mass index with outcomes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85"/>
        <w:gridCol w:w="2703"/>
        <w:gridCol w:w="2551"/>
        <w:gridCol w:w="1508"/>
      </w:tblGrid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>BMI category (kg/m</w:t>
            </w:r>
            <w:r w:rsidRPr="001606C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>Crude HR (95%CI)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>Adj. HR (95%CI)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6D0B7F" w:rsidRPr="001606CE" w:rsidTr="003A48E6">
        <w:tc>
          <w:tcPr>
            <w:tcW w:w="9447" w:type="dxa"/>
            <w:gridSpan w:val="4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All-cause mortality 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≤22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3.04 (2.17-4.29)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2.07 (1.29-3.30)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23-25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1.25 (0.90-1.74)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1.08 (0.74-1.57)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26-30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 xml:space="preserve">Ref. 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31-35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0.83 (0.61-1.13)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0.92 (0.64-1.34)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&gt;35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1.17 (0.85-1.62)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1.36 (0.75-2.46)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</w:tr>
      <w:tr w:rsidR="006D0B7F" w:rsidRPr="001606CE" w:rsidTr="003A48E6">
        <w:tc>
          <w:tcPr>
            <w:tcW w:w="9447" w:type="dxa"/>
            <w:gridSpan w:val="4"/>
          </w:tcPr>
          <w:p w:rsidR="006D0B7F" w:rsidRPr="001606CE" w:rsidRDefault="006D0B7F" w:rsidP="003A48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>Cardiovascular mortality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≤22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2.86 (1.90-4.30)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1.78 (1.01-3.16)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0.047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23-25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1.30 (0.89-1.90)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1.08 (0.70-1.67)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26-30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31-35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0.85 (0.59-1.21)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0.98 (0.63-1.52)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&gt;35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1.21 (0.83-1.76)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1.55 (0.77-3.13)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</w:tr>
      <w:tr w:rsidR="006D0B7F" w:rsidRPr="001606CE" w:rsidTr="003A48E6">
        <w:tc>
          <w:tcPr>
            <w:tcW w:w="9447" w:type="dxa"/>
            <w:gridSpan w:val="4"/>
          </w:tcPr>
          <w:p w:rsidR="006D0B7F" w:rsidRPr="001606CE" w:rsidRDefault="006D0B7F" w:rsidP="003A48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Cardiovascular mortality or heart failure hospitalization 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≤22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2.49 (1.78-3.49)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2.30 (1.48-3.57)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23-25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1.30 (0.96-1.75)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1.32 (0.94-1.85)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26-30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31-35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0.84 (0.64-1.11)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0.73 (0.52-1.03)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0.070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&gt;35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1.51 (1.15-1.98)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0.97 (0.55-1.72)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</w:tr>
      <w:tr w:rsidR="006D0B7F" w:rsidRPr="001606CE" w:rsidTr="003A48E6">
        <w:tc>
          <w:tcPr>
            <w:tcW w:w="9447" w:type="dxa"/>
            <w:gridSpan w:val="4"/>
          </w:tcPr>
          <w:p w:rsidR="006D0B7F" w:rsidRPr="001606CE" w:rsidRDefault="006D0B7F" w:rsidP="003A48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CE">
              <w:rPr>
                <w:rFonts w:ascii="Arial" w:hAnsi="Arial" w:cs="Arial"/>
                <w:b/>
                <w:bCs/>
                <w:sz w:val="24"/>
                <w:szCs w:val="24"/>
              </w:rPr>
              <w:t>Primary outcome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≤22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1.61 (1.19-2.16)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1.80 (1.28-2.54)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23-25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0.92 (0.71-1.18)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1.03 (0.79-1.35)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26-30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Ref.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31-35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0.95 (0.77-1.16)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0.75 (0.60-0.96)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0.020</w:t>
            </w:r>
          </w:p>
        </w:tc>
      </w:tr>
      <w:tr w:rsidR="006D0B7F" w:rsidRPr="001606CE" w:rsidTr="003A48E6">
        <w:tc>
          <w:tcPr>
            <w:tcW w:w="2685" w:type="dxa"/>
          </w:tcPr>
          <w:p w:rsidR="006D0B7F" w:rsidRPr="001606CE" w:rsidRDefault="006D0B7F" w:rsidP="003A48E6">
            <w:pPr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&gt;35</w:t>
            </w:r>
          </w:p>
        </w:tc>
        <w:tc>
          <w:tcPr>
            <w:tcW w:w="2703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1.11 (0.88-1.39)</w:t>
            </w:r>
          </w:p>
        </w:tc>
        <w:tc>
          <w:tcPr>
            <w:tcW w:w="2551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0.61 (0.41-0.92)</w:t>
            </w:r>
          </w:p>
        </w:tc>
        <w:tc>
          <w:tcPr>
            <w:tcW w:w="1508" w:type="dxa"/>
          </w:tcPr>
          <w:p w:rsidR="006D0B7F" w:rsidRPr="001606CE" w:rsidRDefault="006D0B7F" w:rsidP="003A4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6CE">
              <w:rPr>
                <w:rFonts w:ascii="Arial" w:hAnsi="Arial" w:cs="Arial"/>
                <w:sz w:val="24"/>
                <w:szCs w:val="24"/>
              </w:rPr>
              <w:t>0.017</w:t>
            </w:r>
          </w:p>
        </w:tc>
      </w:tr>
    </w:tbl>
    <w:p w:rsidR="006D0B7F" w:rsidRPr="001606CE" w:rsidRDefault="006D0B7F" w:rsidP="006D0B7F">
      <w:pPr>
        <w:spacing w:after="0"/>
        <w:rPr>
          <w:rFonts w:ascii="Arial" w:hAnsi="Arial" w:cs="Arial"/>
          <w:sz w:val="24"/>
          <w:szCs w:val="24"/>
        </w:rPr>
      </w:pPr>
      <w:r w:rsidRPr="001606CE">
        <w:rPr>
          <w:rFonts w:ascii="Arial" w:hAnsi="Arial" w:cs="Arial"/>
          <w:sz w:val="24"/>
          <w:szCs w:val="24"/>
        </w:rPr>
        <w:t>Legend: BMI, body mass index.</w:t>
      </w:r>
    </w:p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  <w:r w:rsidRPr="001606CE">
        <w:rPr>
          <w:rFonts w:ascii="Arial" w:hAnsi="Arial" w:cs="Arial"/>
          <w:sz w:val="24"/>
          <w:szCs w:val="24"/>
        </w:rPr>
        <w:t xml:space="preserve">The primary outcome is a composite of cardiovascular death, nonfatal myocardial infarction or nonfatal stroke. </w:t>
      </w:r>
    </w:p>
    <w:p w:rsidR="006D0B7F" w:rsidRPr="001606CE" w:rsidRDefault="006D0B7F" w:rsidP="006D0B7F">
      <w:pPr>
        <w:rPr>
          <w:rFonts w:ascii="Arial" w:hAnsi="Arial" w:cs="Arial"/>
          <w:sz w:val="24"/>
          <w:szCs w:val="24"/>
        </w:rPr>
      </w:pPr>
      <w:r w:rsidRPr="001606CE">
        <w:rPr>
          <w:rFonts w:ascii="Arial" w:hAnsi="Arial" w:cs="Arial"/>
          <w:sz w:val="24"/>
          <w:szCs w:val="24"/>
        </w:rPr>
        <w:br w:type="page"/>
      </w:r>
    </w:p>
    <w:p w:rsidR="006D0B7F" w:rsidRDefault="00693B23" w:rsidP="006D0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Addition</w:t>
      </w:r>
      <w:r w:rsidR="006D0B7F" w:rsidRPr="001606CE">
        <w:rPr>
          <w:rFonts w:ascii="Arial" w:hAnsi="Arial" w:cs="Arial"/>
          <w:sz w:val="24"/>
          <w:szCs w:val="24"/>
        </w:rPr>
        <w:t xml:space="preserve">al Figure </w:t>
      </w: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6D0B7F" w:rsidRPr="001606CE">
        <w:rPr>
          <w:rFonts w:ascii="Arial" w:hAnsi="Arial" w:cs="Arial"/>
          <w:sz w:val="24"/>
          <w:szCs w:val="24"/>
        </w:rPr>
        <w:t>1. Histogram representing the weight changes throughout the follow-up.</w:t>
      </w:r>
    </w:p>
    <w:p w:rsidR="006D0B7F" w:rsidRDefault="006D0B7F" w:rsidP="006D0B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1BAE6086" wp14:editId="0BB9B618">
            <wp:extent cx="5731510" cy="4168140"/>
            <wp:effectExtent l="0" t="0" r="2540" b="381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83" w:rsidRDefault="006E7183"/>
    <w:sectPr w:rsidR="006E7183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60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A3A" w:rsidRDefault="00693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4A3A" w:rsidRDefault="00693B2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7F"/>
    <w:rsid w:val="003D4328"/>
    <w:rsid w:val="00666FF7"/>
    <w:rsid w:val="00693B23"/>
    <w:rsid w:val="006D0B7F"/>
    <w:rsid w:val="006E7183"/>
    <w:rsid w:val="00E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56507-B937-4652-A59C-D05391BE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V.</dc:creator>
  <cp:keywords/>
  <dc:description/>
  <cp:lastModifiedBy>Priya V.</cp:lastModifiedBy>
  <cp:revision>2</cp:revision>
  <dcterms:created xsi:type="dcterms:W3CDTF">2021-09-11T08:43:00Z</dcterms:created>
  <dcterms:modified xsi:type="dcterms:W3CDTF">2021-09-11T08:47:00Z</dcterms:modified>
</cp:coreProperties>
</file>