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B4DB9" w14:textId="76289BBE" w:rsidR="00213766" w:rsidRPr="0012694A" w:rsidRDefault="00462882" w:rsidP="0012694A">
      <w:pPr>
        <w:jc w:val="both"/>
        <w:rPr>
          <w:rFonts w:ascii="Times New Roman" w:hAnsi="Times New Roman" w:cs="Times New Roman"/>
          <w:b/>
          <w:bCs/>
          <w:lang w:val="en-US"/>
        </w:rPr>
      </w:pPr>
      <w:r w:rsidRPr="0012694A">
        <w:rPr>
          <w:rFonts w:ascii="Times New Roman" w:hAnsi="Times New Roman" w:cs="Times New Roman"/>
          <w:b/>
          <w:bCs/>
          <w:lang w:val="en-US"/>
        </w:rPr>
        <w:t xml:space="preserve">The </w:t>
      </w:r>
      <w:r w:rsidR="00213766" w:rsidRPr="0012694A">
        <w:rPr>
          <w:rFonts w:ascii="Times New Roman" w:hAnsi="Times New Roman" w:cs="Times New Roman"/>
          <w:b/>
          <w:bCs/>
          <w:lang w:val="en-US"/>
        </w:rPr>
        <w:t>SCORE al</w:t>
      </w:r>
      <w:r w:rsidRPr="0012694A">
        <w:rPr>
          <w:rFonts w:ascii="Times New Roman" w:hAnsi="Times New Roman" w:cs="Times New Roman"/>
          <w:b/>
          <w:bCs/>
          <w:lang w:val="en-US"/>
        </w:rPr>
        <w:t>gorithm</w:t>
      </w:r>
    </w:p>
    <w:p w14:paraId="6EEDF4DF" w14:textId="7DDA53ED" w:rsidR="00213766" w:rsidRPr="0012694A" w:rsidRDefault="00213766" w:rsidP="0012694A">
      <w:pPr>
        <w:jc w:val="both"/>
        <w:rPr>
          <w:rFonts w:ascii="Times New Roman" w:hAnsi="Times New Roman" w:cs="Times New Roman"/>
          <w:b/>
          <w:bCs/>
          <w:lang w:val="en-US"/>
        </w:rPr>
      </w:pPr>
      <w:r w:rsidRPr="0012694A">
        <w:rPr>
          <w:rFonts w:ascii="Times New Roman" w:hAnsi="Times New Roman" w:cs="Times New Roman"/>
          <w:lang w:val="en-US"/>
        </w:rPr>
        <w:t>The SCORE (</w:t>
      </w:r>
      <w:r w:rsidRPr="0012694A">
        <w:rPr>
          <w:rFonts w:ascii="Times New Roman" w:hAnsi="Times New Roman" w:cs="Times New Roman"/>
          <w:lang w:val="en-US"/>
        </w:rPr>
        <w:t>Systematic Coronary Risk Estimation</w:t>
      </w:r>
      <w:r w:rsidRPr="0012694A">
        <w:rPr>
          <w:rFonts w:ascii="Times New Roman" w:hAnsi="Times New Roman" w:cs="Times New Roman"/>
          <w:lang w:val="en-US"/>
        </w:rPr>
        <w:t>) charts are used to estimate 10-year risk of fatal cardiovascular disease (CVD).</w:t>
      </w:r>
      <w:r w:rsidRPr="0012694A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12694A">
        <w:rPr>
          <w:rFonts w:ascii="Times New Roman" w:hAnsi="Times New Roman" w:cs="Times New Roman"/>
          <w:lang w:val="en-US"/>
        </w:rPr>
        <w:t xml:space="preserve">We calculated SCOREs for all patients using mean systolic blood pressure, total serum cholesterol, age, </w:t>
      </w:r>
      <w:proofErr w:type="gramStart"/>
      <w:r w:rsidRPr="0012694A">
        <w:rPr>
          <w:rFonts w:ascii="Times New Roman" w:hAnsi="Times New Roman" w:cs="Times New Roman"/>
          <w:lang w:val="en-US"/>
        </w:rPr>
        <w:t>sex</w:t>
      </w:r>
      <w:proofErr w:type="gramEnd"/>
      <w:r w:rsidRPr="0012694A">
        <w:rPr>
          <w:rFonts w:ascii="Times New Roman" w:hAnsi="Times New Roman" w:cs="Times New Roman"/>
          <w:lang w:val="en-US"/>
        </w:rPr>
        <w:t xml:space="preserve"> and smoking status</w:t>
      </w:r>
      <w:r w:rsidRPr="0012694A">
        <w:rPr>
          <w:rFonts w:ascii="Times New Roman" w:hAnsi="Times New Roman" w:cs="Times New Roman"/>
          <w:lang w:val="en-US"/>
        </w:rPr>
        <w:t xml:space="preserve">. The absolute risk (Supplementary figure 1) was </w:t>
      </w:r>
      <w:r w:rsidR="00462882" w:rsidRPr="0012694A">
        <w:rPr>
          <w:rFonts w:ascii="Times New Roman" w:hAnsi="Times New Roman" w:cs="Times New Roman"/>
          <w:lang w:val="en-US"/>
        </w:rPr>
        <w:t xml:space="preserve">calculated </w:t>
      </w:r>
      <w:r w:rsidRPr="0012694A">
        <w:rPr>
          <w:rFonts w:ascii="Times New Roman" w:hAnsi="Times New Roman" w:cs="Times New Roman"/>
          <w:lang w:val="en-US"/>
        </w:rPr>
        <w:t xml:space="preserve">for patients above 40 years and </w:t>
      </w:r>
      <w:r w:rsidR="00462882" w:rsidRPr="0012694A">
        <w:rPr>
          <w:rFonts w:ascii="Times New Roman" w:hAnsi="Times New Roman" w:cs="Times New Roman"/>
          <w:lang w:val="en-US"/>
        </w:rPr>
        <w:t xml:space="preserve">the relative risk (Supplementary figure 2) was calculated for younger patients in accordance with guidelines </w:t>
      </w:r>
      <w:r w:rsidR="00462882" w:rsidRPr="0012694A">
        <w:rPr>
          <w:rFonts w:ascii="Times New Roman" w:hAnsi="Times New Roman" w:cs="Times New Roman"/>
          <w:lang w:val="en-US"/>
        </w:rPr>
        <w:fldChar w:fldCharType="begin" w:fldLock="1"/>
      </w:r>
      <w:r w:rsidR="0012694A">
        <w:rPr>
          <w:rFonts w:ascii="Times New Roman" w:hAnsi="Times New Roman" w:cs="Times New Roman"/>
          <w:lang w:val="en-US"/>
        </w:rPr>
        <w:instrText>ADDIN CSL_CITATION {"citationItems":[{"id":"ITEM-1","itemData":{"abstract":"https://doi.org/10.1093/eurheartj/ehz455","author":[{"dropping-particle":"","family":"Mach","given":"François","non-dropping-particle":"","parse-names":false,"suffix":""},{"dropping-particle":"","family":"Baigent","given":"Colin","non-dropping-particle":"","parse-names":false,"suffix":""},{"dropping-particle":"","family":"Catapano","given":"Alberico L.","non-dropping-particle":"","parse-names":false,"suffix":""},{"dropping-particle":"","family":"Koskinas","given":"Konstantinos C.","non-dropping-particle":"","parse-names":false,"suffix":""},{"dropping-particle":"","family":"Casula","given":"Manuela","non-dropping-particle":"","parse-names":false,"suffix":""},{"dropping-particle":"","family":"Badimon","given":"Lina","non-dropping-particle":"","parse-names":false,"suffix":""},{"dropping-particle":"","family":"Chapman","given":"M. John","non-dropping-particle":"","parse-names":false,"suffix":""},{"dropping-particle":"","family":"Backer","given":"Guy","non-dropping-particle":"De","parse-names":false,"suffix":""},{"dropping-particle":"","family":"Delgado","given":"Victoria","non-dropping-particle":"","parse-names":false,"suffix":""},{"dropping-particle":"","family":"Ference","given":"Brian A.","non-dropping-particle":"","parse-names":false,"suffix":""},{"dropping-particle":"","family":"Graham","given":"Ian M.","non-dropping-particle":"","parse-names":false,"suffix":""},{"dropping-particle":"","family":"Halliday","given":"Alison","non-dropping-particle":"","parse-names":false,"suffix":""},{"dropping-particle":"","family":"Landmesser","given":"Ulf","non-dropping-particle":"","parse-names":false,"suffix":""},{"dropping-particle":"","family":"Mihaylova","given":"Borislava","non-dropping-particle":"","parse-names":false,"suffix":""},{"dropping-particle":"","family":"Pedersen","given":"Terje R.","non-dropping-particle":"","parse-names":false,"suffix":""},{"dropping-particle":"","family":"Riccardi","given":"Gabriele","non-dropping-particle":"","parse-names":false,"suffix":""},{"dropping-particle":"","family":"Richter","given":"Dimitrios J.","non-dropping-particle":"","parse-names":false,"suffix":""},{"dropping-particle":"","family":"Sabatine","given":"Marc S.","non-dropping-particle":"","parse-names":false,"suffix":""},{"dropping-particle":"","family":"Taskinen","given":"Marja-Riitta","non-dropping-particle":"","parse-names":false,"suffix":""},{"dropping-particle":"","family":"Tokgozoglu","given":"Lale","non-dropping-particle":"","parse-names":false,"suffix":""},{"dropping-particle":"","family":"Wiklund","given":"Olov","non-dropping-particle":"","parse-names":false,"suffix":""}],"container-title":"European Heart Journal","id":"ITEM-1","issue":"1","issued":{"date-parts":[["2019"]]},"page":"121-127","title":"2019 ESC/EAS Guidelines for the management of dyslipidaemias: lipid modification to reduce cardiovascular risk","type":"article-journal","volume":"48"},"uris":["http://www.mendeley.com/documents/?uuid=458cbdb7-e89b-3ba0-a6d7-40c2142f0628"]},{"id":"ITEM-2","itemData":{"author":[{"dropping-particle":"","family":"Mach","given":"François","non-dropping-particle":"","parse-names":false,"suffix":""},{"dropping-particle":"","family":"Baigent","given":"Colin","non-dropping-particle":"","parse-names":false,"suffix":""},{"dropping-particle":"","family":"Catapano","given":"Alberico L.","non-dropping-particle":"","parse-names":false,"suffix":""},{"dropping-particle":"","family":"Koskinas","given":"Konstantinos C.","non-dropping-particle":"","parse-names":false,"suffix":""},{"dropping-particle":"","family":"Casula","given":"Manuela","non-dropping-particle":"","parse-names":false,"suffix":""},{"dropping-particle":"","family":"Badimon","given":"Lina","non-dropping-particle":"","parse-names":false,"suffix":""},{"dropping-particle":"","family":"Chapman","given":"M. John","non-dropping-particle":"","parse-names":false,"suffix":""},{"dropping-particle":"","family":"Backer","given":"Guy","non-dropping-particle":"De","parse-names":false,"suffix":""},{"dropping-particle":"","family":"Delgado","given":"Victoria","non-dropping-particle":"","parse-names":false,"suffix":""},{"dropping-particle":"","family":"Ference","given":"Brian A.","non-dropping-particle":"","parse-names":false,"suffix":""},{"dropping-particle":"","family":"Graham","given":"Ian M.","non-dropping-particle":"","parse-names":false,"suffix":""},{"dropping-particle":"","family":"Halliday","given":"Alison","non-dropping-particle":"","parse-names":false,"suffix":""},{"dropping-particle":"","family":"Landmesser","given":"Ulf","non-dropping-particle":"","parse-names":false,"suffix":""},{"dropping-particle":"","family":"Mihaylova","given":"Borislava","non-dropping-particle":"","parse-names":false,"suffix":""},{"dropping-particle":"","family":"Pedersen","given":"Terje R.","non-dropping-particle":"","parse-names":false,"suffix":""},{"dropping-particle":"","family":"Riccardi","given":"Gabriele","non-dropping-particle":"","parse-names":false,"suffix":""},{"dropping-particle":"","family":"Richter","given":"Dimitrios J.","non-dropping-particle":"","parse-names":false,"suffix":""},{"dropping-particle":"","family":"Sabatine","given":"Marc S.","non-dropping-particle":"","parse-names":false,"suffix":""},{"dropping-particle":"","family":"Taskinen","given":"Marja-Riitta","non-dropping-particle":"","parse-names":false,"suffix":""},{"dropping-particle":"","family":"Tokgozoglu","given":"Lale","non-dropping-particle":"","parse-names":false,"suffix":""},{"dropping-particle":"","family":"Wiklund","given":"Olov","non-dropping-particle":"","parse-names":false,"suffix":""}],"container-title":"European Heart Journal","id":"ITEM-2","issued":{"date-parts":[["2019"]]},"page":"5","title":"2019 ESC/EAS Guidelines for the management of dyslipidaemias: lipid modification to reduce cardiovascular risk: supplementary data","type":"article-journal","volume":"00"},"uris":["http://www.mendeley.com/documents/?uuid=34dee0f5-0b9c-43da-96a9-71c06778dec9"]}],"mendeley":{"formattedCitation":"[1, 2]","plainTextFormattedCitation":"[1, 2]","previouslyFormattedCitation":"(Mach et al. 2019b, 2019a)"},"properties":{"noteIndex":0},"schema":"https://github.com/citation-style-language/schema/raw/master/csl-citation.json"}</w:instrText>
      </w:r>
      <w:r w:rsidR="00462882" w:rsidRPr="0012694A">
        <w:rPr>
          <w:rFonts w:ascii="Times New Roman" w:hAnsi="Times New Roman" w:cs="Times New Roman"/>
          <w:lang w:val="en-US"/>
        </w:rPr>
        <w:fldChar w:fldCharType="separate"/>
      </w:r>
      <w:r w:rsidR="0012694A" w:rsidRPr="0012694A">
        <w:rPr>
          <w:rFonts w:ascii="Times New Roman" w:hAnsi="Times New Roman" w:cs="Times New Roman"/>
          <w:noProof/>
          <w:lang w:val="en-US"/>
        </w:rPr>
        <w:t>[1, 2]</w:t>
      </w:r>
      <w:r w:rsidR="00462882" w:rsidRPr="0012694A">
        <w:rPr>
          <w:rFonts w:ascii="Times New Roman" w:hAnsi="Times New Roman" w:cs="Times New Roman"/>
          <w:lang w:val="en-US"/>
        </w:rPr>
        <w:fldChar w:fldCharType="end"/>
      </w:r>
      <w:r w:rsidR="0012694A">
        <w:rPr>
          <w:rFonts w:ascii="Times New Roman" w:hAnsi="Times New Roman" w:cs="Times New Roman"/>
          <w:lang w:val="en-US"/>
        </w:rPr>
        <w:t>.</w:t>
      </w:r>
    </w:p>
    <w:p w14:paraId="05EB548B" w14:textId="468C9322" w:rsidR="00AB77F2" w:rsidRPr="0012694A" w:rsidRDefault="00FB3F4C" w:rsidP="0012694A">
      <w:pPr>
        <w:jc w:val="both"/>
        <w:rPr>
          <w:rFonts w:ascii="Times New Roman" w:hAnsi="Times New Roman" w:cs="Times New Roman"/>
          <w:lang w:val="en-US"/>
        </w:rPr>
      </w:pPr>
      <w:r w:rsidRPr="0012694A">
        <w:rPr>
          <w:rFonts w:ascii="Times New Roman" w:hAnsi="Times New Roman" w:cs="Times New Roman"/>
          <w:noProof/>
        </w:rPr>
        <w:drawing>
          <wp:inline distT="0" distB="0" distL="0" distR="0" wp14:anchorId="7577EC16" wp14:editId="1BF2D0E0">
            <wp:extent cx="5396712" cy="4734302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402" cy="4737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55FF0" w14:textId="7B161ECC" w:rsidR="00213766" w:rsidRPr="0012694A" w:rsidRDefault="00213766" w:rsidP="0012694A">
      <w:pPr>
        <w:jc w:val="both"/>
        <w:rPr>
          <w:rFonts w:ascii="Times New Roman" w:hAnsi="Times New Roman" w:cs="Times New Roman"/>
          <w:lang w:val="en-US"/>
        </w:rPr>
      </w:pPr>
      <w:r w:rsidRPr="0012694A">
        <w:rPr>
          <w:rFonts w:ascii="Times New Roman" w:hAnsi="Times New Roman" w:cs="Times New Roman"/>
          <w:b/>
          <w:bCs/>
          <w:lang w:val="en-US"/>
        </w:rPr>
        <w:t xml:space="preserve">Supplementary figure 1. </w:t>
      </w:r>
      <w:r w:rsidRPr="0012694A">
        <w:rPr>
          <w:rFonts w:ascii="Times New Roman" w:hAnsi="Times New Roman" w:cs="Times New Roman"/>
          <w:lang w:val="en-US"/>
        </w:rPr>
        <w:t>This chart is for use in people without cardiovascular disease, diabetes</w:t>
      </w:r>
      <w:r w:rsidR="0012694A" w:rsidRPr="0012694A">
        <w:rPr>
          <w:rFonts w:ascii="Times New Roman" w:hAnsi="Times New Roman" w:cs="Times New Roman"/>
          <w:lang w:val="en-US"/>
        </w:rPr>
        <w:t xml:space="preserve"> </w:t>
      </w:r>
      <w:r w:rsidRPr="0012694A">
        <w:rPr>
          <w:rFonts w:ascii="Times New Roman" w:hAnsi="Times New Roman" w:cs="Times New Roman"/>
          <w:lang w:val="en-US"/>
        </w:rPr>
        <w:t>or very high levels of individual risk factors</w:t>
      </w:r>
      <w:r w:rsidRPr="0012694A">
        <w:rPr>
          <w:rFonts w:ascii="Times New Roman" w:hAnsi="Times New Roman" w:cs="Times New Roman"/>
          <w:lang w:val="en-US"/>
        </w:rPr>
        <w:fldChar w:fldCharType="begin" w:fldLock="1"/>
      </w:r>
      <w:r w:rsidR="0012694A">
        <w:rPr>
          <w:rFonts w:ascii="Times New Roman" w:hAnsi="Times New Roman" w:cs="Times New Roman"/>
          <w:lang w:val="en-US"/>
        </w:rPr>
        <w:instrText>ADDIN CSL_CITATION {"citationItems":[{"id":"ITEM-1","itemData":{"abstract":"https://doi.org/10.1093/eurheartj/ehz455","author":[{"dropping-particle":"","family":"Mach","given":"François","non-dropping-particle":"","parse-names":false,"suffix":""},{"dropping-particle":"","family":"Baigent","given":"Colin","non-dropping-particle":"","parse-names":false,"suffix":""},{"dropping-particle":"","family":"Catapano","given":"Alberico L.","non-dropping-particle":"","parse-names":false,"suffix":""},{"dropping-particle":"","family":"Koskinas","given":"Konstantinos C.","non-dropping-particle":"","parse-names":false,"suffix":""},{"dropping-particle":"","family":"Casula","given":"Manuela","non-dropping-particle":"","parse-names":false,"suffix":""},{"dropping-particle":"","family":"Badimon","given":"Lina","non-dropping-particle":"","parse-names":false,"suffix":""},{"dropping-particle":"","family":"Chapman","given":"M. John","non-dropping-particle":"","parse-names":false,"suffix":""},{"dropping-particle":"","family":"Backer","given":"Guy","non-dropping-particle":"De","parse-names":false,"suffix":""},{"dropping-particle":"","family":"Delgado","given":"Victoria","non-dropping-particle":"","parse-names":false,"suffix":""},{"dropping-particle":"","family":"Ference","given":"Brian A.","non-dropping-particle":"","parse-names":false,"suffix":""},{"dropping-particle":"","family":"Graham","given":"Ian M.","non-dropping-particle":"","parse-names":false,"suffix":""},{"dropping-particle":"","family":"Halliday","given":"Alison","non-dropping-particle":"","parse-names":false,"suffix":""},{"dropping-particle":"","family":"Landmesser","given":"Ulf","non-dropping-particle":"","parse-names":false,"suffix":""},{"dropping-particle":"","family":"Mihaylova","given":"Borislava","non-dropping-particle":"","parse-names":false,"suffix":""},{"dropping-particle":"","family":"Pedersen","given":"Terje R.","non-dropping-particle":"","parse-names":false,"suffix":""},{"dropping-particle":"","family":"Riccardi","given":"Gabriele","non-dropping-particle":"","parse-names":false,"suffix":""},{"dropping-particle":"","family":"Richter","given":"Dimitrios J.","non-dropping-particle":"","parse-names":false,"suffix":""},{"dropping-particle":"","family":"Sabatine","given":"Marc S.","non-dropping-particle":"","parse-names":false,"suffix":""},{"dropping-particle":"","family":"Taskinen","given":"Marja-Riitta","non-dropping-particle":"","parse-names":false,"suffix":""},{"dropping-particle":"","family":"Tokgozoglu","given":"Lale","non-dropping-particle":"","parse-names":false,"suffix":""},{"dropping-particle":"","family":"Wiklund","given":"Olov","non-dropping-particle":"","parse-names":false,"suffix":""}],"container-title":"European Heart Journal","id":"ITEM-1","issue":"1","issued":{"date-parts":[["2019"]]},"page":"121-127","title":"2019 ESC/EAS Guidelines for the management of dyslipidaemias: lipid modification to reduce cardiovascular risk","type":"article-journal","volume":"48"},"uris":["http://www.mendeley.com/documents/?uuid=458cbdb7-e89b-3ba0-a6d7-40c2142f0628"]}],"mendeley":{"formattedCitation":"[1]","plainTextFormattedCitation":"[1]","previouslyFormattedCitation":"(Mach et al. 2019b)"},"properties":{"noteIndex":0},"schema":"https://github.com/citation-style-language/schema/raw/master/csl-citation.json"}</w:instrText>
      </w:r>
      <w:r w:rsidRPr="0012694A">
        <w:rPr>
          <w:rFonts w:ascii="Times New Roman" w:hAnsi="Times New Roman" w:cs="Times New Roman"/>
          <w:lang w:val="en-US"/>
        </w:rPr>
        <w:fldChar w:fldCharType="separate"/>
      </w:r>
      <w:r w:rsidR="0012694A" w:rsidRPr="0012694A">
        <w:rPr>
          <w:rFonts w:ascii="Times New Roman" w:hAnsi="Times New Roman" w:cs="Times New Roman"/>
          <w:noProof/>
          <w:lang w:val="en-US"/>
        </w:rPr>
        <w:t>[1]</w:t>
      </w:r>
      <w:r w:rsidRPr="0012694A">
        <w:rPr>
          <w:rFonts w:ascii="Times New Roman" w:hAnsi="Times New Roman" w:cs="Times New Roman"/>
          <w:lang w:val="en-US"/>
        </w:rPr>
        <w:fldChar w:fldCharType="end"/>
      </w:r>
      <w:r w:rsidRPr="0012694A">
        <w:rPr>
          <w:rFonts w:ascii="Times New Roman" w:hAnsi="Times New Roman" w:cs="Times New Roman"/>
          <w:lang w:val="en-US"/>
        </w:rPr>
        <w:t>.</w:t>
      </w:r>
    </w:p>
    <w:p w14:paraId="0E31FC01" w14:textId="4B5D7184" w:rsidR="00462882" w:rsidRPr="0012694A" w:rsidRDefault="00462882" w:rsidP="0012694A">
      <w:pPr>
        <w:jc w:val="both"/>
        <w:rPr>
          <w:rFonts w:ascii="Times New Roman" w:hAnsi="Times New Roman" w:cs="Times New Roman"/>
          <w:b/>
          <w:bCs/>
          <w:lang w:val="en-US"/>
        </w:rPr>
      </w:pPr>
      <w:r w:rsidRPr="0012694A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1D813345" wp14:editId="0098942C">
            <wp:extent cx="4886325" cy="2400300"/>
            <wp:effectExtent l="0" t="0" r="9525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8A4D3" w14:textId="585DC646" w:rsidR="0012694A" w:rsidRPr="0012694A" w:rsidRDefault="0012694A" w:rsidP="0012694A">
      <w:pPr>
        <w:jc w:val="both"/>
        <w:rPr>
          <w:rFonts w:ascii="Times New Roman" w:hAnsi="Times New Roman" w:cs="Times New Roman"/>
          <w:lang w:val="en-US"/>
        </w:rPr>
      </w:pPr>
      <w:r w:rsidRPr="0012694A">
        <w:rPr>
          <w:rFonts w:ascii="Times New Roman" w:hAnsi="Times New Roman" w:cs="Times New Roman"/>
          <w:b/>
          <w:bCs/>
          <w:lang w:val="en-US"/>
        </w:rPr>
        <w:t xml:space="preserve">Supplementary figure 2. </w:t>
      </w:r>
      <w:r w:rsidRPr="0012694A">
        <w:rPr>
          <w:rFonts w:ascii="Times New Roman" w:hAnsi="Times New Roman" w:cs="Times New Roman"/>
          <w:lang w:val="en-US"/>
        </w:rPr>
        <w:t>This chart is for use in younger people under the age of 40 since the absolute risk chart may underestimate cardiovascular risk in this population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fldChar w:fldCharType="begin" w:fldLock="1"/>
      </w:r>
      <w:r>
        <w:rPr>
          <w:rFonts w:ascii="Times New Roman" w:hAnsi="Times New Roman" w:cs="Times New Roman"/>
          <w:lang w:val="en-US"/>
        </w:rPr>
        <w:instrText>ADDIN CSL_CITATION {"citationItems":[{"id":"ITEM-1","itemData":{"author":[{"dropping-particle":"","family":"Mach","given":"François","non-dropping-particle":"","parse-names":false,"suffix":""},{"dropping-particle":"","family":"Baigent","given":"Colin","non-dropping-particle":"","parse-names":false,"suffix":""},{"dropping-particle":"","family":"Catapano","given":"Alberico L.","non-dropping-particle":"","parse-names":false,"suffix":""},{"dropping-particle":"","family":"Koskinas","given":"Konstantinos C.","non-dropping-particle":"","parse-names":false,"suffix":""},{"dropping-particle":"","family":"Casula","given":"Manuela","non-dropping-particle":"","parse-names":false,"suffix":""},{"dropping-particle":"","family":"Badimon","given":"Lina","non-dropping-particle":"","parse-names":false,"suffix":""},{"dropping-particle":"","family":"Chapman","given":"M. John","non-dropping-particle":"","parse-names":false,"suffix":""},{"dropping-particle":"","family":"Backer","given":"Guy","non-dropping-particle":"De","parse-names":false,"suffix":""},{"dropping-particle":"","family":"Delgado","given":"Victoria","non-dropping-particle":"","parse-names":false,"suffix":""},{"dropping-particle":"","family":"Ference","given":"Brian A.","non-dropping-particle":"","parse-names":false,"suffix":""},{"dropping-particle":"","family":"Graham","given":"Ian M.","non-dropping-particle":"","parse-names":false,"suffix":""},{"dropping-particle":"","family":"Halliday","given":"Alison","non-dropping-particle":"","parse-names":false,"suffix":""},{"dropping-particle":"","family":"Landmesser","given":"Ulf","non-dropping-particle":"","parse-names":false,"suffix":""},{"dropping-particle":"","family":"Mihaylova","given":"Borislava","non-dropping-particle":"","parse-names":false,"suffix":""},{"dropping-particle":"","family":"Pedersen","given":"Terje R.","non-dropping-particle":"","parse-names":false,"suffix":""},{"dropping-particle":"","family":"Riccardi","given":"Gabriele","non-dropping-particle":"","parse-names":false,"suffix":""},{"dropping-particle":"","family":"Richter","given":"Dimitrios J.","non-dropping-particle":"","parse-names":false,"suffix":""},{"dropping-particle":"","family":"Sabatine","given":"Marc S.","non-dropping-particle":"","parse-names":false,"suffix":""},{"dropping-particle":"","family":"Taskinen","given":"Marja-Riitta","non-dropping-particle":"","parse-names":false,"suffix":""},{"dropping-particle":"","family":"Tokgozoglu","given":"Lale","non-dropping-particle":"","parse-names":false,"suffix":""},{"dropping-particle":"","family":"Wiklund","given":"Olov","non-dropping-particle":"","parse-names":false,"suffix":""}],"container-title":"European Heart Journal","id":"ITEM-1","issued":{"date-parts":[["2019"]]},"page":"5","title":"2019 ESC/EAS Guidelines for the management of dyslipidaemias: lipid modification to reduce cardiovascular risk: supplementary data","type":"article-journal","volume":"00"},"uris":["http://www.mendeley.com/documents/?uuid=34dee0f5-0b9c-43da-96a9-71c06778dec9"]}],"mendeley":{"formattedCitation":"[2]","plainTextFormattedCitation":"[2]","previouslyFormattedCitation":"(Mach et al. 2019a)"},"properties":{"noteIndex":0},"schema":"https://github.com/citation-style-language/schema/raw/master/csl-citation.json"}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lang w:val="en-US"/>
        </w:rPr>
        <w:fldChar w:fldCharType="separate"/>
      </w:r>
      <w:r w:rsidRPr="0012694A">
        <w:rPr>
          <w:rFonts w:ascii="Times New Roman" w:hAnsi="Times New Roman" w:cs="Times New Roman"/>
          <w:noProof/>
          <w:lang w:val="en-US"/>
        </w:rPr>
        <w:t>[2]</w:t>
      </w:r>
      <w:r>
        <w:rPr>
          <w:rFonts w:ascii="Times New Roman" w:hAnsi="Times New Roman" w:cs="Times New Roman"/>
          <w:lang w:val="en-US"/>
        </w:rPr>
        <w:fldChar w:fldCharType="end"/>
      </w:r>
    </w:p>
    <w:p w14:paraId="4BDC7E76" w14:textId="629DF817" w:rsidR="0086673F" w:rsidRPr="0012694A" w:rsidRDefault="0086673F" w:rsidP="0012694A">
      <w:pPr>
        <w:jc w:val="both"/>
        <w:rPr>
          <w:rFonts w:ascii="Times New Roman" w:hAnsi="Times New Roman" w:cs="Times New Roman"/>
          <w:b/>
          <w:bCs/>
          <w:lang w:val="en-US"/>
        </w:rPr>
      </w:pPr>
      <w:r w:rsidRPr="0012694A">
        <w:rPr>
          <w:rFonts w:ascii="Times New Roman" w:hAnsi="Times New Roman" w:cs="Times New Roman"/>
          <w:b/>
          <w:bCs/>
          <w:lang w:val="en-US"/>
        </w:rPr>
        <w:t>Thresholds for dyslipidemia</w:t>
      </w:r>
    </w:p>
    <w:p w14:paraId="61437B6C" w14:textId="7B1BFE31" w:rsidR="0086673F" w:rsidRPr="0012694A" w:rsidRDefault="0086673F" w:rsidP="0012694A">
      <w:pPr>
        <w:jc w:val="both"/>
        <w:rPr>
          <w:rFonts w:ascii="Times New Roman" w:hAnsi="Times New Roman" w:cs="Times New Roman"/>
          <w:lang w:val="en-US"/>
        </w:rPr>
      </w:pPr>
      <w:r w:rsidRPr="0012694A">
        <w:rPr>
          <w:rFonts w:ascii="Times New Roman" w:hAnsi="Times New Roman" w:cs="Times New Roman"/>
          <w:lang w:val="en-US"/>
        </w:rPr>
        <w:t>Dyslipidemia was considered present if guidelines would recommend statin treatment</w:t>
      </w:r>
      <w:r w:rsidR="006D478C" w:rsidRPr="0012694A">
        <w:rPr>
          <w:rFonts w:ascii="Times New Roman" w:hAnsi="Times New Roman" w:cs="Times New Roman"/>
          <w:lang w:val="en-US"/>
        </w:rPr>
        <w:t xml:space="preserve"> based on the SCORE, whether diabetes was present and thresholds for serum levels of LDL, total cholesterol, </w:t>
      </w:r>
      <w:proofErr w:type="gramStart"/>
      <w:r w:rsidR="006D478C" w:rsidRPr="0012694A">
        <w:rPr>
          <w:rFonts w:ascii="Times New Roman" w:hAnsi="Times New Roman" w:cs="Times New Roman"/>
          <w:lang w:val="en-US"/>
        </w:rPr>
        <w:t>HDL</w:t>
      </w:r>
      <w:proofErr w:type="gramEnd"/>
      <w:r w:rsidR="006D478C" w:rsidRPr="0012694A">
        <w:rPr>
          <w:rFonts w:ascii="Times New Roman" w:hAnsi="Times New Roman" w:cs="Times New Roman"/>
          <w:lang w:val="en-US"/>
        </w:rPr>
        <w:t xml:space="preserve"> or triglyceride.</w:t>
      </w:r>
      <w:r w:rsidR="00213766" w:rsidRPr="0012694A">
        <w:rPr>
          <w:rFonts w:ascii="Times New Roman" w:hAnsi="Times New Roman" w:cs="Times New Roman"/>
          <w:lang w:val="en-US"/>
        </w:rPr>
        <w:t xml:space="preserve"> The following definitions are based on published guidelines</w:t>
      </w:r>
      <w:r w:rsidR="00213766" w:rsidRPr="0012694A">
        <w:rPr>
          <w:rFonts w:ascii="Times New Roman" w:hAnsi="Times New Roman" w:cs="Times New Roman"/>
          <w:lang w:val="en-US"/>
        </w:rPr>
        <w:fldChar w:fldCharType="begin" w:fldLock="1"/>
      </w:r>
      <w:r w:rsidR="0012694A">
        <w:rPr>
          <w:rFonts w:ascii="Times New Roman" w:hAnsi="Times New Roman" w:cs="Times New Roman"/>
          <w:lang w:val="en-US"/>
        </w:rPr>
        <w:instrText>ADDIN CSL_CITATION {"citationItems":[{"id":"ITEM-1","itemData":{"abstract":"https://doi.org/10.1093/eurheartj/ehz455","author":[{"dropping-particle":"","family":"Mach","given":"François","non-dropping-particle":"","parse-names":false,"suffix":""},{"dropping-particle":"","family":"Baigent","given":"Colin","non-dropping-particle":"","parse-names":false,"suffix":""},{"dropping-particle":"","family":"Catapano","given":"Alberico L.","non-dropping-particle":"","parse-names":false,"suffix":""},{"dropping-particle":"","family":"Koskinas","given":"Konstantinos C.","non-dropping-particle":"","parse-names":false,"suffix":""},{"dropping-particle":"","family":"Casula","given":"Manuela","non-dropping-particle":"","parse-names":false,"suffix":""},{"dropping-particle":"","family":"Badimon","given":"Lina","non-dropping-particle":"","parse-names":false,"suffix":""},{"dropping-particle":"","family":"Chapman","given":"M. John","non-dropping-particle":"","parse-names":false,"suffix":""},{"dropping-particle":"","family":"Backer","given":"Guy","non-dropping-particle":"De","parse-names":false,"suffix":""},{"dropping-particle":"","family":"Delgado","given":"Victoria","non-dropping-particle":"","parse-names":false,"suffix":""},{"dropping-particle":"","family":"Ference","given":"Brian A.","non-dropping-particle":"","parse-names":false,"suffix":""},{"dropping-particle":"","family":"Graham","given":"Ian M.","non-dropping-particle":"","parse-names":false,"suffix":""},{"dropping-particle":"","family":"Halliday","given":"Alison","non-dropping-particle":"","parse-names":false,"suffix":""},{"dropping-particle":"","family":"Landmesser","given":"Ulf","non-dropping-particle":"","parse-names":false,"suffix":""},{"dropping-particle":"","family":"Mihaylova","given":"Borislava","non-dropping-particle":"","parse-names":false,"suffix":""},{"dropping-particle":"","family":"Pedersen","given":"Terje R.","non-dropping-particle":"","parse-names":false,"suffix":""},{"dropping-particle":"","family":"Riccardi","given":"Gabriele","non-dropping-particle":"","parse-names":false,"suffix":""},{"dropping-particle":"","family":"Richter","given":"Dimitrios J.","non-dropping-particle":"","parse-names":false,"suffix":""},{"dropping-particle":"","family":"Sabatine","given":"Marc S.","non-dropping-particle":"","parse-names":false,"suffix":""},{"dropping-particle":"","family":"Taskinen","given":"Marja-Riitta","non-dropping-particle":"","parse-names":false,"suffix":""},{"dropping-particle":"","family":"Tokgozoglu","given":"Lale","non-dropping-particle":"","parse-names":false,"suffix":""},{"dropping-particle":"","family":"Wiklund","given":"Olov","non-dropping-particle":"","parse-names":false,"suffix":""}],"container-title":"European Heart Journal","id":"ITEM-1","issue":"1","issued":{"date-parts":[["2019"]]},"page":"121-127","title":"2019 ESC/EAS Guidelines for the management of dyslipidaemias: lipid modification to reduce cardiovascular risk","type":"article-journal","volume":"48"},"uris":["http://www.mendeley.com/documents/?uuid=458cbdb7-e89b-3ba0-a6d7-40c2142f0628"]}],"mendeley":{"formattedCitation":"[1]","plainTextFormattedCitation":"[1]","previouslyFormattedCitation":"(Mach et al. 2019b)"},"properties":{"noteIndex":0},"schema":"https://github.com/citation-style-language/schema/raw/master/csl-citation.json"}</w:instrText>
      </w:r>
      <w:r w:rsidR="00213766" w:rsidRPr="0012694A">
        <w:rPr>
          <w:rFonts w:ascii="Times New Roman" w:hAnsi="Times New Roman" w:cs="Times New Roman"/>
          <w:lang w:val="en-US"/>
        </w:rPr>
        <w:fldChar w:fldCharType="separate"/>
      </w:r>
      <w:r w:rsidR="0012694A" w:rsidRPr="0012694A">
        <w:rPr>
          <w:rFonts w:ascii="Times New Roman" w:hAnsi="Times New Roman" w:cs="Times New Roman"/>
          <w:noProof/>
          <w:lang w:val="en-US"/>
        </w:rPr>
        <w:t>[1]</w:t>
      </w:r>
      <w:r w:rsidR="00213766" w:rsidRPr="0012694A">
        <w:rPr>
          <w:rFonts w:ascii="Times New Roman" w:hAnsi="Times New Roman" w:cs="Times New Roman"/>
          <w:lang w:val="en-US"/>
        </w:rPr>
        <w:fldChar w:fldCharType="end"/>
      </w:r>
      <w:r w:rsidR="00213766" w:rsidRPr="0012694A">
        <w:rPr>
          <w:rFonts w:ascii="Times New Roman" w:hAnsi="Times New Roman" w:cs="Times New Roman"/>
          <w:lang w:val="en-US"/>
        </w:rPr>
        <w:t>.</w:t>
      </w:r>
    </w:p>
    <w:p w14:paraId="4F7B7605" w14:textId="4EFBC323" w:rsidR="0086673F" w:rsidRPr="0012694A" w:rsidRDefault="0086673F" w:rsidP="0012694A">
      <w:pPr>
        <w:pStyle w:val="Listeafsni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en-US"/>
        </w:rPr>
      </w:pPr>
      <w:r w:rsidRPr="0012694A">
        <w:rPr>
          <w:rFonts w:ascii="Times New Roman" w:hAnsi="Times New Roman" w:cs="Times New Roman"/>
          <w:lang w:val="en-US"/>
        </w:rPr>
        <w:t>For individuals at low risk (SCORE&lt;1), dyslipidemia was considered present if LDL was ≥3.0 mmol/L</w:t>
      </w:r>
    </w:p>
    <w:p w14:paraId="64D35A5A" w14:textId="0972B9F4" w:rsidR="0086673F" w:rsidRPr="0012694A" w:rsidRDefault="0086673F" w:rsidP="0012694A">
      <w:pPr>
        <w:pStyle w:val="Listeafsni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en-US"/>
        </w:rPr>
      </w:pPr>
      <w:r w:rsidRPr="0012694A">
        <w:rPr>
          <w:rFonts w:ascii="Times New Roman" w:hAnsi="Times New Roman" w:cs="Times New Roman"/>
          <w:lang w:val="en-US"/>
        </w:rPr>
        <w:t xml:space="preserve">For individuals at </w:t>
      </w:r>
      <w:r w:rsidRPr="0012694A">
        <w:rPr>
          <w:rFonts w:ascii="Times New Roman" w:hAnsi="Times New Roman" w:cs="Times New Roman"/>
          <w:lang w:val="en-US"/>
        </w:rPr>
        <w:t>moderate</w:t>
      </w:r>
      <w:r w:rsidRPr="0012694A">
        <w:rPr>
          <w:rFonts w:ascii="Times New Roman" w:hAnsi="Times New Roman" w:cs="Times New Roman"/>
          <w:lang w:val="en-US"/>
        </w:rPr>
        <w:t xml:space="preserve"> risk (SCORE</w:t>
      </w:r>
      <w:r w:rsidRPr="0012694A">
        <w:rPr>
          <w:rFonts w:ascii="Times New Roman" w:hAnsi="Times New Roman" w:cs="Times New Roman"/>
          <w:lang w:val="en-US"/>
        </w:rPr>
        <w:t xml:space="preserve"> 1-4</w:t>
      </w:r>
      <w:r w:rsidRPr="0012694A">
        <w:rPr>
          <w:rFonts w:ascii="Times New Roman" w:hAnsi="Times New Roman" w:cs="Times New Roman"/>
          <w:lang w:val="en-US"/>
        </w:rPr>
        <w:t>), dyslipidemia was considered present if LDL was ≥</w:t>
      </w:r>
      <w:r w:rsidRPr="0012694A">
        <w:rPr>
          <w:rFonts w:ascii="Times New Roman" w:hAnsi="Times New Roman" w:cs="Times New Roman"/>
          <w:lang w:val="en-US"/>
        </w:rPr>
        <w:t>2</w:t>
      </w:r>
      <w:r w:rsidRPr="0012694A">
        <w:rPr>
          <w:rFonts w:ascii="Times New Roman" w:hAnsi="Times New Roman" w:cs="Times New Roman"/>
          <w:lang w:val="en-US"/>
        </w:rPr>
        <w:t>.</w:t>
      </w:r>
      <w:r w:rsidRPr="0012694A">
        <w:rPr>
          <w:rFonts w:ascii="Times New Roman" w:hAnsi="Times New Roman" w:cs="Times New Roman"/>
          <w:lang w:val="en-US"/>
        </w:rPr>
        <w:t>6</w:t>
      </w:r>
      <w:r w:rsidRPr="0012694A">
        <w:rPr>
          <w:rFonts w:ascii="Times New Roman" w:hAnsi="Times New Roman" w:cs="Times New Roman"/>
          <w:lang w:val="en-US"/>
        </w:rPr>
        <w:t xml:space="preserve"> mmol/L</w:t>
      </w:r>
    </w:p>
    <w:p w14:paraId="72035349" w14:textId="41B224B0" w:rsidR="0086673F" w:rsidRPr="0012694A" w:rsidRDefault="0086673F" w:rsidP="0012694A">
      <w:pPr>
        <w:pStyle w:val="Listeafsni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en-US"/>
        </w:rPr>
      </w:pPr>
      <w:r w:rsidRPr="0012694A">
        <w:rPr>
          <w:rFonts w:ascii="Times New Roman" w:hAnsi="Times New Roman" w:cs="Times New Roman"/>
          <w:lang w:val="en-US"/>
        </w:rPr>
        <w:t>For individuals at</w:t>
      </w:r>
      <w:r w:rsidRPr="0012694A">
        <w:rPr>
          <w:rFonts w:ascii="Times New Roman" w:hAnsi="Times New Roman" w:cs="Times New Roman"/>
          <w:lang w:val="en-US"/>
        </w:rPr>
        <w:t xml:space="preserve"> high</w:t>
      </w:r>
      <w:r w:rsidRPr="0012694A">
        <w:rPr>
          <w:rFonts w:ascii="Times New Roman" w:hAnsi="Times New Roman" w:cs="Times New Roman"/>
          <w:lang w:val="en-US"/>
        </w:rPr>
        <w:t xml:space="preserve"> risk (SCORE</w:t>
      </w:r>
      <w:r w:rsidRPr="0012694A">
        <w:rPr>
          <w:rFonts w:ascii="Times New Roman" w:hAnsi="Times New Roman" w:cs="Times New Roman"/>
          <w:lang w:val="en-US"/>
        </w:rPr>
        <w:t xml:space="preserve"> 5-10</w:t>
      </w:r>
      <w:r w:rsidR="00AB2723" w:rsidRPr="0012694A">
        <w:rPr>
          <w:rFonts w:ascii="Times New Roman" w:hAnsi="Times New Roman" w:cs="Times New Roman"/>
          <w:lang w:val="en-US"/>
        </w:rPr>
        <w:t xml:space="preserve"> or mean systolic blood pressure ≥180)</w:t>
      </w:r>
      <w:r w:rsidRPr="0012694A">
        <w:rPr>
          <w:rFonts w:ascii="Times New Roman" w:hAnsi="Times New Roman" w:cs="Times New Roman"/>
          <w:lang w:val="en-US"/>
        </w:rPr>
        <w:t>, dyslipidemia was considered present if LDL was ≥</w:t>
      </w:r>
      <w:r w:rsidRPr="0012694A">
        <w:rPr>
          <w:rFonts w:ascii="Times New Roman" w:hAnsi="Times New Roman" w:cs="Times New Roman"/>
          <w:lang w:val="en-US"/>
        </w:rPr>
        <w:t>1.8</w:t>
      </w:r>
      <w:r w:rsidRPr="0012694A">
        <w:rPr>
          <w:rFonts w:ascii="Times New Roman" w:hAnsi="Times New Roman" w:cs="Times New Roman"/>
          <w:lang w:val="en-US"/>
        </w:rPr>
        <w:t xml:space="preserve"> mmol/L</w:t>
      </w:r>
    </w:p>
    <w:p w14:paraId="6A365A36" w14:textId="1979BAED" w:rsidR="006D478C" w:rsidRPr="0012694A" w:rsidRDefault="006D478C" w:rsidP="0012694A">
      <w:pPr>
        <w:pStyle w:val="Listeafsni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en-US"/>
        </w:rPr>
      </w:pPr>
      <w:r w:rsidRPr="0012694A">
        <w:rPr>
          <w:rFonts w:ascii="Times New Roman" w:hAnsi="Times New Roman" w:cs="Times New Roman"/>
          <w:lang w:val="en-US"/>
        </w:rPr>
        <w:t>For individuals at very high risk (SCORE≥10), dyslipidemia was considered present</w:t>
      </w:r>
    </w:p>
    <w:p w14:paraId="6A3E698F" w14:textId="3F4BFEE6" w:rsidR="0086673F" w:rsidRPr="0012694A" w:rsidRDefault="00AB2723" w:rsidP="0012694A">
      <w:pPr>
        <w:pStyle w:val="Listeafsni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en-US"/>
        </w:rPr>
      </w:pPr>
      <w:r w:rsidRPr="0012694A">
        <w:rPr>
          <w:rFonts w:ascii="Times New Roman" w:hAnsi="Times New Roman" w:cs="Times New Roman"/>
          <w:lang w:val="en-US"/>
        </w:rPr>
        <w:t>Individuals with diabetes who reported smoking, this was considered an additional risk factor and the person was placed in the “high risk” category and</w:t>
      </w:r>
      <w:r w:rsidR="0086673F" w:rsidRPr="0012694A">
        <w:rPr>
          <w:rFonts w:ascii="Times New Roman" w:hAnsi="Times New Roman" w:cs="Times New Roman"/>
          <w:lang w:val="en-US"/>
        </w:rPr>
        <w:t xml:space="preserve"> dyslipidemia was considered present if LDL was</w:t>
      </w:r>
      <w:r w:rsidR="006D478C" w:rsidRPr="0012694A">
        <w:rPr>
          <w:rFonts w:ascii="Times New Roman" w:hAnsi="Times New Roman" w:cs="Times New Roman"/>
          <w:lang w:val="en-US"/>
        </w:rPr>
        <w:t xml:space="preserve"> </w:t>
      </w:r>
      <w:r w:rsidR="0086673F" w:rsidRPr="0012694A">
        <w:rPr>
          <w:rFonts w:ascii="Times New Roman" w:hAnsi="Times New Roman" w:cs="Times New Roman"/>
          <w:lang w:val="en-US"/>
        </w:rPr>
        <w:t>≥</w:t>
      </w:r>
      <w:r w:rsidR="006D478C" w:rsidRPr="0012694A">
        <w:rPr>
          <w:rFonts w:ascii="Times New Roman" w:hAnsi="Times New Roman" w:cs="Times New Roman"/>
          <w:lang w:val="en-US"/>
        </w:rPr>
        <w:t xml:space="preserve"> </w:t>
      </w:r>
      <w:r w:rsidR="0086673F" w:rsidRPr="0012694A">
        <w:rPr>
          <w:rFonts w:ascii="Times New Roman" w:hAnsi="Times New Roman" w:cs="Times New Roman"/>
          <w:lang w:val="en-US"/>
        </w:rPr>
        <w:t>1.8</w:t>
      </w:r>
    </w:p>
    <w:p w14:paraId="33ABB91B" w14:textId="79FB853C" w:rsidR="00AB2723" w:rsidRPr="0012694A" w:rsidRDefault="00AB2723" w:rsidP="0012694A">
      <w:pPr>
        <w:pStyle w:val="Listeafsni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en-US"/>
        </w:rPr>
      </w:pPr>
      <w:r w:rsidRPr="0012694A">
        <w:rPr>
          <w:rFonts w:ascii="Times New Roman" w:hAnsi="Times New Roman" w:cs="Times New Roman"/>
          <w:lang w:val="en-US"/>
        </w:rPr>
        <w:t xml:space="preserve">Individuals with diabetes who reported </w:t>
      </w:r>
      <w:r w:rsidRPr="0012694A">
        <w:rPr>
          <w:rFonts w:ascii="Times New Roman" w:hAnsi="Times New Roman" w:cs="Times New Roman"/>
          <w:lang w:val="en-US"/>
        </w:rPr>
        <w:t xml:space="preserve">no </w:t>
      </w:r>
      <w:r w:rsidRPr="0012694A">
        <w:rPr>
          <w:rFonts w:ascii="Times New Roman" w:hAnsi="Times New Roman" w:cs="Times New Roman"/>
          <w:lang w:val="en-US"/>
        </w:rPr>
        <w:t>smoking</w:t>
      </w:r>
      <w:r w:rsidR="006D478C" w:rsidRPr="0012694A">
        <w:rPr>
          <w:rFonts w:ascii="Times New Roman" w:hAnsi="Times New Roman" w:cs="Times New Roman"/>
          <w:lang w:val="en-US"/>
        </w:rPr>
        <w:t xml:space="preserve"> was </w:t>
      </w:r>
      <w:r w:rsidRPr="0012694A">
        <w:rPr>
          <w:rFonts w:ascii="Times New Roman" w:hAnsi="Times New Roman" w:cs="Times New Roman"/>
          <w:lang w:val="en-US"/>
        </w:rPr>
        <w:t>plac</w:t>
      </w:r>
      <w:r w:rsidR="006D478C" w:rsidRPr="0012694A">
        <w:rPr>
          <w:rFonts w:ascii="Times New Roman" w:hAnsi="Times New Roman" w:cs="Times New Roman"/>
          <w:lang w:val="en-US"/>
        </w:rPr>
        <w:t>ed</w:t>
      </w:r>
      <w:r w:rsidRPr="0012694A">
        <w:rPr>
          <w:rFonts w:ascii="Times New Roman" w:hAnsi="Times New Roman" w:cs="Times New Roman"/>
          <w:lang w:val="en-US"/>
        </w:rPr>
        <w:t xml:space="preserve"> in the “</w:t>
      </w:r>
      <w:r w:rsidR="006D478C" w:rsidRPr="0012694A">
        <w:rPr>
          <w:rFonts w:ascii="Times New Roman" w:hAnsi="Times New Roman" w:cs="Times New Roman"/>
          <w:lang w:val="en-US"/>
        </w:rPr>
        <w:t>moderate</w:t>
      </w:r>
      <w:r w:rsidRPr="0012694A">
        <w:rPr>
          <w:rFonts w:ascii="Times New Roman" w:hAnsi="Times New Roman" w:cs="Times New Roman"/>
          <w:lang w:val="en-US"/>
        </w:rPr>
        <w:t xml:space="preserve"> risk” category and dyslipidemia was considered present if LDL was</w:t>
      </w:r>
      <w:r w:rsidR="006D478C" w:rsidRPr="0012694A">
        <w:rPr>
          <w:rFonts w:ascii="Times New Roman" w:hAnsi="Times New Roman" w:cs="Times New Roman"/>
          <w:lang w:val="en-US"/>
        </w:rPr>
        <w:t xml:space="preserve"> ≥ 2.6</w:t>
      </w:r>
    </w:p>
    <w:p w14:paraId="4DCB0A03" w14:textId="41334FAC" w:rsidR="00FB3F4C" w:rsidRPr="0012694A" w:rsidRDefault="006D478C" w:rsidP="0012694A">
      <w:pPr>
        <w:pStyle w:val="Listeafsni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en-US"/>
        </w:rPr>
      </w:pPr>
      <w:r w:rsidRPr="0012694A">
        <w:rPr>
          <w:rFonts w:ascii="Times New Roman" w:hAnsi="Times New Roman" w:cs="Times New Roman"/>
          <w:lang w:val="en-US"/>
        </w:rPr>
        <w:t xml:space="preserve">For individuals with one markedly </w:t>
      </w:r>
      <w:r w:rsidRPr="0012694A">
        <w:rPr>
          <w:rFonts w:ascii="Times New Roman" w:hAnsi="Times New Roman" w:cs="Times New Roman"/>
          <w:lang w:val="en-US"/>
        </w:rPr>
        <w:t>elevated single risk factor including serum total cholesterol ≥8 or serum LDL≥5</w:t>
      </w:r>
      <w:r w:rsidRPr="0012694A">
        <w:rPr>
          <w:rFonts w:ascii="Times New Roman" w:hAnsi="Times New Roman" w:cs="Times New Roman"/>
          <w:lang w:val="en-US"/>
        </w:rPr>
        <w:t>, dyslipidemia was considered present</w:t>
      </w:r>
    </w:p>
    <w:p w14:paraId="68846381" w14:textId="71C83AAA" w:rsidR="006D478C" w:rsidRPr="0012694A" w:rsidRDefault="006D478C" w:rsidP="0012694A">
      <w:pPr>
        <w:pStyle w:val="Listeafsni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en-US"/>
        </w:rPr>
      </w:pPr>
      <w:r w:rsidRPr="0012694A">
        <w:rPr>
          <w:rFonts w:ascii="Times New Roman" w:hAnsi="Times New Roman" w:cs="Times New Roman"/>
          <w:lang w:val="en-US"/>
        </w:rPr>
        <w:t xml:space="preserve">Dyslipidemia was considered present if </w:t>
      </w:r>
      <w:r w:rsidR="002F06E5" w:rsidRPr="0012694A">
        <w:rPr>
          <w:rFonts w:ascii="Times New Roman" w:hAnsi="Times New Roman" w:cs="Times New Roman"/>
          <w:lang w:val="en-US"/>
        </w:rPr>
        <w:t>serum-triglyceride was &gt; 1.7</w:t>
      </w:r>
    </w:p>
    <w:p w14:paraId="78B59303" w14:textId="6F163E18" w:rsidR="006D478C" w:rsidRPr="0012694A" w:rsidRDefault="006D478C" w:rsidP="0012694A">
      <w:pPr>
        <w:pStyle w:val="Listeafsni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en-US"/>
        </w:rPr>
      </w:pPr>
      <w:r w:rsidRPr="0012694A">
        <w:rPr>
          <w:rFonts w:ascii="Times New Roman" w:hAnsi="Times New Roman" w:cs="Times New Roman"/>
          <w:lang w:val="en-US"/>
        </w:rPr>
        <w:t>For males at low risk (SCORE&lt;1), dyslipidemia was considered present if serum HDL was &lt; 1.2</w:t>
      </w:r>
    </w:p>
    <w:p w14:paraId="4EDECB5A" w14:textId="22C574B5" w:rsidR="0012694A" w:rsidRPr="0012694A" w:rsidRDefault="006D478C" w:rsidP="0012694A">
      <w:pPr>
        <w:pStyle w:val="Listeafsni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en-US"/>
        </w:rPr>
      </w:pPr>
      <w:r w:rsidRPr="0012694A">
        <w:rPr>
          <w:rFonts w:ascii="Times New Roman" w:hAnsi="Times New Roman" w:cs="Times New Roman"/>
          <w:lang w:val="en-US"/>
        </w:rPr>
        <w:t>For females at low risk (SCORE&lt;1), dyslipidemia was considered present if serum HDL was &lt; 1.0</w:t>
      </w:r>
    </w:p>
    <w:p w14:paraId="5BB18AA2" w14:textId="49DC8B56" w:rsidR="0012694A" w:rsidRPr="0012694A" w:rsidRDefault="0012694A" w:rsidP="0012694A">
      <w:pPr>
        <w:jc w:val="both"/>
        <w:rPr>
          <w:rFonts w:ascii="Times New Roman" w:hAnsi="Times New Roman" w:cs="Times New Roman"/>
          <w:b/>
          <w:bCs/>
          <w:lang w:val="en-US"/>
        </w:rPr>
      </w:pPr>
      <w:r w:rsidRPr="0012694A">
        <w:rPr>
          <w:rFonts w:ascii="Times New Roman" w:hAnsi="Times New Roman" w:cs="Times New Roman"/>
          <w:b/>
          <w:bCs/>
          <w:lang w:val="en-US"/>
        </w:rPr>
        <w:t>References</w:t>
      </w:r>
    </w:p>
    <w:p w14:paraId="12F03F10" w14:textId="16AFECAC" w:rsidR="0012694A" w:rsidRPr="0012694A" w:rsidRDefault="0012694A" w:rsidP="0012694A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 w:rsidRPr="0012694A">
        <w:rPr>
          <w:rFonts w:ascii="Times New Roman" w:hAnsi="Times New Roman" w:cs="Times New Roman"/>
          <w:b/>
          <w:bCs/>
          <w:lang w:val="en-US"/>
        </w:rPr>
        <w:fldChar w:fldCharType="begin" w:fldLock="1"/>
      </w:r>
      <w:r w:rsidRPr="0012694A">
        <w:rPr>
          <w:rFonts w:ascii="Times New Roman" w:hAnsi="Times New Roman" w:cs="Times New Roman"/>
          <w:b/>
          <w:bCs/>
          <w:lang w:val="en-US"/>
        </w:rPr>
        <w:instrText xml:space="preserve">ADDIN Mendeley Bibliography CSL_BIBLIOGRAPHY </w:instrText>
      </w:r>
      <w:r w:rsidRPr="0012694A">
        <w:rPr>
          <w:rFonts w:ascii="Times New Roman" w:hAnsi="Times New Roman" w:cs="Times New Roman"/>
          <w:b/>
          <w:bCs/>
          <w:lang w:val="en-US"/>
        </w:rPr>
        <w:fldChar w:fldCharType="separate"/>
      </w:r>
      <w:r w:rsidRPr="0012694A">
        <w:rPr>
          <w:rFonts w:ascii="Times New Roman" w:hAnsi="Times New Roman" w:cs="Times New Roman"/>
          <w:noProof/>
          <w:szCs w:val="24"/>
        </w:rPr>
        <w:t xml:space="preserve">[1] </w:t>
      </w:r>
      <w:r w:rsidRPr="0012694A">
        <w:rPr>
          <w:rFonts w:ascii="Times New Roman" w:hAnsi="Times New Roman" w:cs="Times New Roman"/>
          <w:noProof/>
          <w:szCs w:val="24"/>
        </w:rPr>
        <w:tab/>
        <w:t xml:space="preserve">Mach F, Baigent C, Catapano AL, et al. 2019 ESC/EAS Guidelines for the management of dyslipidaemias: lipid modification to reduce cardiovascular risk. </w:t>
      </w:r>
      <w:r w:rsidRPr="0012694A">
        <w:rPr>
          <w:rFonts w:ascii="Times New Roman" w:hAnsi="Times New Roman" w:cs="Times New Roman"/>
          <w:i/>
          <w:iCs/>
          <w:noProof/>
          <w:szCs w:val="24"/>
        </w:rPr>
        <w:t>Eur Heart J</w:t>
      </w:r>
      <w:r w:rsidRPr="0012694A">
        <w:rPr>
          <w:rFonts w:ascii="Times New Roman" w:hAnsi="Times New Roman" w:cs="Times New Roman"/>
          <w:noProof/>
          <w:szCs w:val="24"/>
        </w:rPr>
        <w:t xml:space="preserve"> 2019; 48: 121–127.</w:t>
      </w:r>
      <w:r>
        <w:rPr>
          <w:rFonts w:ascii="Times New Roman" w:hAnsi="Times New Roman" w:cs="Times New Roman"/>
          <w:noProof/>
          <w:szCs w:val="24"/>
        </w:rPr>
        <w:t xml:space="preserve"> </w:t>
      </w:r>
      <w:r w:rsidRPr="0012694A">
        <w:rPr>
          <w:rFonts w:ascii="Times New Roman" w:hAnsi="Times New Roman" w:cs="Times New Roman"/>
          <w:noProof/>
          <w:szCs w:val="24"/>
        </w:rPr>
        <w:t>https://doi.org/10.1093/eurheartj/ehz455</w:t>
      </w:r>
    </w:p>
    <w:p w14:paraId="25AFF3AC" w14:textId="65877D4A" w:rsidR="0012694A" w:rsidRPr="0012694A" w:rsidRDefault="0012694A" w:rsidP="0012694A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</w:rPr>
      </w:pPr>
      <w:r w:rsidRPr="0012694A">
        <w:rPr>
          <w:rFonts w:ascii="Times New Roman" w:hAnsi="Times New Roman" w:cs="Times New Roman"/>
          <w:noProof/>
          <w:szCs w:val="24"/>
        </w:rPr>
        <w:t xml:space="preserve">[2] </w:t>
      </w:r>
      <w:r w:rsidRPr="0012694A">
        <w:rPr>
          <w:rFonts w:ascii="Times New Roman" w:hAnsi="Times New Roman" w:cs="Times New Roman"/>
          <w:noProof/>
          <w:szCs w:val="24"/>
        </w:rPr>
        <w:tab/>
        <w:t xml:space="preserve">Mach F, Baigent C, Catapano AL, et al. 2019 ESC/EAS Guidelines for the management of dyslipidaemias: lipid modification to reduce cardiovascular risk: supplementary data. </w:t>
      </w:r>
      <w:r w:rsidRPr="0012694A">
        <w:rPr>
          <w:rFonts w:ascii="Times New Roman" w:hAnsi="Times New Roman" w:cs="Times New Roman"/>
          <w:i/>
          <w:iCs/>
          <w:noProof/>
          <w:szCs w:val="24"/>
        </w:rPr>
        <w:t>Eur Heart J</w:t>
      </w:r>
      <w:r w:rsidRPr="0012694A">
        <w:rPr>
          <w:rFonts w:ascii="Times New Roman" w:hAnsi="Times New Roman" w:cs="Times New Roman"/>
          <w:noProof/>
          <w:szCs w:val="24"/>
        </w:rPr>
        <w:t xml:space="preserve"> 2019; 00: 5.</w:t>
      </w:r>
      <w:r>
        <w:rPr>
          <w:rFonts w:ascii="Times New Roman" w:hAnsi="Times New Roman" w:cs="Times New Roman"/>
          <w:noProof/>
          <w:szCs w:val="24"/>
        </w:rPr>
        <w:t xml:space="preserve"> </w:t>
      </w:r>
      <w:r w:rsidRPr="0012694A">
        <w:rPr>
          <w:rFonts w:ascii="Times New Roman" w:hAnsi="Times New Roman" w:cs="Times New Roman"/>
          <w:noProof/>
          <w:szCs w:val="24"/>
        </w:rPr>
        <w:t>https://doi.org/10.1093/eurheartj/ehz455</w:t>
      </w:r>
    </w:p>
    <w:p w14:paraId="1F8D2B5C" w14:textId="0DB169AE" w:rsidR="00213766" w:rsidRPr="0012694A" w:rsidRDefault="0012694A" w:rsidP="0012694A">
      <w:pPr>
        <w:jc w:val="both"/>
        <w:rPr>
          <w:rFonts w:ascii="Times New Roman" w:hAnsi="Times New Roman" w:cs="Times New Roman"/>
          <w:b/>
          <w:bCs/>
          <w:lang w:val="en-US"/>
        </w:rPr>
      </w:pPr>
      <w:r w:rsidRPr="0012694A">
        <w:rPr>
          <w:rFonts w:ascii="Times New Roman" w:hAnsi="Times New Roman" w:cs="Times New Roman"/>
          <w:b/>
          <w:bCs/>
          <w:lang w:val="en-US"/>
        </w:rPr>
        <w:fldChar w:fldCharType="end"/>
      </w:r>
    </w:p>
    <w:sectPr w:rsidR="00213766" w:rsidRPr="0012694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C5BE9"/>
    <w:multiLevelType w:val="hybridMultilevel"/>
    <w:tmpl w:val="9A30C5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4C"/>
    <w:rsid w:val="0012694A"/>
    <w:rsid w:val="00213766"/>
    <w:rsid w:val="002F06E5"/>
    <w:rsid w:val="00462882"/>
    <w:rsid w:val="006D478C"/>
    <w:rsid w:val="0086673F"/>
    <w:rsid w:val="00A33BBA"/>
    <w:rsid w:val="00AB2723"/>
    <w:rsid w:val="00AB77F2"/>
    <w:rsid w:val="00FB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967A8"/>
  <w15:chartTrackingRefBased/>
  <w15:docId w15:val="{D0E28F9A-3099-4A1D-BD99-AC60651D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6673F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86673F"/>
    <w:rPr>
      <w:color w:val="808080"/>
    </w:rPr>
  </w:style>
  <w:style w:type="character" w:styleId="Hyperlink">
    <w:name w:val="Hyperlink"/>
    <w:basedOn w:val="Standardskrifttypeiafsnit"/>
    <w:uiPriority w:val="99"/>
    <w:semiHidden/>
    <w:unhideWhenUsed/>
    <w:rsid w:val="001269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7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8F6AC-3B5F-4A59-BC09-CDCE713BC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2675</Words>
  <Characters>16321</Characters>
  <Application>Microsoft Office Word</Application>
  <DocSecurity>0</DocSecurity>
  <Lines>136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Trab</dc:creator>
  <cp:keywords/>
  <dc:description/>
  <cp:lastModifiedBy>Trine Trab</cp:lastModifiedBy>
  <cp:revision>1</cp:revision>
  <dcterms:created xsi:type="dcterms:W3CDTF">2021-04-13T14:00:00Z</dcterms:created>
  <dcterms:modified xsi:type="dcterms:W3CDTF">2021-04-13T15:46:00Z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http://www.zotero.org/styles/sage-vancouver-brackets</vt:lpwstr>
  </property>
  <property fmtid="{D5CDD505-2E9C-101B-9397-08002B2CF9AE}" pid="17" name="Mendeley Recent Style Name 7_1">
    <vt:lpwstr>SAGE - Vancouver (brackets)</vt:lpwstr>
  </property>
  <property fmtid="{D5CDD505-2E9C-101B-9397-08002B2CF9AE}" pid="18" name="Mendeley Recent Style Id 8_1">
    <vt:lpwstr>http://www.zotero.org/styles/schizophrenia-research</vt:lpwstr>
  </property>
  <property fmtid="{D5CDD505-2E9C-101B-9397-08002B2CF9AE}" pid="19" name="Mendeley Recent Style Name 8_1">
    <vt:lpwstr>Schizophrenia Research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3a68b103-2e4d-3abb-8d38-7051c245f91e</vt:lpwstr>
  </property>
  <property fmtid="{D5CDD505-2E9C-101B-9397-08002B2CF9AE}" pid="24" name="Mendeley Citation Style_1">
    <vt:lpwstr>http://www.zotero.org/styles/sage-vancouver-brackets</vt:lpwstr>
  </property>
</Properties>
</file>