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40AA" w14:textId="77777777" w:rsidR="001C377E" w:rsidRPr="001C377E" w:rsidRDefault="001C377E" w:rsidP="001C377E">
      <w:pPr>
        <w:spacing w:afterLines="50" w:after="156"/>
        <w:jc w:val="center"/>
        <w:rPr>
          <w:rFonts w:ascii="Arial" w:hAnsi="Arial" w:cs="Arial"/>
          <w:b/>
          <w:sz w:val="36"/>
          <w:szCs w:val="36"/>
        </w:rPr>
      </w:pPr>
      <w:r w:rsidRPr="001C377E">
        <w:rPr>
          <w:rFonts w:ascii="Arial" w:hAnsi="Arial" w:cs="Arial"/>
          <w:b/>
          <w:sz w:val="36"/>
          <w:szCs w:val="36"/>
        </w:rPr>
        <w:t>Supplementary Info for:</w:t>
      </w:r>
    </w:p>
    <w:p w14:paraId="573D9552" w14:textId="77777777" w:rsidR="001C377E" w:rsidRPr="001C377E" w:rsidRDefault="001C377E" w:rsidP="001C377E">
      <w:pPr>
        <w:spacing w:afterLines="50" w:after="156" w:line="480" w:lineRule="auto"/>
        <w:jc w:val="center"/>
        <w:rPr>
          <w:rFonts w:ascii="Arial" w:eastAsiaTheme="majorHAnsi" w:hAnsi="Arial" w:cs="Arial"/>
          <w:b/>
          <w:bCs/>
          <w:sz w:val="32"/>
          <w:szCs w:val="36"/>
        </w:rPr>
      </w:pPr>
      <w:r>
        <w:rPr>
          <w:rFonts w:ascii="Arial" w:eastAsiaTheme="majorHAnsi" w:hAnsi="Arial" w:cs="Arial" w:hint="eastAsia"/>
          <w:b/>
          <w:bCs/>
          <w:sz w:val="32"/>
          <w:szCs w:val="36"/>
        </w:rPr>
        <w:t>Region</w:t>
      </w:r>
      <w:r>
        <w:rPr>
          <w:rFonts w:ascii="Arial" w:eastAsiaTheme="majorHAnsi" w:hAnsi="Arial" w:cs="Arial"/>
          <w:b/>
          <w:bCs/>
          <w:sz w:val="32"/>
          <w:szCs w:val="36"/>
        </w:rPr>
        <w:t xml:space="preserve">-specific distribution of </w:t>
      </w:r>
      <w:r w:rsidRPr="003241B5">
        <w:rPr>
          <w:rFonts w:ascii="Arial" w:eastAsiaTheme="majorHAnsi" w:hAnsi="Arial" w:cs="Arial"/>
          <w:b/>
          <w:bCs/>
          <w:sz w:val="32"/>
          <w:szCs w:val="36"/>
        </w:rPr>
        <w:t>Olig2</w:t>
      </w:r>
      <w:r>
        <w:rPr>
          <w:rFonts w:ascii="Arial" w:eastAsiaTheme="majorHAnsi" w:hAnsi="Arial" w:cs="Arial"/>
          <w:b/>
          <w:bCs/>
          <w:sz w:val="32"/>
          <w:szCs w:val="36"/>
        </w:rPr>
        <w:t xml:space="preserve">-expressing astrocytes </w:t>
      </w:r>
      <w:r w:rsidRPr="003241B5">
        <w:rPr>
          <w:rFonts w:ascii="Arial" w:eastAsiaTheme="majorHAnsi" w:hAnsi="Arial" w:cs="Arial"/>
          <w:b/>
          <w:bCs/>
          <w:sz w:val="32"/>
          <w:szCs w:val="36"/>
        </w:rPr>
        <w:t xml:space="preserve">in adult </w:t>
      </w:r>
      <w:r>
        <w:rPr>
          <w:rFonts w:ascii="Arial" w:eastAsiaTheme="majorHAnsi" w:hAnsi="Arial" w:cs="Arial"/>
          <w:b/>
          <w:bCs/>
          <w:sz w:val="32"/>
          <w:szCs w:val="36"/>
        </w:rPr>
        <w:t>mouse brain and spinal cord</w:t>
      </w:r>
    </w:p>
    <w:p w14:paraId="70964347" w14:textId="07DC1EFB" w:rsidR="001C377E" w:rsidRDefault="001C377E" w:rsidP="001C37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 w:hint="eastAsia"/>
          <w:sz w:val="24"/>
          <w:szCs w:val="24"/>
        </w:rPr>
        <w:t>H</w:t>
      </w:r>
      <w:r w:rsidRPr="00A764CF">
        <w:rPr>
          <w:rFonts w:ascii="Times New Roman" w:hAnsi="Times New Roman" w:cs="Times New Roman"/>
          <w:sz w:val="24"/>
          <w:szCs w:val="24"/>
        </w:rPr>
        <w:t>ui Wang</w:t>
      </w:r>
      <w:r w:rsidRPr="00A764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</w:rPr>
        <w:t>, Liang Xu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Chuying Lai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Kaiyu Hou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Junliang Chen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Yaowei G</w:t>
      </w:r>
      <w:r w:rsidR="008E0E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940">
        <w:rPr>
          <w:rFonts w:ascii="Times New Roman" w:hAnsi="Times New Roman" w:cs="Times New Roman"/>
          <w:sz w:val="24"/>
          <w:szCs w:val="24"/>
        </w:rPr>
        <w:t>Abhijeet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940">
        <w:rPr>
          <w:rFonts w:ascii="Times New Roman" w:hAnsi="Times New Roman" w:cs="Times New Roman"/>
          <w:sz w:val="24"/>
          <w:szCs w:val="24"/>
        </w:rPr>
        <w:t>Sambangi</w:t>
      </w:r>
      <w:r w:rsidRPr="00A764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940">
        <w:rPr>
          <w:rFonts w:ascii="Times New Roman" w:hAnsi="Times New Roman" w:cs="Times New Roman"/>
          <w:sz w:val="24"/>
          <w:szCs w:val="24"/>
        </w:rPr>
        <w:t>Shreya Swaminathan</w:t>
      </w:r>
      <w:r w:rsidRPr="001229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Chunming Xie</w:t>
      </w:r>
      <w:r w:rsidRPr="00A764CF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4*</w:t>
      </w:r>
      <w:r w:rsidRPr="002449D4">
        <w:rPr>
          <w:rFonts w:ascii="Times New Roman" w:hAnsi="Times New Roman" w:cs="Times New Roman" w:hint="eastAsia"/>
          <w:sz w:val="24"/>
          <w:szCs w:val="24"/>
        </w:rPr>
        <w:t>,</w:t>
      </w:r>
      <w:r w:rsidRPr="00244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Zheng Wu</w:t>
      </w:r>
      <w:r w:rsidRPr="00A764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Gong Chen</w:t>
      </w:r>
      <w:r w:rsidRPr="00A764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,3*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FE87D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2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64CF">
        <w:rPr>
          <w:rFonts w:ascii="Times New Roman" w:hAnsi="Times New Roman" w:cs="Times New Roman"/>
          <w:sz w:val="24"/>
          <w:szCs w:val="24"/>
        </w:rPr>
        <w:t>Department of Neurology, Affiliated ZhongDa Hospital, School of Medicine, Southeast University, Nanjing, Jiangsu, China, 210009</w:t>
      </w:r>
    </w:p>
    <w:p w14:paraId="44A6DA41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249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002249">
        <w:rPr>
          <w:rFonts w:ascii="Times New Roman" w:hAnsi="Times New Roman" w:cs="Times New Roman"/>
          <w:sz w:val="24"/>
          <w:szCs w:val="24"/>
        </w:rPr>
        <w:t>Department of Biology, Huck Institutes of Life Sciences, Pennsylvania State University, University Park, PA 16802, USA</w:t>
      </w:r>
    </w:p>
    <w:p w14:paraId="500FB718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0C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70C76">
        <w:rPr>
          <w:rFonts w:ascii="Times New Roman" w:hAnsi="Times New Roman" w:cs="Times New Roman"/>
          <w:sz w:val="24"/>
          <w:szCs w:val="24"/>
        </w:rPr>
        <w:t>GHM Institute of CNS Regeneration, Jinan University, Guangzhou 510632, China</w:t>
      </w:r>
    </w:p>
    <w:p w14:paraId="05EFF880" w14:textId="77777777" w:rsidR="001C377E" w:rsidRDefault="001C377E" w:rsidP="001C377E">
      <w:pPr>
        <w:tabs>
          <w:tab w:val="left" w:pos="23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764CF">
        <w:rPr>
          <w:rFonts w:ascii="Times New Roman" w:hAnsi="Times New Roman" w:cs="Times New Roman"/>
          <w:sz w:val="24"/>
          <w:szCs w:val="24"/>
        </w:rPr>
        <w:t>Institute of Neuropsychiatry, Affiliated ZhongDa Hospital, Southeast University, Nanjing, Jiangsu, China, 210009</w:t>
      </w:r>
    </w:p>
    <w:p w14:paraId="621D05BD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orrespondence should be addressed to: </w:t>
      </w:r>
    </w:p>
    <w:p w14:paraId="0E720931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Chunming Xie, M.D. &amp; Ph.D., Department of Neurology, Institute of Neuropsychiatry, Affiliated Zhongda Hospital, School of Medicine, Southeast University, Nanjing, China, 210009; </w:t>
      </w:r>
    </w:p>
    <w:p w14:paraId="47D754FF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Tel: 0086-25-83262241</w:t>
      </w:r>
    </w:p>
    <w:p w14:paraId="2AE49D52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FD5BF4">
          <w:rPr>
            <w:rFonts w:ascii="Times New Roman" w:hAnsi="Times New Roman" w:cs="Times New Roman"/>
            <w:sz w:val="24"/>
            <w:szCs w:val="24"/>
          </w:rPr>
          <w:t>chmxie@163.com</w:t>
        </w:r>
      </w:hyperlink>
    </w:p>
    <w:p w14:paraId="1F740EBC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426601C3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Zheng Wu, </w:t>
      </w:r>
      <w:r w:rsidRPr="00FD5BF4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B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D5BF4">
        <w:rPr>
          <w:rFonts w:ascii="Times New Roman" w:hAnsi="Times New Roman" w:cs="Times New Roman"/>
          <w:sz w:val="24"/>
          <w:szCs w:val="24"/>
        </w:rPr>
        <w:t xml:space="preserve">Professor </w:t>
      </w:r>
    </w:p>
    <w:p w14:paraId="5E5E69E8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44E">
        <w:rPr>
          <w:rFonts w:ascii="Times New Roman" w:hAnsi="Times New Roman" w:cs="Times New Roman"/>
          <w:sz w:val="24"/>
          <w:szCs w:val="24"/>
        </w:rPr>
        <w:t>GHM Institute of CNS Regeneration, Jinan University</w:t>
      </w:r>
    </w:p>
    <w:p w14:paraId="6711E1D7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44E">
        <w:rPr>
          <w:rFonts w:ascii="Times New Roman" w:hAnsi="Times New Roman" w:cs="Times New Roman"/>
          <w:sz w:val="24"/>
          <w:szCs w:val="24"/>
        </w:rPr>
        <w:lastRenderedPageBreak/>
        <w:t>Guangzhou 510632, China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1D8E9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FD5B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(86)020-85228384</w:t>
      </w:r>
    </w:p>
    <w:p w14:paraId="2BBB3A63" w14:textId="77777777" w:rsidR="001C377E" w:rsidRPr="008A5A33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BF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zhengwu@jnu.edu.cn</w:t>
      </w:r>
    </w:p>
    <w:p w14:paraId="48BBB657" w14:textId="77777777" w:rsidR="001C377E" w:rsidRPr="00FD5BF4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BF4">
        <w:rPr>
          <w:rFonts w:ascii="Times New Roman" w:hAnsi="Times New Roman" w:cs="Times New Roman"/>
          <w:sz w:val="24"/>
          <w:szCs w:val="24"/>
        </w:rPr>
        <w:t>Or</w:t>
      </w:r>
    </w:p>
    <w:p w14:paraId="644F014B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BF4">
        <w:rPr>
          <w:rFonts w:ascii="Times New Roman" w:hAnsi="Times New Roman" w:cs="Times New Roman"/>
          <w:sz w:val="24"/>
          <w:szCs w:val="24"/>
        </w:rPr>
        <w:t>Gong Chen,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B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D5BF4">
        <w:rPr>
          <w:rFonts w:ascii="Times New Roman" w:hAnsi="Times New Roman" w:cs="Times New Roman"/>
          <w:sz w:val="24"/>
          <w:szCs w:val="24"/>
        </w:rPr>
        <w:t xml:space="preserve">Professor </w:t>
      </w:r>
    </w:p>
    <w:p w14:paraId="45F18458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44E">
        <w:rPr>
          <w:rFonts w:ascii="Times New Roman" w:hAnsi="Times New Roman" w:cs="Times New Roman"/>
          <w:sz w:val="24"/>
          <w:szCs w:val="24"/>
        </w:rPr>
        <w:t>GHM Institute of CNS Regeneration, Jinan University</w:t>
      </w:r>
    </w:p>
    <w:p w14:paraId="5D6F0599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44E">
        <w:rPr>
          <w:rFonts w:ascii="Times New Roman" w:hAnsi="Times New Roman" w:cs="Times New Roman"/>
          <w:sz w:val="24"/>
          <w:szCs w:val="24"/>
        </w:rPr>
        <w:t>Guangzhou 510632, China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6B26D" w14:textId="77777777" w:rsidR="001C377E" w:rsidRDefault="001C377E" w:rsidP="001C3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FD5B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(86) 156-2647-4467 </w:t>
      </w:r>
    </w:p>
    <w:p w14:paraId="5867AC07" w14:textId="77777777" w:rsidR="001C377E" w:rsidRDefault="001C377E" w:rsidP="001C377E">
      <w:pPr>
        <w:rPr>
          <w:rFonts w:ascii="Times New Roman" w:hAnsi="Times New Roman" w:cs="Times New Roman"/>
          <w:sz w:val="24"/>
          <w:szCs w:val="24"/>
        </w:rPr>
      </w:pPr>
      <w:r w:rsidRPr="00FD5BF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CF22BB">
          <w:rPr>
            <w:rStyle w:val="a7"/>
            <w:rFonts w:ascii="Times New Roman" w:hAnsi="Times New Roman" w:cs="Times New Roman"/>
            <w:sz w:val="24"/>
            <w:szCs w:val="24"/>
          </w:rPr>
          <w:t>gongchen@jnu.edu.cn</w:t>
        </w:r>
      </w:hyperlink>
    </w:p>
    <w:p w14:paraId="3196CFDE" w14:textId="77777777" w:rsidR="006A3F02" w:rsidRDefault="001C377E" w:rsidP="001C377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3F7DBC" w14:textId="3D292134" w:rsidR="001C377E" w:rsidRPr="001C377E" w:rsidRDefault="001C377E" w:rsidP="001C377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77E"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 w:rsidRPr="001C377E">
        <w:rPr>
          <w:rFonts w:ascii="Times New Roman" w:hAnsi="Times New Roman" w:cs="Times New Roman"/>
          <w:b/>
          <w:sz w:val="24"/>
          <w:szCs w:val="24"/>
        </w:rPr>
        <w:t>upplementary Table 1. Zeiss Confocal</w:t>
      </w:r>
      <w:r w:rsidR="00DD4D15">
        <w:rPr>
          <w:rFonts w:ascii="Times New Roman" w:hAnsi="Times New Roman" w:cs="Times New Roman"/>
          <w:b/>
          <w:sz w:val="24"/>
          <w:szCs w:val="24"/>
        </w:rPr>
        <w:t xml:space="preserve"> imaging</w:t>
      </w:r>
      <w:r w:rsidRPr="001C377E">
        <w:rPr>
          <w:rFonts w:ascii="Times New Roman" w:hAnsi="Times New Roman" w:cs="Times New Roman"/>
          <w:b/>
          <w:sz w:val="24"/>
          <w:szCs w:val="24"/>
        </w:rPr>
        <w:t xml:space="preserve"> acquisition parameters</w:t>
      </w:r>
    </w:p>
    <w:p w14:paraId="5C3ED76E" w14:textId="1D243422" w:rsidR="00C276AF" w:rsidRDefault="00C276A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217" w:type="dxa"/>
        <w:jc w:val="center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134"/>
        <w:gridCol w:w="1276"/>
      </w:tblGrid>
      <w:tr w:rsidR="00C276AF" w:rsidRPr="008F1571" w14:paraId="667254E8" w14:textId="77777777" w:rsidTr="00F93D48">
        <w:trPr>
          <w:jc w:val="center"/>
        </w:trPr>
        <w:tc>
          <w:tcPr>
            <w:tcW w:w="3397" w:type="dxa"/>
            <w:vAlign w:val="center"/>
          </w:tcPr>
          <w:p w14:paraId="71DB75E4" w14:textId="77777777" w:rsidR="00C276AF" w:rsidRPr="00F93D48" w:rsidRDefault="00C276AF" w:rsidP="00DD4D1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Zeiss confocal microscope LSM 800</w:t>
            </w:r>
          </w:p>
        </w:tc>
        <w:tc>
          <w:tcPr>
            <w:tcW w:w="1134" w:type="dxa"/>
            <w:vAlign w:val="center"/>
          </w:tcPr>
          <w:p w14:paraId="0B46B15B" w14:textId="77777777" w:rsidR="00C276AF" w:rsidRPr="00F93D48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Protein markers</w:t>
            </w:r>
          </w:p>
        </w:tc>
        <w:tc>
          <w:tcPr>
            <w:tcW w:w="1276" w:type="dxa"/>
            <w:vAlign w:val="center"/>
          </w:tcPr>
          <w:p w14:paraId="320E978C" w14:textId="77777777" w:rsidR="00C276AF" w:rsidRPr="00F93D48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Laser Wavelength</w:t>
            </w:r>
          </w:p>
        </w:tc>
        <w:tc>
          <w:tcPr>
            <w:tcW w:w="1134" w:type="dxa"/>
            <w:vAlign w:val="center"/>
          </w:tcPr>
          <w:p w14:paraId="74D8A521" w14:textId="77777777" w:rsidR="00C276AF" w:rsidRPr="00F93D48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Detector Gain</w:t>
            </w:r>
          </w:p>
        </w:tc>
        <w:tc>
          <w:tcPr>
            <w:tcW w:w="1276" w:type="dxa"/>
            <w:vAlign w:val="center"/>
          </w:tcPr>
          <w:p w14:paraId="3643E9EF" w14:textId="77777777" w:rsidR="00C276AF" w:rsidRPr="00F93D48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Detector Digital Gain</w:t>
            </w:r>
          </w:p>
        </w:tc>
      </w:tr>
      <w:tr w:rsidR="00C276AF" w:rsidRPr="008F1571" w14:paraId="10B57AAA" w14:textId="77777777" w:rsidTr="00DD4D15">
        <w:trPr>
          <w:trHeight w:val="1504"/>
          <w:jc w:val="center"/>
        </w:trPr>
        <w:tc>
          <w:tcPr>
            <w:tcW w:w="3397" w:type="dxa"/>
            <w:vAlign w:val="center"/>
          </w:tcPr>
          <w:p w14:paraId="4B303560" w14:textId="77777777" w:rsidR="00C276AF" w:rsidRPr="008F1571" w:rsidRDefault="00C276AF" w:rsidP="00DD4D1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Fig 1b-m, o, Fig 2 b-m, o</w:t>
            </w: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 xml:space="preserve"> Fig 3 b-m, o, Fig 4 b-m, o, Fig 5 b-m, o, Fig 6 b-m, o, Fig 7 a-c, a’’-c’’</w:t>
            </w:r>
          </w:p>
        </w:tc>
        <w:tc>
          <w:tcPr>
            <w:tcW w:w="1134" w:type="dxa"/>
            <w:vAlign w:val="center"/>
          </w:tcPr>
          <w:p w14:paraId="137C8FB3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Olig2</w:t>
            </w:r>
          </w:p>
        </w:tc>
        <w:tc>
          <w:tcPr>
            <w:tcW w:w="1276" w:type="dxa"/>
            <w:vAlign w:val="center"/>
          </w:tcPr>
          <w:p w14:paraId="2CA1881E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88nm: 1.00%</w:t>
            </w:r>
          </w:p>
        </w:tc>
        <w:tc>
          <w:tcPr>
            <w:tcW w:w="1134" w:type="dxa"/>
            <w:vAlign w:val="center"/>
          </w:tcPr>
          <w:p w14:paraId="4BEFA251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700v</w:t>
            </w:r>
          </w:p>
        </w:tc>
        <w:tc>
          <w:tcPr>
            <w:tcW w:w="1276" w:type="dxa"/>
            <w:vAlign w:val="center"/>
          </w:tcPr>
          <w:p w14:paraId="4332D8D7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76AF" w:rsidRPr="008F1571" w14:paraId="3BD30185" w14:textId="77777777" w:rsidTr="00F93D48">
        <w:trPr>
          <w:jc w:val="center"/>
        </w:trPr>
        <w:tc>
          <w:tcPr>
            <w:tcW w:w="3397" w:type="dxa"/>
            <w:vAlign w:val="center"/>
          </w:tcPr>
          <w:p w14:paraId="1D2F74F9" w14:textId="77777777" w:rsidR="00C276AF" w:rsidRPr="008F1571" w:rsidRDefault="00C276AF" w:rsidP="00DD4D1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Fig 1b-m, o, Fig 2 b-m, o, Fig 3 b-m, o, Fig 4 b-m, o, Fig 5 b-m, o, Fig 6 b-m, o, Fig 7 a’, a’’</w:t>
            </w:r>
          </w:p>
        </w:tc>
        <w:tc>
          <w:tcPr>
            <w:tcW w:w="1134" w:type="dxa"/>
            <w:vAlign w:val="center"/>
          </w:tcPr>
          <w:p w14:paraId="40A72430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NG2</w:t>
            </w:r>
          </w:p>
        </w:tc>
        <w:tc>
          <w:tcPr>
            <w:tcW w:w="1276" w:type="dxa"/>
            <w:vAlign w:val="center"/>
          </w:tcPr>
          <w:p w14:paraId="672413F6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 xml:space="preserve">640nm: 1.20% </w:t>
            </w:r>
          </w:p>
        </w:tc>
        <w:tc>
          <w:tcPr>
            <w:tcW w:w="1134" w:type="dxa"/>
            <w:vAlign w:val="center"/>
          </w:tcPr>
          <w:p w14:paraId="6E1EABFE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vAlign w:val="center"/>
          </w:tcPr>
          <w:p w14:paraId="29B91122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76AF" w:rsidRPr="008F1571" w14:paraId="6924A6DD" w14:textId="77777777" w:rsidTr="00F93D48">
        <w:trPr>
          <w:jc w:val="center"/>
        </w:trPr>
        <w:tc>
          <w:tcPr>
            <w:tcW w:w="3397" w:type="dxa"/>
            <w:vAlign w:val="center"/>
          </w:tcPr>
          <w:p w14:paraId="28EE1FB0" w14:textId="77777777" w:rsidR="00C276AF" w:rsidRPr="008F1571" w:rsidRDefault="00C276AF" w:rsidP="00DD4D1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Fig 1b-m, o, Fig 2 b-m, o, Fig 3 b-m, o, Fig 4 b-m, o, Fig 5 b-m, o, Fig 6 b-m, o</w:t>
            </w:r>
          </w:p>
        </w:tc>
        <w:tc>
          <w:tcPr>
            <w:tcW w:w="1134" w:type="dxa"/>
            <w:vAlign w:val="center"/>
          </w:tcPr>
          <w:p w14:paraId="52426AA5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CNPase</w:t>
            </w:r>
          </w:p>
        </w:tc>
        <w:tc>
          <w:tcPr>
            <w:tcW w:w="1276" w:type="dxa"/>
            <w:vAlign w:val="center"/>
          </w:tcPr>
          <w:p w14:paraId="59020F43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640nm: 1.50%</w:t>
            </w:r>
          </w:p>
        </w:tc>
        <w:tc>
          <w:tcPr>
            <w:tcW w:w="1134" w:type="dxa"/>
            <w:vAlign w:val="center"/>
          </w:tcPr>
          <w:p w14:paraId="3F105694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70D6526A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76AF" w:rsidRPr="008F1571" w14:paraId="475D7CE1" w14:textId="77777777" w:rsidTr="00F93D48">
        <w:trPr>
          <w:jc w:val="center"/>
        </w:trPr>
        <w:tc>
          <w:tcPr>
            <w:tcW w:w="3397" w:type="dxa"/>
            <w:vAlign w:val="center"/>
          </w:tcPr>
          <w:p w14:paraId="3E225DF4" w14:textId="77777777" w:rsidR="00C276AF" w:rsidRPr="008F1571" w:rsidRDefault="00C276AF" w:rsidP="00DD4D1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Fig 1b-m, o, Fig 2 b-m, o, Fig 3 b-m, o, Fig 4 b-m, o, Fig 5 b-m, o, Fig 6 b-m, o, Fig 7 b’, b’’</w:t>
            </w:r>
          </w:p>
        </w:tc>
        <w:tc>
          <w:tcPr>
            <w:tcW w:w="1134" w:type="dxa"/>
            <w:vAlign w:val="center"/>
          </w:tcPr>
          <w:p w14:paraId="477B222C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CC1</w:t>
            </w:r>
          </w:p>
        </w:tc>
        <w:tc>
          <w:tcPr>
            <w:tcW w:w="1276" w:type="dxa"/>
            <w:vAlign w:val="center"/>
          </w:tcPr>
          <w:p w14:paraId="59DAC53A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640nm: 1.90%</w:t>
            </w:r>
          </w:p>
        </w:tc>
        <w:tc>
          <w:tcPr>
            <w:tcW w:w="1134" w:type="dxa"/>
            <w:vAlign w:val="center"/>
          </w:tcPr>
          <w:p w14:paraId="38CD3AB5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3451F62A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76AF" w:rsidRPr="008F1571" w14:paraId="2D0522A1" w14:textId="77777777" w:rsidTr="00F93D48">
        <w:trPr>
          <w:jc w:val="center"/>
        </w:trPr>
        <w:tc>
          <w:tcPr>
            <w:tcW w:w="3397" w:type="dxa"/>
            <w:vAlign w:val="center"/>
          </w:tcPr>
          <w:p w14:paraId="688C927C" w14:textId="77777777" w:rsidR="00C276AF" w:rsidRPr="008F1571" w:rsidRDefault="00C276AF" w:rsidP="00DD4D1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Fig 1b-m, o, Fig 2 b-m, o, Fig 3 b-m, o, Fig 4 b-m, o, Fig 5 b-m, o, Fig 6 b-m, o</w:t>
            </w:r>
          </w:p>
        </w:tc>
        <w:tc>
          <w:tcPr>
            <w:tcW w:w="1134" w:type="dxa"/>
            <w:vAlign w:val="center"/>
          </w:tcPr>
          <w:p w14:paraId="73DC9B93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NeuN</w:t>
            </w:r>
          </w:p>
        </w:tc>
        <w:tc>
          <w:tcPr>
            <w:tcW w:w="1276" w:type="dxa"/>
            <w:vAlign w:val="center"/>
          </w:tcPr>
          <w:p w14:paraId="71495242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640nm: 5.00%</w:t>
            </w:r>
          </w:p>
        </w:tc>
        <w:tc>
          <w:tcPr>
            <w:tcW w:w="1134" w:type="dxa"/>
            <w:vAlign w:val="center"/>
          </w:tcPr>
          <w:p w14:paraId="24E5918F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14:paraId="160DDDDD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76AF" w:rsidRPr="008F1571" w14:paraId="6C294F65" w14:textId="77777777" w:rsidTr="00F93D48">
        <w:trPr>
          <w:jc w:val="center"/>
        </w:trPr>
        <w:tc>
          <w:tcPr>
            <w:tcW w:w="3397" w:type="dxa"/>
            <w:vAlign w:val="center"/>
          </w:tcPr>
          <w:p w14:paraId="390E4EEF" w14:textId="77777777" w:rsidR="00C276AF" w:rsidRPr="008F1571" w:rsidRDefault="00C276AF" w:rsidP="00DD4D1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Fig 1b-m, o, Fig 2 b-m, o, Fig 3 b-m, o, Fig 4 b-m, o, Fig 5 b-m, o, Fig 6 b-m, o</w:t>
            </w:r>
          </w:p>
        </w:tc>
        <w:tc>
          <w:tcPr>
            <w:tcW w:w="1134" w:type="dxa"/>
            <w:vAlign w:val="center"/>
          </w:tcPr>
          <w:p w14:paraId="74F6F57F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Iba1</w:t>
            </w:r>
          </w:p>
        </w:tc>
        <w:tc>
          <w:tcPr>
            <w:tcW w:w="1276" w:type="dxa"/>
            <w:vAlign w:val="center"/>
          </w:tcPr>
          <w:p w14:paraId="4134FEB3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640nm: 1.90%</w:t>
            </w:r>
          </w:p>
        </w:tc>
        <w:tc>
          <w:tcPr>
            <w:tcW w:w="1134" w:type="dxa"/>
            <w:vAlign w:val="center"/>
          </w:tcPr>
          <w:p w14:paraId="291BF2B8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14:paraId="303B4095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76AF" w:rsidRPr="008F1571" w14:paraId="67CC88F7" w14:textId="77777777" w:rsidTr="00F93D48">
        <w:trPr>
          <w:jc w:val="center"/>
        </w:trPr>
        <w:tc>
          <w:tcPr>
            <w:tcW w:w="3397" w:type="dxa"/>
            <w:vAlign w:val="center"/>
          </w:tcPr>
          <w:p w14:paraId="07D7C989" w14:textId="77777777" w:rsidR="00C276AF" w:rsidRPr="008F1571" w:rsidRDefault="00C276AF" w:rsidP="00DD4D1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Fig 1b-m, o, Fig 2 b-m, o, Fig 3 b-m, o, Fig 4 b-m, o, Fig 5 b-m, o, Fig 6 b-m, o, Fig 7 c’, c’’</w:t>
            </w:r>
          </w:p>
        </w:tc>
        <w:tc>
          <w:tcPr>
            <w:tcW w:w="1134" w:type="dxa"/>
            <w:vAlign w:val="center"/>
          </w:tcPr>
          <w:p w14:paraId="7C5B3959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S100</w:t>
            </w: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β</w:t>
            </w:r>
          </w:p>
        </w:tc>
        <w:tc>
          <w:tcPr>
            <w:tcW w:w="1276" w:type="dxa"/>
            <w:vAlign w:val="center"/>
          </w:tcPr>
          <w:p w14:paraId="52B40E75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640nm: 1.00%</w:t>
            </w:r>
          </w:p>
        </w:tc>
        <w:tc>
          <w:tcPr>
            <w:tcW w:w="1134" w:type="dxa"/>
            <w:vAlign w:val="center"/>
          </w:tcPr>
          <w:p w14:paraId="609B738C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F15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46ACA1EB" w14:textId="77777777" w:rsidR="00C276AF" w:rsidRPr="008F1571" w:rsidRDefault="00C276AF" w:rsidP="00DD4D1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7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</w:tbl>
    <w:p w14:paraId="4AC74C12" w14:textId="2A213E5B" w:rsidR="00DD4D15" w:rsidRDefault="00DD4D1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9E31C56" w14:textId="77F783B9" w:rsidR="00C93CA6" w:rsidRDefault="00DD4D15">
      <w:pPr>
        <w:widowControl/>
        <w:jc w:val="left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04085" w:rsidRPr="00D8497A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Supplementary Table </w:t>
      </w:r>
      <w:r w:rsidR="00C93CA6" w:rsidRPr="00D8497A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704085" w:rsidRPr="00D8497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93CA6" w:rsidRPr="00D849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93CA6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>The proportion (%) of S100</w:t>
      </w:r>
      <w:r w:rsidR="00C93CA6" w:rsidRPr="00D8497A"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>β</w:t>
      </w:r>
      <w:r w:rsidR="00F625F4" w:rsidRPr="00E47524">
        <w:rPr>
          <w:rFonts w:ascii="Arial" w:hAnsi="Arial" w:cs="Arial" w:hint="eastAsia"/>
          <w:b/>
          <w:bCs/>
          <w:color w:val="000000" w:themeColor="text1"/>
          <w:sz w:val="22"/>
          <w:highlight w:val="yellow"/>
          <w:vertAlign w:val="superscript"/>
        </w:rPr>
        <w:t>+</w:t>
      </w:r>
      <w:r w:rsidR="00C93CA6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 </w:t>
      </w:r>
      <w:r w:rsidR="002A6DAB">
        <w:rPr>
          <w:rFonts w:ascii="Arial" w:hAnsi="Arial" w:cs="Arial"/>
          <w:b/>
          <w:bCs/>
          <w:color w:val="000000" w:themeColor="text1"/>
          <w:sz w:val="22"/>
          <w:highlight w:val="yellow"/>
        </w:rPr>
        <w:t>and</w:t>
      </w:r>
      <w:r w:rsidR="00C93CA6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 Sox9</w:t>
      </w:r>
      <w:r w:rsidR="00F625F4" w:rsidRPr="00E47524">
        <w:rPr>
          <w:rFonts w:ascii="Arial" w:hAnsi="Arial" w:cs="Arial" w:hint="eastAsia"/>
          <w:b/>
          <w:bCs/>
          <w:color w:val="000000" w:themeColor="text1"/>
          <w:sz w:val="22"/>
          <w:highlight w:val="yellow"/>
          <w:vertAlign w:val="superscript"/>
        </w:rPr>
        <w:t>+</w:t>
      </w:r>
      <w:r w:rsidR="00C93CA6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 cells with Olig2 </w:t>
      </w:r>
      <w:r w:rsidR="00F625F4"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>signal</w:t>
      </w:r>
      <w:r w:rsidR="00F625F4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 </w:t>
      </w:r>
      <w:r w:rsidR="00C93CA6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>in different CNS regions</w:t>
      </w:r>
    </w:p>
    <w:p w14:paraId="4618BC54" w14:textId="7F868C67" w:rsidR="00C93CA6" w:rsidRDefault="00C93CA6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79AF" wp14:editId="526DAE5B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156200" cy="3321050"/>
                <wp:effectExtent l="0" t="0" r="635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332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451" w:type="dxa"/>
                              <w:tblInd w:w="8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552"/>
                              <w:gridCol w:w="2907"/>
                            </w:tblGrid>
                            <w:tr w:rsidR="00C93CA6" w14:paraId="07F640C3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BDDBA" w14:textId="77777777" w:rsidR="00C93CA6" w:rsidRPr="00C93CA6" w:rsidRDefault="00C93CA6" w:rsidP="00C93CA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B60BB4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S100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β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EBB7C7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Sox9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93CA6" w14:paraId="22C496AE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1F3443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OB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24A365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90.1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1.2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9CFDE1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20.8 ± 5.5</w:t>
                                  </w:r>
                                </w:p>
                              </w:tc>
                            </w:tr>
                            <w:tr w:rsidR="00C93CA6" w14:paraId="3E1767DE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54C7A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AON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E3D82A" w14:textId="3ED3658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14.5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3.2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E86FD8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35.3 ± 6.2</w:t>
                                  </w:r>
                                </w:p>
                              </w:tc>
                            </w:tr>
                            <w:tr w:rsidR="00C93CA6" w14:paraId="04CBE5AA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8848B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019A9E" w14:textId="4EEACFD9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14.6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3.9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957C3C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31.3 ± 1.7</w:t>
                                  </w:r>
                                </w:p>
                              </w:tc>
                            </w:tr>
                            <w:tr w:rsidR="00C93CA6" w14:paraId="543672BC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365266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03C9E7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10.6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2.9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657B42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14.3 ± 4.2</w:t>
                                  </w:r>
                                </w:p>
                              </w:tc>
                            </w:tr>
                            <w:tr w:rsidR="00C93CA6" w14:paraId="6CCDB28D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DC7561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FF755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9.7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3.8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063B4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27.5 ± 1.3</w:t>
                                  </w:r>
                                </w:p>
                              </w:tc>
                            </w:tr>
                            <w:tr w:rsidR="00C93CA6" w14:paraId="5566006D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47B3FA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VIS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D03A4A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13.5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3.4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58F2C4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29.0 ± 4.2</w:t>
                                  </w:r>
                                </w:p>
                              </w:tc>
                            </w:tr>
                            <w:tr w:rsidR="00C93CA6" w14:paraId="696BAB33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2B2A6B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RSP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071607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9.0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2.4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E4C523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19.0 ± 1.8</w:t>
                                  </w:r>
                                </w:p>
                              </w:tc>
                            </w:tr>
                            <w:tr w:rsidR="00C93CA6" w14:paraId="5D045FBE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93BB69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HIP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99CF6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2.2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1.3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575FD6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10.8 ± 1.5</w:t>
                                  </w:r>
                                </w:p>
                              </w:tc>
                            </w:tr>
                            <w:tr w:rsidR="00C93CA6" w14:paraId="4E29F648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D9F569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A87A83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83.7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2.6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70C45D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71.0 ± 9.3</w:t>
                                  </w:r>
                                </w:p>
                              </w:tc>
                            </w:tr>
                            <w:tr w:rsidR="00C93CA6" w14:paraId="50154C29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DA0179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774636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81.5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2.4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CD7BDA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54.0 ± 8.2</w:t>
                                  </w:r>
                                </w:p>
                              </w:tc>
                            </w:tr>
                            <w:tr w:rsidR="00C93CA6" w14:paraId="40CE9E11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17A55F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CB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301D9C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6.7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1.1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EC92F5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25.5 ± 5.3</w:t>
                                  </w:r>
                                </w:p>
                              </w:tc>
                            </w:tr>
                            <w:tr w:rsidR="00C93CA6" w14:paraId="4D51CDE8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92BC94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5961C5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75.0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2.5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087A8A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69.8 ± 12.8</w:t>
                                  </w:r>
                                </w:p>
                              </w:tc>
                            </w:tr>
                            <w:tr w:rsidR="00C93CA6" w14:paraId="1752FF94" w14:textId="77777777" w:rsidTr="00C93CA6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552BF3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83EDFC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89.3 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>±</w:t>
                                  </w:r>
                                  <w:r w:rsidRPr="00C93CA6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3.1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D94D2" w14:textId="77777777" w:rsidR="00C93CA6" w:rsidRPr="00C93CA6" w:rsidRDefault="00C93CA6" w:rsidP="00C93C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C93CA6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93.3 ± 2.1</w:t>
                                  </w:r>
                                </w:p>
                              </w:tc>
                            </w:tr>
                          </w:tbl>
                          <w:p w14:paraId="0808395A" w14:textId="77777777" w:rsidR="00C93CA6" w:rsidRDefault="00C9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779A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9.3pt;width:406pt;height:2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" fillcolor="white [3201]" stroked="f" strokeweight=".5pt">
                <v:textbox>
                  <w:txbxContent>
                    <w:tbl>
                      <w:tblPr>
                        <w:tblW w:w="6451" w:type="dxa"/>
                        <w:tblInd w:w="8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552"/>
                        <w:gridCol w:w="2907"/>
                      </w:tblGrid>
                      <w:tr w:rsidR="00C93CA6" w14:paraId="07F640C3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BDDBA" w14:textId="77777777" w:rsidR="00C93CA6" w:rsidRPr="00C93CA6" w:rsidRDefault="00C93CA6" w:rsidP="00C93CA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B60BB4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S100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β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EBB7C7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Sox9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  <w:tr w:rsidR="00C93CA6" w14:paraId="22C496AE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1F3443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OB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24A365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90.1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1.2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9CFDE1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20.8 ± 5.5</w:t>
                            </w:r>
                          </w:p>
                        </w:tc>
                      </w:tr>
                      <w:tr w:rsidR="00C93CA6" w14:paraId="3E1767DE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54C7A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AON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E3D82A" w14:textId="3ED3658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14.5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3.2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E86FD8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35.3 ± 6.2</w:t>
                            </w:r>
                          </w:p>
                        </w:tc>
                      </w:tr>
                      <w:tr w:rsidR="00C93CA6" w14:paraId="04CBE5AA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F8848B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019A9E" w14:textId="4EEACFD9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14.6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3.9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957C3C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31.3 ± 1.7</w:t>
                            </w:r>
                          </w:p>
                        </w:tc>
                      </w:tr>
                      <w:tr w:rsidR="00C93CA6" w14:paraId="543672BC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365266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03C9E7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10.6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2.9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657B42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14.3 ± 4.2</w:t>
                            </w:r>
                          </w:p>
                        </w:tc>
                      </w:tr>
                      <w:tr w:rsidR="00C93CA6" w14:paraId="6CCDB28D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DC7561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FF755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9.7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3.8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1063B4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27.5 ± 1.3</w:t>
                            </w:r>
                          </w:p>
                        </w:tc>
                      </w:tr>
                      <w:tr w:rsidR="00C93CA6" w14:paraId="5566006D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47B3FA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VIS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D03A4A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13.5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3.4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58F2C4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29.0 ± 4.2</w:t>
                            </w:r>
                          </w:p>
                        </w:tc>
                      </w:tr>
                      <w:tr w:rsidR="00C93CA6" w14:paraId="696BAB33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2B2A6B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RSP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071607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9.0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2.4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E4C523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19.0 ± 1.8</w:t>
                            </w:r>
                          </w:p>
                        </w:tc>
                      </w:tr>
                      <w:tr w:rsidR="00C93CA6" w14:paraId="5D045FBE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93BB69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HIP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99CF6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2.2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1.3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575FD6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10.8 ± 1.5</w:t>
                            </w:r>
                          </w:p>
                        </w:tc>
                      </w:tr>
                      <w:tr w:rsidR="00C93CA6" w14:paraId="4E29F648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D9F569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A87A83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83.7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2.6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70C45D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71.0 ± 9.3</w:t>
                            </w:r>
                          </w:p>
                        </w:tc>
                      </w:tr>
                      <w:tr w:rsidR="00C93CA6" w14:paraId="50154C29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DA0179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774636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81.5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2.4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CD7BDA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54.0 ± 8.2</w:t>
                            </w:r>
                          </w:p>
                        </w:tc>
                      </w:tr>
                      <w:tr w:rsidR="00C93CA6" w14:paraId="40CE9E11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17A55F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CB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301D9C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6.7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1.1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EC92F5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25.5 ± 5.3</w:t>
                            </w:r>
                          </w:p>
                        </w:tc>
                      </w:tr>
                      <w:tr w:rsidR="00C93CA6" w14:paraId="4D51CDE8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92BC94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5961C5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75.0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2.5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087A8A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69.8 ± 12.8</w:t>
                            </w:r>
                          </w:p>
                        </w:tc>
                      </w:tr>
                      <w:tr w:rsidR="00C93CA6" w14:paraId="1752FF94" w14:textId="77777777" w:rsidTr="00C93CA6">
                        <w:trPr>
                          <w:trHeight w:val="340"/>
                        </w:trPr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552BF3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83EDFC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89.3 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±</w:t>
                            </w:r>
                            <w:r w:rsidRPr="00C93CA6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3.1</w:t>
                            </w:r>
                          </w:p>
                        </w:tc>
                        <w:tc>
                          <w:tcPr>
                            <w:tcW w:w="290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4D94D2" w14:textId="77777777" w:rsidR="00C93CA6" w:rsidRPr="00C93CA6" w:rsidRDefault="00C93CA6" w:rsidP="00C93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93C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93.3 ± 2.1</w:t>
                            </w:r>
                          </w:p>
                        </w:tc>
                      </w:tr>
                    </w:tbl>
                    <w:p w14:paraId="0808395A" w14:textId="77777777" w:rsidR="00C93CA6" w:rsidRDefault="00C93CA6"/>
                  </w:txbxContent>
                </v:textbox>
                <w10:wrap anchorx="margin"/>
              </v:shape>
            </w:pict>
          </mc:Fallback>
        </mc:AlternateContent>
      </w:r>
    </w:p>
    <w:p w14:paraId="4EE90B52" w14:textId="70F198F9" w:rsidR="00704085" w:rsidRDefault="00C93CA6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08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BE1FE9" w14:textId="172F550E" w:rsidR="005718BB" w:rsidRPr="00A828E3" w:rsidRDefault="001C377E" w:rsidP="001C377E">
      <w:pPr>
        <w:widowControl/>
        <w:jc w:val="left"/>
        <w:rPr>
          <w:rFonts w:ascii="Arial" w:hAnsi="Arial" w:cs="Arial"/>
          <w:b/>
          <w:sz w:val="24"/>
          <w:szCs w:val="24"/>
        </w:rPr>
      </w:pPr>
      <w:r w:rsidRPr="00D8497A">
        <w:rPr>
          <w:rFonts w:ascii="Arial" w:hAnsi="Arial" w:cs="Arial"/>
          <w:b/>
          <w:sz w:val="24"/>
          <w:szCs w:val="24"/>
          <w:highlight w:val="yellow"/>
        </w:rPr>
        <w:lastRenderedPageBreak/>
        <w:t xml:space="preserve">Supplementary </w:t>
      </w:r>
      <w:r w:rsidR="003F5972" w:rsidRPr="00D8497A">
        <w:rPr>
          <w:rFonts w:ascii="Arial" w:hAnsi="Arial" w:cs="Arial"/>
          <w:b/>
          <w:sz w:val="24"/>
          <w:szCs w:val="24"/>
          <w:highlight w:val="yellow"/>
        </w:rPr>
        <w:t>F</w:t>
      </w:r>
      <w:r w:rsidRPr="00D8497A">
        <w:rPr>
          <w:rFonts w:ascii="Arial" w:hAnsi="Arial" w:cs="Arial"/>
          <w:b/>
          <w:sz w:val="24"/>
          <w:szCs w:val="24"/>
          <w:highlight w:val="yellow"/>
        </w:rPr>
        <w:t>igure 1</w:t>
      </w:r>
      <w:r w:rsidR="003F5972" w:rsidRPr="00D8497A">
        <w:rPr>
          <w:rFonts w:ascii="Arial" w:hAnsi="Arial" w:cs="Arial"/>
          <w:b/>
          <w:sz w:val="24"/>
          <w:szCs w:val="24"/>
          <w:highlight w:val="yellow"/>
        </w:rPr>
        <w:t>.</w:t>
      </w:r>
      <w:r w:rsidR="00C276AF" w:rsidRPr="00D8497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bookmarkStart w:id="0" w:name="_Hlk62241713"/>
      <w:r w:rsidR="00C276AF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The percentage of </w:t>
      </w:r>
      <w:r w:rsidR="00681EE4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>SOX9</w:t>
      </w:r>
      <w:r w:rsidR="00C276AF" w:rsidRPr="00D8497A">
        <w:rPr>
          <w:rFonts w:ascii="Arial" w:hAnsi="Arial" w:cs="Arial"/>
          <w:b/>
          <w:bCs/>
          <w:color w:val="000000" w:themeColor="text1"/>
          <w:sz w:val="22"/>
          <w:highlight w:val="yellow"/>
          <w:vertAlign w:val="superscript"/>
        </w:rPr>
        <w:t>+</w:t>
      </w:r>
      <w:r w:rsidR="00C276AF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 </w:t>
      </w:r>
      <w:r w:rsidR="00681EE4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cells </w:t>
      </w:r>
      <w:r w:rsidR="003F5972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>co-</w:t>
      </w:r>
      <w:r w:rsidR="001355F9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>labeled</w:t>
      </w:r>
      <w:r w:rsidR="00C276AF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 </w:t>
      </w:r>
      <w:r w:rsidR="003F5972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>with</w:t>
      </w:r>
      <w:r w:rsidR="00C276AF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 </w:t>
      </w:r>
      <w:r w:rsidR="00681EE4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>Olig2</w:t>
      </w:r>
      <w:r w:rsidR="00C276AF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 in different </w:t>
      </w:r>
      <w:r w:rsidR="001C42D7"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>adult</w:t>
      </w:r>
      <w:r w:rsidR="001C42D7">
        <w:rPr>
          <w:rFonts w:ascii="Arial" w:hAnsi="Arial" w:cs="Arial"/>
          <w:b/>
          <w:bCs/>
          <w:color w:val="000000" w:themeColor="text1"/>
          <w:sz w:val="22"/>
          <w:highlight w:val="yellow"/>
        </w:rPr>
        <w:t xml:space="preserve"> </w:t>
      </w:r>
      <w:r w:rsidR="00C276AF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>mouse CNS regions</w:t>
      </w:r>
      <w:bookmarkEnd w:id="0"/>
      <w:r w:rsidR="003F5972" w:rsidRPr="00D8497A">
        <w:rPr>
          <w:rFonts w:ascii="Arial" w:hAnsi="Arial" w:cs="Arial"/>
          <w:b/>
          <w:bCs/>
          <w:color w:val="000000" w:themeColor="text1"/>
          <w:sz w:val="22"/>
          <w:highlight w:val="yellow"/>
        </w:rPr>
        <w:t>.</w:t>
      </w:r>
      <w:r w:rsidR="00C276AF" w:rsidRPr="00A828E3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</w:p>
    <w:p w14:paraId="4ADB1186" w14:textId="0E3F924E" w:rsidR="001C377E" w:rsidRDefault="001C377E" w:rsidP="001C377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 wp14:anchorId="513C2063" wp14:editId="0AB36696">
            <wp:extent cx="4909639" cy="7618730"/>
            <wp:effectExtent l="0" t="0" r="571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 Fig.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4"/>
                    <a:stretch/>
                  </pic:blipFill>
                  <pic:spPr bwMode="auto">
                    <a:xfrm>
                      <a:off x="0" y="0"/>
                      <a:ext cx="4909639" cy="761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7B563" w14:textId="45DA1D9E" w:rsidR="00C276AF" w:rsidRPr="00E85ECC" w:rsidRDefault="00C276AF" w:rsidP="00C276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B050D69">
        <w:rPr>
          <w:rFonts w:ascii="Times New Roman" w:hAnsi="Times New Roman" w:cs="Times New Roman"/>
          <w:sz w:val="24"/>
          <w:szCs w:val="24"/>
        </w:rPr>
        <w:t xml:space="preserve">(a) Sagittal overview of the mouse brain indicating a variety of brain regions of interest. (b-m) </w:t>
      </w:r>
      <w:r w:rsidR="00DD4D15">
        <w:rPr>
          <w:rFonts w:ascii="Times New Roman" w:hAnsi="Times New Roman" w:cs="Times New Roman"/>
          <w:sz w:val="24"/>
          <w:szCs w:val="24"/>
        </w:rPr>
        <w:t>6</w:t>
      </w:r>
      <w:r w:rsidR="00B160D7">
        <w:rPr>
          <w:rFonts w:ascii="Times New Roman" w:hAnsi="Times New Roman" w:cs="Times New Roman"/>
          <w:sz w:val="24"/>
          <w:szCs w:val="24"/>
        </w:rPr>
        <w:t xml:space="preserve">0x </w:t>
      </w:r>
      <w:r w:rsidRPr="5B050D69">
        <w:rPr>
          <w:rFonts w:ascii="Times New Roman" w:hAnsi="Times New Roman" w:cs="Times New Roman"/>
          <w:sz w:val="24"/>
          <w:szCs w:val="24"/>
        </w:rPr>
        <w:t xml:space="preserve">images </w:t>
      </w:r>
      <w:r w:rsidRPr="00156BD7">
        <w:rPr>
          <w:rFonts w:ascii="Times New Roman" w:hAnsi="Times New Roman" w:cs="Times New Roman"/>
          <w:sz w:val="24"/>
          <w:szCs w:val="24"/>
        </w:rPr>
        <w:t>showing</w:t>
      </w:r>
      <w:r w:rsidRPr="5B050D69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olig2 and </w:t>
      </w:r>
      <w:r>
        <w:rPr>
          <w:rFonts w:ascii="Times New Roman" w:hAnsi="Times New Roman" w:cs="Times New Roman" w:hint="eastAsia"/>
          <w:sz w:val="24"/>
          <w:szCs w:val="24"/>
        </w:rPr>
        <w:t>Sox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D4D15">
        <w:rPr>
          <w:rFonts w:ascii="Times New Roman" w:hAnsi="Times New Roman" w:cs="Times New Roman"/>
          <w:sz w:val="24"/>
          <w:szCs w:val="24"/>
        </w:rPr>
        <w:t>double immuno</w:t>
      </w:r>
      <w:r>
        <w:rPr>
          <w:rFonts w:ascii="Times New Roman" w:hAnsi="Times New Roman" w:cs="Times New Roman"/>
          <w:sz w:val="24"/>
          <w:szCs w:val="24"/>
        </w:rPr>
        <w:t>-staining</w:t>
      </w:r>
      <w:r w:rsidRPr="5B050D69">
        <w:rPr>
          <w:rFonts w:ascii="Times New Roman" w:hAnsi="Times New Roman" w:cs="Times New Roman"/>
          <w:sz w:val="24"/>
          <w:szCs w:val="24"/>
        </w:rPr>
        <w:t xml:space="preserve"> in </w:t>
      </w:r>
      <w:r w:rsidR="00B160D7">
        <w:rPr>
          <w:rFonts w:ascii="Times New Roman" w:hAnsi="Times New Roman" w:cs="Times New Roman"/>
          <w:sz w:val="24"/>
          <w:szCs w:val="24"/>
        </w:rPr>
        <w:t xml:space="preserve">a </w:t>
      </w:r>
      <w:r w:rsidR="006B3A2A">
        <w:rPr>
          <w:rFonts w:ascii="Times New Roman" w:hAnsi="Times New Roman" w:cs="Times New Roman"/>
          <w:sz w:val="24"/>
          <w:szCs w:val="24"/>
        </w:rPr>
        <w:t xml:space="preserve">variety </w:t>
      </w:r>
      <w:r w:rsidR="00B160D7">
        <w:rPr>
          <w:rFonts w:ascii="Times New Roman" w:hAnsi="Times New Roman" w:cs="Times New Roman"/>
          <w:sz w:val="24"/>
          <w:szCs w:val="24"/>
        </w:rPr>
        <w:t xml:space="preserve">of </w:t>
      </w:r>
      <w:r w:rsidRPr="5B050D69">
        <w:rPr>
          <w:rFonts w:ascii="Times New Roman" w:hAnsi="Times New Roman" w:cs="Times New Roman"/>
          <w:sz w:val="24"/>
          <w:szCs w:val="24"/>
        </w:rPr>
        <w:lastRenderedPageBreak/>
        <w:t>mouse brain regions</w:t>
      </w:r>
      <w:r w:rsidR="00B160D7">
        <w:rPr>
          <w:rFonts w:ascii="Times New Roman" w:hAnsi="Times New Roman" w:cs="Times New Roman"/>
          <w:sz w:val="24"/>
          <w:szCs w:val="24"/>
        </w:rPr>
        <w:t xml:space="preserve"> of interest</w:t>
      </w:r>
      <w:r w:rsidRPr="5B050D69">
        <w:rPr>
          <w:rFonts w:ascii="Times New Roman" w:hAnsi="Times New Roman" w:cs="Times New Roman"/>
          <w:sz w:val="24"/>
          <w:szCs w:val="24"/>
        </w:rPr>
        <w:t xml:space="preserve">. </w:t>
      </w:r>
      <w:r w:rsidR="001355F9">
        <w:rPr>
          <w:rFonts w:ascii="Times New Roman" w:hAnsi="Times New Roman" w:cs="Times New Roman"/>
          <w:sz w:val="24"/>
          <w:szCs w:val="24"/>
        </w:rPr>
        <w:t xml:space="preserve">The white </w:t>
      </w:r>
      <w:r w:rsidRPr="5B050D69">
        <w:rPr>
          <w:rFonts w:ascii="Times New Roman" w:hAnsi="Times New Roman" w:cs="Times New Roman"/>
          <w:sz w:val="24"/>
          <w:szCs w:val="24"/>
        </w:rPr>
        <w:t>arrowheads indicate S</w:t>
      </w:r>
      <w:r w:rsidR="00B160D7">
        <w:rPr>
          <w:rFonts w:ascii="Times New Roman" w:hAnsi="Times New Roman" w:cs="Times New Roman"/>
          <w:sz w:val="24"/>
          <w:szCs w:val="24"/>
        </w:rPr>
        <w:t>ox9</w:t>
      </w:r>
      <w:r w:rsidR="001355F9">
        <w:rPr>
          <w:rFonts w:ascii="Times New Roman" w:hAnsi="Times New Roman" w:cs="Times New Roman"/>
          <w:sz w:val="24"/>
          <w:szCs w:val="24"/>
        </w:rPr>
        <w:t>-labeled astrocytes that express Olig2.</w:t>
      </w:r>
      <w:r w:rsidRPr="5B050D69">
        <w:rPr>
          <w:rFonts w:ascii="Times New Roman" w:hAnsi="Times New Roman" w:cs="Times New Roman"/>
          <w:sz w:val="24"/>
          <w:szCs w:val="24"/>
        </w:rPr>
        <w:t xml:space="preserve"> </w:t>
      </w:r>
      <w:r w:rsidR="001355F9">
        <w:rPr>
          <w:rFonts w:ascii="Times New Roman" w:hAnsi="Times New Roman" w:cs="Times New Roman"/>
          <w:sz w:val="24"/>
          <w:szCs w:val="24"/>
        </w:rPr>
        <w:t>I</w:t>
      </w:r>
      <w:r w:rsidRPr="5B050D69">
        <w:rPr>
          <w:rFonts w:ascii="Times New Roman" w:hAnsi="Times New Roman" w:cs="Times New Roman"/>
          <w:sz w:val="24"/>
          <w:szCs w:val="24"/>
        </w:rPr>
        <w:t>n the</w:t>
      </w:r>
      <w:r w:rsidR="00B160D7">
        <w:rPr>
          <w:rFonts w:ascii="Times New Roman" w:hAnsi="Times New Roman" w:cs="Times New Roman"/>
          <w:sz w:val="24"/>
          <w:szCs w:val="24"/>
        </w:rPr>
        <w:t xml:space="preserve"> </w:t>
      </w:r>
      <w:r w:rsidR="00B160D7" w:rsidRPr="5B050D69">
        <w:rPr>
          <w:rFonts w:ascii="Times New Roman" w:hAnsi="Times New Roman" w:cs="Times New Roman"/>
          <w:sz w:val="24"/>
          <w:szCs w:val="24"/>
        </w:rPr>
        <w:t>OB (b),</w:t>
      </w:r>
      <w:r w:rsidRPr="5B050D69">
        <w:rPr>
          <w:rFonts w:ascii="Times New Roman" w:hAnsi="Times New Roman" w:cs="Times New Roman"/>
          <w:sz w:val="24"/>
          <w:szCs w:val="24"/>
        </w:rPr>
        <w:t xml:space="preserve"> AON (c), STR </w:t>
      </w:r>
      <w:r>
        <w:rPr>
          <w:rFonts w:ascii="Times New Roman" w:hAnsi="Times New Roman" w:cs="Times New Roman"/>
          <w:sz w:val="24"/>
          <w:szCs w:val="24"/>
        </w:rPr>
        <w:t>(e), HIP</w:t>
      </w:r>
      <w:r w:rsidRPr="5B050D69">
        <w:rPr>
          <w:rFonts w:ascii="Times New Roman" w:hAnsi="Times New Roman" w:cs="Times New Roman"/>
          <w:sz w:val="24"/>
          <w:szCs w:val="24"/>
        </w:rPr>
        <w:t xml:space="preserve"> (i), CB (l) and the cortical areas including the MO (d),</w:t>
      </w:r>
      <w:r w:rsidR="00355728">
        <w:rPr>
          <w:rFonts w:ascii="Times New Roman" w:hAnsi="Times New Roman" w:cs="Times New Roman"/>
          <w:sz w:val="24"/>
          <w:szCs w:val="24"/>
        </w:rPr>
        <w:t xml:space="preserve"> </w:t>
      </w:r>
      <w:r w:rsidRPr="5B050D69">
        <w:rPr>
          <w:rFonts w:ascii="Times New Roman" w:hAnsi="Times New Roman" w:cs="Times New Roman"/>
          <w:sz w:val="24"/>
          <w:szCs w:val="24"/>
        </w:rPr>
        <w:t>SS (f), VIS (g) and the RSP (h),</w:t>
      </w:r>
      <w:r w:rsidR="00B160D7">
        <w:rPr>
          <w:rFonts w:ascii="Times New Roman" w:hAnsi="Times New Roman" w:cs="Times New Roman"/>
          <w:sz w:val="24"/>
          <w:szCs w:val="24"/>
        </w:rPr>
        <w:t xml:space="preserve"> a </w:t>
      </w:r>
      <w:r w:rsidR="00DD4D15">
        <w:rPr>
          <w:rFonts w:ascii="Times New Roman" w:hAnsi="Times New Roman" w:cs="Times New Roman"/>
          <w:sz w:val="24"/>
          <w:szCs w:val="24"/>
        </w:rPr>
        <w:t>relative low</w:t>
      </w:r>
      <w:r w:rsidR="00B160D7">
        <w:rPr>
          <w:rFonts w:ascii="Times New Roman" w:hAnsi="Times New Roman" w:cs="Times New Roman"/>
          <w:sz w:val="24"/>
          <w:szCs w:val="24"/>
        </w:rPr>
        <w:t xml:space="preserve"> proportion of</w:t>
      </w:r>
      <w:r w:rsidRPr="5B050D69">
        <w:rPr>
          <w:rFonts w:ascii="Times New Roman" w:hAnsi="Times New Roman" w:cs="Times New Roman"/>
          <w:sz w:val="24"/>
          <w:szCs w:val="24"/>
        </w:rPr>
        <w:t xml:space="preserve"> astrocytes</w:t>
      </w:r>
      <w:r w:rsidR="001355F9">
        <w:rPr>
          <w:rFonts w:ascii="Times New Roman" w:hAnsi="Times New Roman" w:cs="Times New Roman"/>
          <w:sz w:val="24"/>
          <w:szCs w:val="24"/>
        </w:rPr>
        <w:t xml:space="preserve"> (</w:t>
      </w:r>
      <w:r w:rsidR="001355F9">
        <w:rPr>
          <w:rFonts w:ascii="Times New Roman" w:hAnsi="Times New Roman" w:cs="Times New Roman" w:hint="eastAsia"/>
          <w:sz w:val="24"/>
          <w:szCs w:val="24"/>
        </w:rPr>
        <w:t>＜</w:t>
      </w:r>
      <w:r w:rsidR="001355F9">
        <w:rPr>
          <w:rFonts w:ascii="Times New Roman" w:hAnsi="Times New Roman" w:cs="Times New Roman" w:hint="eastAsia"/>
          <w:sz w:val="24"/>
          <w:szCs w:val="24"/>
        </w:rPr>
        <w:t>4</w:t>
      </w:r>
      <w:r w:rsidR="001355F9">
        <w:rPr>
          <w:rFonts w:ascii="Times New Roman" w:hAnsi="Times New Roman" w:cs="Times New Roman"/>
          <w:sz w:val="24"/>
          <w:szCs w:val="24"/>
        </w:rPr>
        <w:t>0%)</w:t>
      </w:r>
      <w:r w:rsidRPr="5B050D69">
        <w:rPr>
          <w:rFonts w:ascii="Times New Roman" w:hAnsi="Times New Roman" w:cs="Times New Roman"/>
          <w:sz w:val="24"/>
          <w:szCs w:val="24"/>
        </w:rPr>
        <w:t xml:space="preserve"> </w:t>
      </w:r>
      <w:r w:rsidR="00DD4D15">
        <w:rPr>
          <w:rFonts w:ascii="Times New Roman" w:hAnsi="Times New Roman" w:cs="Times New Roman"/>
          <w:sz w:val="24"/>
          <w:szCs w:val="24"/>
        </w:rPr>
        <w:t xml:space="preserve"> express </w:t>
      </w:r>
      <w:r w:rsidRPr="5B050D69">
        <w:rPr>
          <w:rFonts w:ascii="Times New Roman" w:hAnsi="Times New Roman" w:cs="Times New Roman"/>
          <w:sz w:val="24"/>
          <w:szCs w:val="24"/>
        </w:rPr>
        <w:t>Olig2</w:t>
      </w:r>
      <w:r w:rsidR="00870E1F">
        <w:rPr>
          <w:rFonts w:ascii="Times New Roman" w:hAnsi="Times New Roman" w:cs="Times New Roman"/>
          <w:sz w:val="24"/>
          <w:szCs w:val="24"/>
        </w:rPr>
        <w:t xml:space="preserve">. In the </w:t>
      </w:r>
      <w:r w:rsidR="00870E1F" w:rsidRPr="5B050D69">
        <w:rPr>
          <w:rFonts w:ascii="Times New Roman" w:hAnsi="Times New Roman" w:cs="Times New Roman"/>
          <w:sz w:val="24"/>
          <w:szCs w:val="24"/>
        </w:rPr>
        <w:t>MB (k)</w:t>
      </w:r>
      <w:r w:rsidR="00870E1F">
        <w:rPr>
          <w:rFonts w:ascii="Times New Roman" w:hAnsi="Times New Roman" w:cs="Times New Roman"/>
          <w:sz w:val="24"/>
          <w:szCs w:val="24"/>
        </w:rPr>
        <w:t>, around half of the astrocytes express Olig2</w:t>
      </w:r>
      <w:r w:rsidR="00870E1F" w:rsidRPr="5B050D69">
        <w:rPr>
          <w:rFonts w:ascii="Times New Roman" w:hAnsi="Times New Roman" w:cs="Times New Roman"/>
          <w:sz w:val="24"/>
          <w:szCs w:val="24"/>
        </w:rPr>
        <w:t xml:space="preserve">, </w:t>
      </w:r>
      <w:r w:rsidRPr="5B050D69">
        <w:rPr>
          <w:rFonts w:ascii="Times New Roman" w:hAnsi="Times New Roman" w:cs="Times New Roman"/>
          <w:sz w:val="24"/>
          <w:szCs w:val="24"/>
        </w:rPr>
        <w:t>while in the TH (j)</w:t>
      </w:r>
      <w:r w:rsidR="0060744D">
        <w:rPr>
          <w:rFonts w:ascii="Times New Roman" w:hAnsi="Times New Roman" w:cs="Times New Roman"/>
          <w:sz w:val="24"/>
          <w:szCs w:val="24"/>
        </w:rPr>
        <w:t xml:space="preserve"> </w:t>
      </w:r>
      <w:r w:rsidRPr="5B050D69">
        <w:rPr>
          <w:rFonts w:ascii="Times New Roman" w:hAnsi="Times New Roman" w:cs="Times New Roman"/>
          <w:sz w:val="24"/>
          <w:szCs w:val="24"/>
        </w:rPr>
        <w:t>and the MY (m),</w:t>
      </w:r>
      <w:r w:rsidR="00870E1F">
        <w:rPr>
          <w:rFonts w:ascii="Times New Roman" w:hAnsi="Times New Roman" w:cs="Times New Roman"/>
          <w:sz w:val="24"/>
          <w:szCs w:val="24"/>
        </w:rPr>
        <w:t xml:space="preserve"> </w:t>
      </w:r>
      <w:r w:rsidR="00355728">
        <w:rPr>
          <w:rFonts w:ascii="Times New Roman" w:hAnsi="Times New Roman" w:cs="Times New Roman"/>
          <w:sz w:val="24"/>
          <w:szCs w:val="24"/>
        </w:rPr>
        <w:t>many</w:t>
      </w:r>
      <w:r w:rsidR="00870E1F">
        <w:rPr>
          <w:rFonts w:ascii="Times New Roman" w:hAnsi="Times New Roman" w:cs="Times New Roman"/>
          <w:sz w:val="24"/>
          <w:szCs w:val="24"/>
        </w:rPr>
        <w:t xml:space="preserve"> </w:t>
      </w:r>
      <w:r w:rsidR="001355F9">
        <w:rPr>
          <w:rFonts w:ascii="Times New Roman" w:hAnsi="Times New Roman" w:cs="Times New Roman"/>
          <w:sz w:val="24"/>
          <w:szCs w:val="24"/>
        </w:rPr>
        <w:t>more</w:t>
      </w:r>
      <w:r w:rsidRPr="5B050D69">
        <w:rPr>
          <w:rFonts w:ascii="Times New Roman" w:hAnsi="Times New Roman" w:cs="Times New Roman"/>
          <w:sz w:val="24"/>
          <w:szCs w:val="24"/>
        </w:rPr>
        <w:t xml:space="preserve"> astrocytes (</w:t>
      </w:r>
      <w:r w:rsidR="00870E1F">
        <w:rPr>
          <w:rFonts w:ascii="Times New Roman" w:hAnsi="Times New Roman" w:cs="Times New Roman"/>
          <w:sz w:val="24"/>
          <w:szCs w:val="24"/>
        </w:rPr>
        <w:t>~7</w:t>
      </w:r>
      <w:r w:rsidRPr="5B050D69">
        <w:rPr>
          <w:rFonts w:ascii="Times New Roman" w:hAnsi="Times New Roman" w:cs="Times New Roman"/>
          <w:sz w:val="24"/>
          <w:szCs w:val="24"/>
        </w:rPr>
        <w:t xml:space="preserve">0%)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5B050D69">
        <w:rPr>
          <w:rFonts w:ascii="Times New Roman" w:hAnsi="Times New Roman" w:cs="Times New Roman"/>
          <w:sz w:val="24"/>
          <w:szCs w:val="24"/>
        </w:rPr>
        <w:t xml:space="preserve"> Olig2</w:t>
      </w:r>
      <w:r>
        <w:rPr>
          <w:rFonts w:ascii="Times New Roman" w:hAnsi="Times New Roman" w:cs="Times New Roman"/>
          <w:sz w:val="24"/>
          <w:szCs w:val="24"/>
        </w:rPr>
        <w:t xml:space="preserve"> immune reactivity</w:t>
      </w:r>
      <w:r w:rsidRPr="5B050D69">
        <w:rPr>
          <w:rFonts w:ascii="Times New Roman" w:hAnsi="Times New Roman" w:cs="Times New Roman"/>
          <w:sz w:val="24"/>
          <w:szCs w:val="24"/>
        </w:rPr>
        <w:t xml:space="preserve">. (n) Coronal overview of the mouse SC </w:t>
      </w:r>
      <w:r w:rsidR="001355F9">
        <w:rPr>
          <w:rFonts w:ascii="Times New Roman" w:hAnsi="Times New Roman" w:cs="Times New Roman"/>
          <w:sz w:val="24"/>
          <w:szCs w:val="24"/>
        </w:rPr>
        <w:t>indicating</w:t>
      </w:r>
      <w:r w:rsidRPr="5B050D69">
        <w:rPr>
          <w:rFonts w:ascii="Times New Roman" w:hAnsi="Times New Roman" w:cs="Times New Roman"/>
          <w:sz w:val="24"/>
          <w:szCs w:val="24"/>
        </w:rPr>
        <w:t xml:space="preserve"> Olig2</w:t>
      </w:r>
      <w:r w:rsidRPr="00156B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5B050D69">
        <w:rPr>
          <w:rFonts w:ascii="Times New Roman" w:hAnsi="Times New Roman" w:cs="Times New Roman"/>
          <w:sz w:val="24"/>
          <w:szCs w:val="24"/>
        </w:rPr>
        <w:t xml:space="preserve"> astrocytes. (o) </w:t>
      </w:r>
      <w:r w:rsidR="0060744D">
        <w:rPr>
          <w:rFonts w:ascii="Times New Roman" w:hAnsi="Times New Roman" w:cs="Times New Roman"/>
          <w:sz w:val="24"/>
          <w:szCs w:val="24"/>
        </w:rPr>
        <w:t>T</w:t>
      </w:r>
      <w:r w:rsidRPr="5B050D69">
        <w:rPr>
          <w:rFonts w:ascii="Times New Roman" w:hAnsi="Times New Roman" w:cs="Times New Roman"/>
          <w:sz w:val="24"/>
          <w:szCs w:val="24"/>
        </w:rPr>
        <w:t>he co-localization of Olig2 and S</w:t>
      </w:r>
      <w:r w:rsidR="001355F9">
        <w:rPr>
          <w:rFonts w:ascii="Times New Roman" w:hAnsi="Times New Roman" w:cs="Times New Roman"/>
          <w:sz w:val="24"/>
          <w:szCs w:val="24"/>
        </w:rPr>
        <w:t>ox9</w:t>
      </w:r>
      <w:r w:rsidRPr="5B050D69">
        <w:rPr>
          <w:rFonts w:ascii="Times New Roman" w:hAnsi="Times New Roman" w:cs="Times New Roman"/>
          <w:sz w:val="24"/>
          <w:szCs w:val="24"/>
        </w:rPr>
        <w:t xml:space="preserve"> in the SC</w:t>
      </w:r>
      <w:r w:rsidR="0060744D">
        <w:rPr>
          <w:rFonts w:ascii="Times New Roman" w:hAnsi="Times New Roman" w:cs="Times New Roman"/>
          <w:sz w:val="24"/>
          <w:szCs w:val="24"/>
        </w:rPr>
        <w:t xml:space="preserve"> indicate that a</w:t>
      </w:r>
      <w:r w:rsidR="001355F9">
        <w:rPr>
          <w:rFonts w:ascii="Times New Roman" w:hAnsi="Times New Roman" w:cs="Times New Roman"/>
          <w:sz w:val="24"/>
          <w:szCs w:val="24"/>
        </w:rPr>
        <w:t xml:space="preserve"> majority</w:t>
      </w:r>
      <w:r w:rsidRPr="5B050D69">
        <w:rPr>
          <w:rFonts w:ascii="Times New Roman" w:hAnsi="Times New Roman" w:cs="Times New Roman"/>
          <w:sz w:val="24"/>
          <w:szCs w:val="24"/>
        </w:rPr>
        <w:t xml:space="preserve"> of the astrocytes</w:t>
      </w:r>
      <w:r w:rsidRPr="5B050D69">
        <w:rPr>
          <w:rFonts w:ascii="Times New Roman" w:hAnsi="Times New Roman" w:cs="Times New Roman"/>
          <w:sz w:val="24"/>
          <w:szCs w:val="24"/>
        </w:rPr>
        <w:t>（</w:t>
      </w:r>
      <w:r w:rsidR="00870E1F">
        <w:rPr>
          <w:rFonts w:ascii="Times New Roman" w:hAnsi="Times New Roman" w:cs="Times New Roman" w:hint="eastAsia"/>
          <w:sz w:val="24"/>
          <w:szCs w:val="24"/>
        </w:rPr>
        <w:t>9</w:t>
      </w:r>
      <w:r w:rsidR="00870E1F">
        <w:rPr>
          <w:rFonts w:ascii="Times New Roman" w:hAnsi="Times New Roman" w:cs="Times New Roman"/>
          <w:sz w:val="24"/>
          <w:szCs w:val="24"/>
        </w:rPr>
        <w:t>3.3</w:t>
      </w:r>
      <w:r w:rsidRPr="5B050D69">
        <w:rPr>
          <w:rFonts w:ascii="Times New Roman" w:hAnsi="Times New Roman" w:cs="Times New Roman"/>
          <w:sz w:val="24"/>
          <w:szCs w:val="24"/>
        </w:rPr>
        <w:t>%</w:t>
      </w:r>
      <w:r w:rsidR="00961FDA">
        <w:rPr>
          <w:rFonts w:ascii="Times New Roman" w:hAnsi="Times New Roman" w:cs="Times New Roman" w:hint="eastAsia"/>
          <w:sz w:val="24"/>
          <w:szCs w:val="24"/>
        </w:rPr>
        <w:t>）</w:t>
      </w:r>
      <w:r w:rsidR="00DD4D15">
        <w:rPr>
          <w:rFonts w:ascii="Times New Roman" w:hAnsi="Times New Roman" w:cs="Times New Roman"/>
          <w:sz w:val="24"/>
          <w:szCs w:val="24"/>
        </w:rPr>
        <w:t>express</w:t>
      </w:r>
      <w:r w:rsidRPr="5B050D69">
        <w:rPr>
          <w:rFonts w:ascii="Times New Roman" w:hAnsi="Times New Roman" w:cs="Times New Roman"/>
          <w:sz w:val="24"/>
          <w:szCs w:val="24"/>
        </w:rPr>
        <w:t xml:space="preserve"> Olig2. (p)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5B050D69">
        <w:rPr>
          <w:rFonts w:ascii="Times New Roman" w:hAnsi="Times New Roman" w:cs="Times New Roman"/>
          <w:sz w:val="24"/>
          <w:szCs w:val="24"/>
        </w:rPr>
        <w:t xml:space="preserve">he </w:t>
      </w:r>
      <w:r w:rsidR="0060744D">
        <w:rPr>
          <w:rFonts w:ascii="Times New Roman" w:hAnsi="Times New Roman" w:cs="Times New Roman"/>
          <w:sz w:val="24"/>
          <w:szCs w:val="24"/>
        </w:rPr>
        <w:t>proportion</w:t>
      </w:r>
      <w:r w:rsidRPr="5B050D69">
        <w:rPr>
          <w:rFonts w:ascii="Times New Roman" w:hAnsi="Times New Roman" w:cs="Times New Roman"/>
          <w:sz w:val="24"/>
          <w:szCs w:val="24"/>
        </w:rPr>
        <w:t xml:space="preserve"> of Olig2</w:t>
      </w:r>
      <w:r w:rsidRPr="00156B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5B050D69">
        <w:rPr>
          <w:rFonts w:ascii="Times New Roman" w:hAnsi="Times New Roman" w:cs="Times New Roman"/>
          <w:sz w:val="24"/>
          <w:szCs w:val="24"/>
        </w:rPr>
        <w:t xml:space="preserve"> cells </w:t>
      </w:r>
      <w:r w:rsidR="00FC5214">
        <w:rPr>
          <w:rFonts w:ascii="Times New Roman" w:hAnsi="Times New Roman" w:cs="Times New Roman"/>
          <w:sz w:val="24"/>
          <w:szCs w:val="24"/>
        </w:rPr>
        <w:t xml:space="preserve">among </w:t>
      </w:r>
      <w:r w:rsidR="008F1571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5B050D69">
        <w:rPr>
          <w:rFonts w:ascii="Times New Roman" w:hAnsi="Times New Roman" w:cs="Times New Roman"/>
          <w:sz w:val="24"/>
          <w:szCs w:val="24"/>
        </w:rPr>
        <w:t>S</w:t>
      </w:r>
      <w:r w:rsidR="0060744D">
        <w:rPr>
          <w:rFonts w:ascii="Times New Roman" w:hAnsi="Times New Roman" w:cs="Times New Roman"/>
          <w:sz w:val="24"/>
          <w:szCs w:val="24"/>
        </w:rPr>
        <w:t>ox9</w:t>
      </w:r>
      <w:r w:rsidRPr="00156B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5B050D69">
        <w:rPr>
          <w:rFonts w:ascii="Times New Roman" w:hAnsi="Times New Roman" w:cs="Times New Roman"/>
          <w:sz w:val="24"/>
          <w:szCs w:val="24"/>
        </w:rPr>
        <w:t xml:space="preserve"> cells in </w:t>
      </w:r>
      <w:r w:rsidR="00DD4D15">
        <w:rPr>
          <w:rFonts w:ascii="Times New Roman" w:hAnsi="Times New Roman" w:cs="Times New Roman"/>
          <w:sz w:val="24"/>
          <w:szCs w:val="24"/>
        </w:rPr>
        <w:t>different</w:t>
      </w:r>
      <w:r w:rsidRPr="5B050D69">
        <w:rPr>
          <w:rFonts w:ascii="Times New Roman" w:hAnsi="Times New Roman" w:cs="Times New Roman"/>
          <w:sz w:val="24"/>
          <w:szCs w:val="24"/>
        </w:rPr>
        <w:t xml:space="preserve"> </w:t>
      </w:r>
      <w:r w:rsidR="008F1571">
        <w:rPr>
          <w:rFonts w:ascii="Times New Roman" w:hAnsi="Times New Roman" w:cs="Times New Roman"/>
          <w:sz w:val="24"/>
          <w:szCs w:val="24"/>
        </w:rPr>
        <w:t>CNS region</w:t>
      </w:r>
      <w:r w:rsidR="00DD4D15">
        <w:rPr>
          <w:rFonts w:ascii="Times New Roman" w:hAnsi="Times New Roman" w:cs="Times New Roman"/>
          <w:sz w:val="24"/>
          <w:szCs w:val="24"/>
        </w:rPr>
        <w:t>s</w:t>
      </w:r>
      <w:r w:rsidRPr="5B050D69">
        <w:rPr>
          <w:rFonts w:ascii="Times New Roman" w:hAnsi="Times New Roman" w:cs="Times New Roman"/>
          <w:sz w:val="24"/>
          <w:szCs w:val="24"/>
        </w:rPr>
        <w:t xml:space="preserve">. 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5B05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represented</w:t>
      </w:r>
      <w:r w:rsidRPr="5B05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5B050D69">
        <w:rPr>
          <w:rFonts w:ascii="Times New Roman" w:hAnsi="Times New Roman" w:cs="Times New Roman"/>
          <w:sz w:val="24"/>
          <w:szCs w:val="24"/>
        </w:rPr>
        <w:t xml:space="preserve"> mean </w:t>
      </w:r>
      <w:r w:rsidRPr="00156BD7">
        <w:rPr>
          <w:rFonts w:ascii="Times New Roman" w:hAnsi="Times New Roman" w:cs="Times New Roman" w:hint="eastAsia"/>
          <w:sz w:val="24"/>
          <w:szCs w:val="24"/>
        </w:rPr>
        <w:t>±</w:t>
      </w:r>
      <w:r w:rsidRPr="5B050D69">
        <w:rPr>
          <w:rFonts w:ascii="Times New Roman" w:hAnsi="Times New Roman" w:cs="Times New Roman"/>
          <w:sz w:val="24"/>
          <w:szCs w:val="24"/>
        </w:rPr>
        <w:t xml:space="preserve"> SEM. Scale bars: 1000 μm (a), </w:t>
      </w:r>
      <w:r w:rsidR="00DD4D15">
        <w:rPr>
          <w:rFonts w:ascii="Times New Roman" w:hAnsi="Times New Roman" w:cs="Times New Roman"/>
          <w:sz w:val="24"/>
          <w:szCs w:val="24"/>
        </w:rPr>
        <w:t>2</w:t>
      </w:r>
      <w:r w:rsidRPr="5B050D69">
        <w:rPr>
          <w:rFonts w:ascii="Times New Roman" w:hAnsi="Times New Roman" w:cs="Times New Roman"/>
          <w:sz w:val="24"/>
          <w:szCs w:val="24"/>
        </w:rPr>
        <w:t>0 μm (b-m, o), 500 μm (n).</w:t>
      </w:r>
    </w:p>
    <w:p w14:paraId="37DC80D8" w14:textId="77777777" w:rsidR="00C276AF" w:rsidRPr="00DD4D15" w:rsidRDefault="00C276AF" w:rsidP="001C377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C276AF" w:rsidRPr="00DD4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18C16" w14:textId="77777777" w:rsidR="000F5D20" w:rsidRDefault="000F5D20" w:rsidP="001C377E">
      <w:r>
        <w:separator/>
      </w:r>
    </w:p>
  </w:endnote>
  <w:endnote w:type="continuationSeparator" w:id="0">
    <w:p w14:paraId="460A31D9" w14:textId="77777777" w:rsidR="000F5D20" w:rsidRDefault="000F5D20" w:rsidP="001C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0725" w14:textId="77777777" w:rsidR="000F5D20" w:rsidRDefault="000F5D20" w:rsidP="001C377E">
      <w:r>
        <w:separator/>
      </w:r>
    </w:p>
  </w:footnote>
  <w:footnote w:type="continuationSeparator" w:id="0">
    <w:p w14:paraId="15BF6222" w14:textId="77777777" w:rsidR="000F5D20" w:rsidRDefault="000F5D20" w:rsidP="001C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AE"/>
    <w:rsid w:val="00083FB2"/>
    <w:rsid w:val="000F5D20"/>
    <w:rsid w:val="001255DE"/>
    <w:rsid w:val="001355F9"/>
    <w:rsid w:val="001C377E"/>
    <w:rsid w:val="001C42D7"/>
    <w:rsid w:val="00242FD1"/>
    <w:rsid w:val="002A6DAB"/>
    <w:rsid w:val="003223C5"/>
    <w:rsid w:val="00355728"/>
    <w:rsid w:val="003659AE"/>
    <w:rsid w:val="003E5B65"/>
    <w:rsid w:val="003F5972"/>
    <w:rsid w:val="00430446"/>
    <w:rsid w:val="00437DD1"/>
    <w:rsid w:val="0049428F"/>
    <w:rsid w:val="005718BB"/>
    <w:rsid w:val="005A3A00"/>
    <w:rsid w:val="005E7566"/>
    <w:rsid w:val="0060744D"/>
    <w:rsid w:val="00660F6E"/>
    <w:rsid w:val="00681EE4"/>
    <w:rsid w:val="006A3F02"/>
    <w:rsid w:val="006B3A2A"/>
    <w:rsid w:val="00704085"/>
    <w:rsid w:val="00722CD2"/>
    <w:rsid w:val="00796397"/>
    <w:rsid w:val="007B04F8"/>
    <w:rsid w:val="00870E1F"/>
    <w:rsid w:val="008E0EEC"/>
    <w:rsid w:val="008E6F8A"/>
    <w:rsid w:val="008F1571"/>
    <w:rsid w:val="009127F2"/>
    <w:rsid w:val="00961FDA"/>
    <w:rsid w:val="009B6B81"/>
    <w:rsid w:val="00A11458"/>
    <w:rsid w:val="00A828E3"/>
    <w:rsid w:val="00B160D7"/>
    <w:rsid w:val="00B20399"/>
    <w:rsid w:val="00B747B9"/>
    <w:rsid w:val="00BD0E9B"/>
    <w:rsid w:val="00BD76BB"/>
    <w:rsid w:val="00C276AF"/>
    <w:rsid w:val="00C83194"/>
    <w:rsid w:val="00C93CA6"/>
    <w:rsid w:val="00D8497A"/>
    <w:rsid w:val="00DD4D15"/>
    <w:rsid w:val="00E21542"/>
    <w:rsid w:val="00E47524"/>
    <w:rsid w:val="00F61F0D"/>
    <w:rsid w:val="00F625F4"/>
    <w:rsid w:val="00F93D48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3C578"/>
  <w15:chartTrackingRefBased/>
  <w15:docId w15:val="{62B81D60-B72E-4C84-AEDE-B1D79CEB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7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77E"/>
    <w:rPr>
      <w:sz w:val="18"/>
      <w:szCs w:val="18"/>
    </w:rPr>
  </w:style>
  <w:style w:type="character" w:styleId="a7">
    <w:name w:val="Hyperlink"/>
    <w:basedOn w:val="a0"/>
    <w:uiPriority w:val="99"/>
    <w:unhideWhenUsed/>
    <w:rsid w:val="001C377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76A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76AF"/>
    <w:rPr>
      <w:sz w:val="18"/>
      <w:szCs w:val="18"/>
    </w:rPr>
  </w:style>
  <w:style w:type="table" w:styleId="aa">
    <w:name w:val="Table Grid"/>
    <w:basedOn w:val="a1"/>
    <w:uiPriority w:val="59"/>
    <w:rsid w:val="00C276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7B04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04F8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7B04F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04F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B0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gongchen@j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mxie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6</cp:revision>
  <dcterms:created xsi:type="dcterms:W3CDTF">2021-02-01T10:12:00Z</dcterms:created>
  <dcterms:modified xsi:type="dcterms:W3CDTF">2021-02-01T12:18:00Z</dcterms:modified>
</cp:coreProperties>
</file>