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9901" w14:textId="77777777" w:rsidR="0038627D" w:rsidRPr="009A52A6" w:rsidRDefault="009A52A6">
      <w:pPr>
        <w:spacing w:line="360" w:lineRule="auto"/>
        <w:jc w:val="both"/>
        <w:rPr>
          <w:b/>
          <w:color w:val="000000" w:themeColor="text1"/>
          <w:sz w:val="28"/>
          <w:szCs w:val="28"/>
        </w:rPr>
      </w:pPr>
      <w:bookmarkStart w:id="0" w:name="_GoBack"/>
      <w:r w:rsidRPr="009A52A6">
        <w:rPr>
          <w:b/>
          <w:color w:val="000000" w:themeColor="text1"/>
          <w:sz w:val="28"/>
          <w:szCs w:val="28"/>
        </w:rPr>
        <w:t>Supplementary material</w:t>
      </w:r>
    </w:p>
    <w:p w14:paraId="0627A311" w14:textId="77777777" w:rsidR="0038627D" w:rsidRPr="009A52A6" w:rsidRDefault="0038627D">
      <w:pPr>
        <w:spacing w:line="360" w:lineRule="auto"/>
        <w:jc w:val="both"/>
        <w:rPr>
          <w:b/>
          <w:color w:val="000000" w:themeColor="text1"/>
          <w:sz w:val="28"/>
          <w:szCs w:val="28"/>
        </w:rPr>
      </w:pPr>
    </w:p>
    <w:p w14:paraId="39A785A3" w14:textId="77777777" w:rsidR="0038627D" w:rsidRPr="009A52A6" w:rsidRDefault="009A52A6">
      <w:pPr>
        <w:spacing w:line="360" w:lineRule="auto"/>
        <w:jc w:val="both"/>
        <w:rPr>
          <w:color w:val="000000" w:themeColor="text1"/>
          <w:sz w:val="22"/>
          <w:szCs w:val="22"/>
        </w:rPr>
      </w:pPr>
      <w:r w:rsidRPr="009A52A6">
        <w:rPr>
          <w:noProof/>
          <w:color w:val="000000" w:themeColor="text1"/>
          <w:sz w:val="22"/>
          <w:szCs w:val="22"/>
        </w:rPr>
        <w:drawing>
          <wp:inline distT="114300" distB="114300" distL="114300" distR="114300" wp14:anchorId="62C8FE9D" wp14:editId="53DCC871">
            <wp:extent cx="5815013" cy="394107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815013" cy="3941072"/>
                    </a:xfrm>
                    <a:prstGeom prst="rect">
                      <a:avLst/>
                    </a:prstGeom>
                    <a:ln/>
                  </pic:spPr>
                </pic:pic>
              </a:graphicData>
            </a:graphic>
          </wp:inline>
        </w:drawing>
      </w:r>
    </w:p>
    <w:p w14:paraId="6ABE9C79" w14:textId="77777777" w:rsidR="0038627D" w:rsidRPr="009A52A6" w:rsidRDefault="009A52A6">
      <w:pPr>
        <w:spacing w:line="360" w:lineRule="auto"/>
        <w:jc w:val="both"/>
        <w:rPr>
          <w:color w:val="000000" w:themeColor="text1"/>
          <w:sz w:val="22"/>
          <w:szCs w:val="22"/>
        </w:rPr>
      </w:pPr>
      <w:r w:rsidRPr="009A52A6">
        <w:rPr>
          <w:b/>
          <w:color w:val="000000" w:themeColor="text1"/>
          <w:sz w:val="22"/>
          <w:szCs w:val="22"/>
        </w:rPr>
        <w:t>Figure S1. Identification of scaffolds linked to chromosome X using sequencing coverage and scaffold length</w:t>
      </w:r>
      <w:r w:rsidRPr="009A52A6">
        <w:rPr>
          <w:color w:val="000000" w:themeColor="text1"/>
          <w:sz w:val="22"/>
          <w:szCs w:val="22"/>
        </w:rPr>
        <w:t>. Green dots correspond to scaffolds assigned as linked to chromosome X. The red lines indicate the median coverage for all scaffolds. The blue lines represent half the median coverage which corresponds to the coverage of scaffolds linked to chromosome X.</w:t>
      </w:r>
    </w:p>
    <w:p w14:paraId="2D85BB21" w14:textId="77777777" w:rsidR="0038627D" w:rsidRPr="009A52A6" w:rsidRDefault="0038627D">
      <w:pPr>
        <w:spacing w:line="360" w:lineRule="auto"/>
        <w:jc w:val="both"/>
        <w:rPr>
          <w:color w:val="000000" w:themeColor="text1"/>
          <w:sz w:val="22"/>
          <w:szCs w:val="22"/>
        </w:rPr>
      </w:pPr>
    </w:p>
    <w:p w14:paraId="7E68AD69" w14:textId="77777777" w:rsidR="0038627D" w:rsidRPr="009A52A6" w:rsidRDefault="0038627D">
      <w:pPr>
        <w:spacing w:line="360" w:lineRule="auto"/>
        <w:rPr>
          <w:color w:val="000000" w:themeColor="text1"/>
          <w:sz w:val="22"/>
          <w:szCs w:val="22"/>
        </w:rPr>
      </w:pPr>
    </w:p>
    <w:p w14:paraId="10D19FD7" w14:textId="77777777" w:rsidR="0038627D" w:rsidRPr="009A52A6" w:rsidRDefault="0038627D">
      <w:pPr>
        <w:spacing w:line="360" w:lineRule="auto"/>
        <w:rPr>
          <w:color w:val="000000" w:themeColor="text1"/>
          <w:sz w:val="22"/>
          <w:szCs w:val="22"/>
        </w:rPr>
      </w:pPr>
    </w:p>
    <w:p w14:paraId="54EDB6F9" w14:textId="77777777" w:rsidR="0038627D" w:rsidRPr="009A52A6" w:rsidRDefault="0038627D">
      <w:pPr>
        <w:spacing w:line="360" w:lineRule="auto"/>
        <w:jc w:val="both"/>
        <w:rPr>
          <w:color w:val="000000" w:themeColor="text1"/>
          <w:sz w:val="22"/>
          <w:szCs w:val="22"/>
        </w:rPr>
      </w:pPr>
    </w:p>
    <w:p w14:paraId="3E914D51" w14:textId="77777777" w:rsidR="0038627D" w:rsidRPr="009A52A6" w:rsidRDefault="0038627D">
      <w:pPr>
        <w:spacing w:line="360" w:lineRule="auto"/>
        <w:jc w:val="both"/>
        <w:rPr>
          <w:color w:val="000000" w:themeColor="text1"/>
          <w:sz w:val="22"/>
          <w:szCs w:val="22"/>
        </w:rPr>
      </w:pPr>
    </w:p>
    <w:p w14:paraId="674FF49D" w14:textId="77777777" w:rsidR="0038627D" w:rsidRPr="009A52A6" w:rsidRDefault="0038627D">
      <w:pPr>
        <w:spacing w:line="360" w:lineRule="auto"/>
        <w:jc w:val="center"/>
        <w:rPr>
          <w:b/>
          <w:color w:val="000000" w:themeColor="text1"/>
          <w:sz w:val="22"/>
          <w:szCs w:val="22"/>
        </w:rPr>
      </w:pPr>
    </w:p>
    <w:p w14:paraId="01682339" w14:textId="77777777" w:rsidR="0038627D" w:rsidRPr="009A52A6" w:rsidRDefault="0038627D">
      <w:pPr>
        <w:spacing w:line="360" w:lineRule="auto"/>
        <w:jc w:val="center"/>
        <w:rPr>
          <w:color w:val="000000" w:themeColor="text1"/>
          <w:sz w:val="22"/>
          <w:szCs w:val="22"/>
        </w:rPr>
      </w:pPr>
    </w:p>
    <w:p w14:paraId="131C02AC" w14:textId="77777777" w:rsidR="0038627D" w:rsidRPr="009A52A6" w:rsidRDefault="0038627D">
      <w:pPr>
        <w:spacing w:line="360" w:lineRule="auto"/>
        <w:jc w:val="both"/>
        <w:rPr>
          <w:color w:val="000000" w:themeColor="text1"/>
        </w:rPr>
      </w:pPr>
    </w:p>
    <w:p w14:paraId="349F4678" w14:textId="77777777" w:rsidR="0038627D" w:rsidRPr="009A52A6" w:rsidRDefault="009A52A6">
      <w:pPr>
        <w:spacing w:line="360" w:lineRule="auto"/>
        <w:jc w:val="center"/>
        <w:rPr>
          <w:b/>
          <w:color w:val="000000" w:themeColor="text1"/>
          <w:sz w:val="22"/>
          <w:szCs w:val="22"/>
        </w:rPr>
      </w:pPr>
      <w:r w:rsidRPr="009A52A6">
        <w:rPr>
          <w:b/>
          <w:noProof/>
          <w:color w:val="000000" w:themeColor="text1"/>
          <w:sz w:val="22"/>
          <w:szCs w:val="22"/>
        </w:rPr>
        <w:lastRenderedPageBreak/>
        <w:drawing>
          <wp:inline distT="114300" distB="114300" distL="114300" distR="114300" wp14:anchorId="5802771C" wp14:editId="71A041C3">
            <wp:extent cx="5005388" cy="42321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005388" cy="4232130"/>
                    </a:xfrm>
                    <a:prstGeom prst="rect">
                      <a:avLst/>
                    </a:prstGeom>
                    <a:ln/>
                  </pic:spPr>
                </pic:pic>
              </a:graphicData>
            </a:graphic>
          </wp:inline>
        </w:drawing>
      </w:r>
    </w:p>
    <w:p w14:paraId="5D5F4198" w14:textId="77777777" w:rsidR="0038627D" w:rsidRPr="009A52A6" w:rsidRDefault="009A52A6">
      <w:pPr>
        <w:spacing w:line="360" w:lineRule="auto"/>
        <w:jc w:val="both"/>
        <w:rPr>
          <w:color w:val="000000" w:themeColor="text1"/>
          <w:sz w:val="22"/>
          <w:szCs w:val="22"/>
        </w:rPr>
      </w:pPr>
      <w:r w:rsidRPr="009A52A6">
        <w:rPr>
          <w:b/>
          <w:color w:val="000000" w:themeColor="text1"/>
          <w:sz w:val="22"/>
          <w:szCs w:val="22"/>
        </w:rPr>
        <w:t>Figure S</w:t>
      </w:r>
      <w:r w:rsidRPr="009A52A6">
        <w:rPr>
          <w:b/>
          <w:color w:val="000000" w:themeColor="text1"/>
          <w:sz w:val="22"/>
          <w:szCs w:val="22"/>
        </w:rPr>
        <w:t>2</w:t>
      </w:r>
      <w:r w:rsidRPr="009A52A6">
        <w:rPr>
          <w:color w:val="000000" w:themeColor="text1"/>
          <w:sz w:val="22"/>
          <w:szCs w:val="22"/>
        </w:rPr>
        <w:t xml:space="preserve">. </w:t>
      </w:r>
      <w:r w:rsidRPr="009A52A6">
        <w:rPr>
          <w:b/>
          <w:color w:val="000000" w:themeColor="text1"/>
          <w:sz w:val="22"/>
          <w:szCs w:val="22"/>
        </w:rPr>
        <w:t>Past demography for moose (</w:t>
      </w:r>
      <w:r w:rsidRPr="009A52A6">
        <w:rPr>
          <w:b/>
          <w:i/>
          <w:color w:val="000000" w:themeColor="text1"/>
          <w:sz w:val="22"/>
          <w:szCs w:val="22"/>
        </w:rPr>
        <w:t>Alces alces</w:t>
      </w:r>
      <w:r w:rsidRPr="009A52A6">
        <w:rPr>
          <w:b/>
          <w:color w:val="000000" w:themeColor="text1"/>
          <w:sz w:val="22"/>
          <w:szCs w:val="22"/>
        </w:rPr>
        <w:t xml:space="preserve">) </w:t>
      </w:r>
      <w:r w:rsidRPr="009A52A6">
        <w:rPr>
          <w:b/>
          <w:color w:val="000000" w:themeColor="text1"/>
          <w:sz w:val="22"/>
          <w:szCs w:val="22"/>
        </w:rPr>
        <w:t>using PSMC</w:t>
      </w:r>
      <w:r w:rsidRPr="009A52A6">
        <w:rPr>
          <w:color w:val="000000" w:themeColor="text1"/>
          <w:sz w:val="22"/>
          <w:szCs w:val="22"/>
        </w:rPr>
        <w:t>. Thin lines represent 100 bootstrap runs. The x-</w:t>
      </w:r>
      <w:r w:rsidRPr="009A52A6">
        <w:rPr>
          <w:color w:val="000000" w:themeColor="text1"/>
          <w:sz w:val="22"/>
          <w:szCs w:val="22"/>
        </w:rPr>
        <w:t>axis corresponds to time before present in years on a log scale, assuming an estimated substitution rate of 0.7×10</w:t>
      </w:r>
      <w:r w:rsidRPr="009A52A6">
        <w:rPr>
          <w:rFonts w:ascii="Gungsuh" w:eastAsia="Gungsuh" w:hAnsi="Gungsuh" w:cs="Gungsuh"/>
          <w:color w:val="000000" w:themeColor="text1"/>
          <w:sz w:val="22"/>
          <w:szCs w:val="22"/>
          <w:vertAlign w:val="superscript"/>
        </w:rPr>
        <w:t>−</w:t>
      </w:r>
      <w:r w:rsidRPr="009A52A6">
        <w:rPr>
          <w:rFonts w:ascii="Gungsuh" w:eastAsia="Gungsuh" w:hAnsi="Gungsuh" w:cs="Gungsuh"/>
          <w:color w:val="000000" w:themeColor="text1"/>
          <w:sz w:val="22"/>
          <w:szCs w:val="22"/>
          <w:vertAlign w:val="superscript"/>
        </w:rPr>
        <w:t>8</w:t>
      </w:r>
      <w:r w:rsidRPr="009A52A6">
        <w:rPr>
          <w:color w:val="000000" w:themeColor="text1"/>
          <w:sz w:val="22"/>
          <w:szCs w:val="22"/>
        </w:rPr>
        <w:t xml:space="preserve"> substitutions/site/</w:t>
      </w:r>
      <w:r w:rsidRPr="009A52A6">
        <w:rPr>
          <w:color w:val="000000" w:themeColor="text1"/>
          <w:sz w:val="22"/>
          <w:szCs w:val="22"/>
        </w:rPr>
        <w:t>generation</w:t>
      </w:r>
      <w:r w:rsidRPr="009A52A6">
        <w:rPr>
          <w:color w:val="000000" w:themeColor="text1"/>
          <w:sz w:val="22"/>
          <w:szCs w:val="22"/>
        </w:rPr>
        <w:t xml:space="preserve"> </w:t>
      </w:r>
      <w:hyperlink r:id="rId6">
        <w:r w:rsidRPr="009A52A6">
          <w:rPr>
            <w:color w:val="000000" w:themeColor="text1"/>
            <w:sz w:val="22"/>
            <w:szCs w:val="22"/>
          </w:rPr>
          <w:t>[34]</w:t>
        </w:r>
      </w:hyperlink>
      <w:r w:rsidRPr="009A52A6">
        <w:rPr>
          <w:color w:val="000000" w:themeColor="text1"/>
          <w:sz w:val="22"/>
          <w:szCs w:val="22"/>
        </w:rPr>
        <w:t xml:space="preserve"> and a generation time of 7 years </w:t>
      </w:r>
      <w:hyperlink r:id="rId7">
        <w:r w:rsidRPr="009A52A6">
          <w:rPr>
            <w:color w:val="000000" w:themeColor="text1"/>
            <w:sz w:val="22"/>
            <w:szCs w:val="22"/>
          </w:rPr>
          <w:t>[92]</w:t>
        </w:r>
      </w:hyperlink>
      <w:r w:rsidRPr="009A52A6">
        <w:rPr>
          <w:color w:val="000000" w:themeColor="text1"/>
          <w:sz w:val="22"/>
          <w:szCs w:val="22"/>
        </w:rPr>
        <w:t xml:space="preserve">. The y-axis corresponds to the effective population size </w:t>
      </w:r>
      <w:r w:rsidRPr="009A52A6">
        <w:rPr>
          <w:i/>
          <w:color w:val="000000" w:themeColor="text1"/>
          <w:sz w:val="22"/>
          <w:szCs w:val="22"/>
        </w:rPr>
        <w:t>N</w:t>
      </w:r>
      <w:r w:rsidRPr="009A52A6">
        <w:rPr>
          <w:color w:val="000000" w:themeColor="text1"/>
          <w:sz w:val="22"/>
          <w:szCs w:val="22"/>
          <w:vertAlign w:val="subscript"/>
        </w:rPr>
        <w:t>e</w:t>
      </w:r>
      <w:r w:rsidRPr="009A52A6">
        <w:rPr>
          <w:color w:val="000000" w:themeColor="text1"/>
          <w:sz w:val="22"/>
          <w:szCs w:val="22"/>
        </w:rPr>
        <w:t xml:space="preserve">. </w:t>
      </w:r>
    </w:p>
    <w:p w14:paraId="2A645E2B" w14:textId="77777777" w:rsidR="0038627D" w:rsidRPr="009A52A6" w:rsidRDefault="009A52A6">
      <w:pPr>
        <w:spacing w:line="360" w:lineRule="auto"/>
        <w:jc w:val="both"/>
        <w:rPr>
          <w:color w:val="000000" w:themeColor="text1"/>
          <w:sz w:val="22"/>
          <w:szCs w:val="22"/>
        </w:rPr>
      </w:pPr>
      <w:r w:rsidRPr="009A52A6">
        <w:rPr>
          <w:noProof/>
          <w:color w:val="000000" w:themeColor="text1"/>
          <w:sz w:val="22"/>
          <w:szCs w:val="22"/>
        </w:rPr>
        <w:lastRenderedPageBreak/>
        <w:drawing>
          <wp:inline distT="114300" distB="114300" distL="114300" distR="114300" wp14:anchorId="2C07D8D1" wp14:editId="441590E2">
            <wp:extent cx="5731200" cy="3937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3937000"/>
                    </a:xfrm>
                    <a:prstGeom prst="rect">
                      <a:avLst/>
                    </a:prstGeom>
                    <a:ln/>
                  </pic:spPr>
                </pic:pic>
              </a:graphicData>
            </a:graphic>
          </wp:inline>
        </w:drawing>
      </w:r>
    </w:p>
    <w:p w14:paraId="677D4FAA" w14:textId="77777777" w:rsidR="0038627D" w:rsidRPr="009A52A6" w:rsidRDefault="009A52A6">
      <w:pPr>
        <w:spacing w:line="360" w:lineRule="auto"/>
        <w:jc w:val="both"/>
        <w:rPr>
          <w:color w:val="000000" w:themeColor="text1"/>
          <w:sz w:val="22"/>
          <w:szCs w:val="22"/>
        </w:rPr>
      </w:pPr>
      <w:r w:rsidRPr="009A52A6">
        <w:rPr>
          <w:b/>
          <w:color w:val="000000" w:themeColor="text1"/>
          <w:sz w:val="22"/>
          <w:szCs w:val="22"/>
        </w:rPr>
        <w:t>Figure S</w:t>
      </w:r>
      <w:r w:rsidRPr="009A52A6">
        <w:rPr>
          <w:b/>
          <w:color w:val="000000" w:themeColor="text1"/>
          <w:sz w:val="22"/>
          <w:szCs w:val="22"/>
        </w:rPr>
        <w:t>3</w:t>
      </w:r>
      <w:r w:rsidRPr="009A52A6">
        <w:rPr>
          <w:b/>
          <w:color w:val="000000" w:themeColor="text1"/>
          <w:sz w:val="22"/>
          <w:szCs w:val="22"/>
        </w:rPr>
        <w:t>. Past demography for moose (</w:t>
      </w:r>
      <w:r w:rsidRPr="009A52A6">
        <w:rPr>
          <w:b/>
          <w:i/>
          <w:color w:val="000000" w:themeColor="text1"/>
          <w:sz w:val="22"/>
          <w:szCs w:val="22"/>
        </w:rPr>
        <w:t>Alces alces</w:t>
      </w:r>
      <w:r w:rsidRPr="009A52A6">
        <w:rPr>
          <w:b/>
          <w:color w:val="000000" w:themeColor="text1"/>
          <w:sz w:val="22"/>
          <w:szCs w:val="22"/>
        </w:rPr>
        <w:t>) using a Bayesian Skyline Plot</w:t>
      </w:r>
      <w:r w:rsidRPr="009A52A6">
        <w:rPr>
          <w:color w:val="000000" w:themeColor="text1"/>
          <w:sz w:val="22"/>
          <w:szCs w:val="22"/>
        </w:rPr>
        <w:t xml:space="preserve"> </w:t>
      </w:r>
      <w:r w:rsidRPr="009A52A6">
        <w:rPr>
          <w:b/>
          <w:color w:val="000000" w:themeColor="text1"/>
          <w:sz w:val="22"/>
          <w:szCs w:val="22"/>
        </w:rPr>
        <w:t>(BSP).</w:t>
      </w:r>
      <w:r w:rsidRPr="009A52A6">
        <w:rPr>
          <w:color w:val="000000" w:themeColor="text1"/>
          <w:sz w:val="22"/>
          <w:szCs w:val="22"/>
        </w:rPr>
        <w:t xml:space="preserve"> Demographic reconstruction was </w:t>
      </w:r>
      <w:r w:rsidRPr="009A52A6">
        <w:rPr>
          <w:color w:val="000000" w:themeColor="text1"/>
          <w:sz w:val="22"/>
          <w:szCs w:val="22"/>
        </w:rPr>
        <w:t>inferred in BEAST</w:t>
      </w:r>
      <w:r w:rsidRPr="009A52A6">
        <w:rPr>
          <w:color w:val="000000" w:themeColor="text1"/>
          <w:sz w:val="22"/>
          <w:szCs w:val="22"/>
        </w:rPr>
        <w:t xml:space="preserve"> using 14 European 16,693 bp</w:t>
      </w:r>
      <w:r w:rsidRPr="009A52A6">
        <w:rPr>
          <w:b/>
          <w:color w:val="000000" w:themeColor="text1"/>
          <w:sz w:val="22"/>
          <w:szCs w:val="22"/>
        </w:rPr>
        <w:t xml:space="preserve"> </w:t>
      </w:r>
      <w:r w:rsidRPr="009A52A6">
        <w:rPr>
          <w:color w:val="000000" w:themeColor="text1"/>
          <w:sz w:val="22"/>
          <w:szCs w:val="22"/>
        </w:rPr>
        <w:t>mitogenomes. Timing of events was estimated assuming a mean rate of 9 x 10</w:t>
      </w:r>
      <w:r w:rsidRPr="009A52A6">
        <w:rPr>
          <w:color w:val="000000" w:themeColor="text1"/>
          <w:sz w:val="22"/>
          <w:szCs w:val="22"/>
          <w:vertAlign w:val="superscript"/>
        </w:rPr>
        <w:t>-9</w:t>
      </w:r>
      <w:r w:rsidRPr="009A52A6">
        <w:rPr>
          <w:color w:val="000000" w:themeColor="text1"/>
          <w:sz w:val="22"/>
          <w:szCs w:val="22"/>
        </w:rPr>
        <w:t xml:space="preserve"> substitutions/site/year</w:t>
      </w:r>
      <w:r w:rsidRPr="009A52A6">
        <w:rPr>
          <w:color w:val="000000" w:themeColor="text1"/>
          <w:sz w:val="22"/>
          <w:szCs w:val="22"/>
        </w:rPr>
        <w:t xml:space="preserve"> based on Zurano et al. </w:t>
      </w:r>
      <w:hyperlink r:id="rId9">
        <w:r w:rsidRPr="009A52A6">
          <w:rPr>
            <w:color w:val="000000" w:themeColor="text1"/>
            <w:sz w:val="22"/>
            <w:szCs w:val="22"/>
          </w:rPr>
          <w:t>[89]</w:t>
        </w:r>
      </w:hyperlink>
      <w:r w:rsidRPr="009A52A6">
        <w:rPr>
          <w:color w:val="000000" w:themeColor="text1"/>
          <w:sz w:val="22"/>
          <w:szCs w:val="22"/>
        </w:rPr>
        <w:t xml:space="preserve"> and a standard deviation of 0.01. The x axis is in calendar years before present and y axis equals changes in effective population size (shown as the product o</w:t>
      </w:r>
      <w:r w:rsidRPr="009A52A6">
        <w:rPr>
          <w:color w:val="000000" w:themeColor="text1"/>
          <w:sz w:val="22"/>
          <w:szCs w:val="22"/>
        </w:rPr>
        <w:t xml:space="preserve">f </w:t>
      </w:r>
      <w:r w:rsidRPr="009A52A6">
        <w:rPr>
          <w:i/>
          <w:color w:val="000000" w:themeColor="text1"/>
        </w:rPr>
        <w:t>N</w:t>
      </w:r>
      <w:r w:rsidRPr="009A52A6">
        <w:rPr>
          <w:color w:val="000000" w:themeColor="text1"/>
          <w:vertAlign w:val="subscript"/>
        </w:rPr>
        <w:t>ef</w:t>
      </w:r>
      <w:r w:rsidRPr="009A52A6">
        <w:rPr>
          <w:color w:val="000000" w:themeColor="text1"/>
          <w:sz w:val="22"/>
          <w:szCs w:val="22"/>
        </w:rPr>
        <w:t xml:space="preserve"> and generation time T). The black line is the median estimate and the blue lines show the 95% highest posterior density intervals.</w:t>
      </w:r>
    </w:p>
    <w:p w14:paraId="4D6627DD" w14:textId="77777777" w:rsidR="0038627D" w:rsidRPr="009A52A6" w:rsidRDefault="0038627D">
      <w:pPr>
        <w:spacing w:line="360" w:lineRule="auto"/>
        <w:jc w:val="both"/>
        <w:rPr>
          <w:color w:val="000000" w:themeColor="text1"/>
          <w:sz w:val="22"/>
          <w:szCs w:val="22"/>
        </w:rPr>
      </w:pPr>
    </w:p>
    <w:p w14:paraId="631433D5" w14:textId="77777777" w:rsidR="0038627D" w:rsidRPr="009A52A6" w:rsidRDefault="0038627D">
      <w:pPr>
        <w:spacing w:line="360" w:lineRule="auto"/>
        <w:jc w:val="center"/>
        <w:rPr>
          <w:b/>
          <w:color w:val="000000" w:themeColor="text1"/>
          <w:sz w:val="22"/>
          <w:szCs w:val="22"/>
        </w:rPr>
      </w:pPr>
    </w:p>
    <w:p w14:paraId="19155776" w14:textId="77777777" w:rsidR="0038627D" w:rsidRPr="009A52A6" w:rsidRDefault="009A52A6">
      <w:pPr>
        <w:rPr>
          <w:color w:val="000000" w:themeColor="text1"/>
        </w:rPr>
      </w:pPr>
      <w:bookmarkStart w:id="1" w:name="_gjdgxs" w:colFirst="0" w:colLast="0"/>
      <w:bookmarkEnd w:id="1"/>
      <w:r w:rsidRPr="009A52A6">
        <w:rPr>
          <w:b/>
          <w:noProof/>
          <w:color w:val="000000" w:themeColor="text1"/>
          <w:sz w:val="22"/>
          <w:szCs w:val="22"/>
        </w:rPr>
        <w:lastRenderedPageBreak/>
        <w:drawing>
          <wp:inline distT="114300" distB="114300" distL="114300" distR="114300" wp14:anchorId="0A640878" wp14:editId="3AA59951">
            <wp:extent cx="5731200" cy="572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5727700"/>
                    </a:xfrm>
                    <a:prstGeom prst="rect">
                      <a:avLst/>
                    </a:prstGeom>
                    <a:ln/>
                  </pic:spPr>
                </pic:pic>
              </a:graphicData>
            </a:graphic>
          </wp:inline>
        </w:drawing>
      </w:r>
      <w:r w:rsidRPr="009A52A6">
        <w:rPr>
          <w:b/>
          <w:color w:val="000000" w:themeColor="text1"/>
          <w:sz w:val="22"/>
          <w:szCs w:val="22"/>
        </w:rPr>
        <w:t>Figure S</w:t>
      </w:r>
      <w:r w:rsidRPr="009A52A6">
        <w:rPr>
          <w:b/>
          <w:color w:val="000000" w:themeColor="text1"/>
          <w:sz w:val="22"/>
          <w:szCs w:val="22"/>
        </w:rPr>
        <w:t>4</w:t>
      </w:r>
      <w:r w:rsidRPr="009A52A6">
        <w:rPr>
          <w:color w:val="000000" w:themeColor="text1"/>
          <w:sz w:val="22"/>
          <w:szCs w:val="22"/>
        </w:rPr>
        <w:t xml:space="preserve">. </w:t>
      </w:r>
      <w:r w:rsidRPr="009A52A6">
        <w:rPr>
          <w:b/>
          <w:color w:val="000000" w:themeColor="text1"/>
          <w:sz w:val="22"/>
          <w:szCs w:val="22"/>
        </w:rPr>
        <w:t>Distribution of runs of homozygosity (ROH) in moose (</w:t>
      </w:r>
      <w:r w:rsidRPr="009A52A6">
        <w:rPr>
          <w:b/>
          <w:i/>
          <w:color w:val="000000" w:themeColor="text1"/>
          <w:sz w:val="22"/>
          <w:szCs w:val="22"/>
        </w:rPr>
        <w:t>Alces alces</w:t>
      </w:r>
      <w:r w:rsidRPr="009A52A6">
        <w:rPr>
          <w:b/>
          <w:color w:val="000000" w:themeColor="text1"/>
          <w:sz w:val="22"/>
          <w:szCs w:val="22"/>
        </w:rPr>
        <w:t xml:space="preserve">). </w:t>
      </w:r>
      <w:r w:rsidRPr="009A52A6">
        <w:rPr>
          <w:color w:val="000000" w:themeColor="text1"/>
          <w:sz w:val="22"/>
          <w:szCs w:val="22"/>
        </w:rPr>
        <w:t xml:space="preserve">ROH </w:t>
      </w:r>
      <w:r w:rsidRPr="009A52A6">
        <w:rPr>
          <w:rFonts w:ascii="Gungsuh" w:eastAsia="Gungsuh" w:hAnsi="Gungsuh" w:cs="Gungsuh"/>
          <w:color w:val="000000" w:themeColor="text1"/>
          <w:sz w:val="22"/>
          <w:szCs w:val="22"/>
        </w:rPr>
        <w:t>≥500 kb</w:t>
      </w:r>
      <w:r w:rsidRPr="009A52A6">
        <w:rPr>
          <w:color w:val="000000" w:themeColor="text1"/>
          <w:sz w:val="22"/>
          <w:szCs w:val="22"/>
        </w:rPr>
        <w:t xml:space="preserve"> are shown.</w:t>
      </w:r>
      <w:bookmarkEnd w:id="0"/>
    </w:p>
    <w:sectPr w:rsidR="0038627D" w:rsidRPr="009A52A6">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Q759D117S597X212"/>
    <w:docVar w:name="paperpile-doc-name" w:val="Dussex_et_al_Supps_revision.docx"/>
  </w:docVars>
  <w:rsids>
    <w:rsidRoot w:val="0038627D"/>
    <w:rsid w:val="0038627D"/>
    <w:rsid w:val="009A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6A51D"/>
  <w15:docId w15:val="{983564AF-0CD9-EF46-B8FD-3964A33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paperpile.com/c/sGuQuK/6Qqg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sGuQuK/c2NHQ"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paperpile.com/c/sGuQuK/7lqjd/?noautho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Dussex</cp:lastModifiedBy>
  <cp:revision>2</cp:revision>
  <dcterms:created xsi:type="dcterms:W3CDTF">2020-10-19T19:50:00Z</dcterms:created>
  <dcterms:modified xsi:type="dcterms:W3CDTF">2020-10-19T19:50:00Z</dcterms:modified>
</cp:coreProperties>
</file>