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E980" w14:textId="56AB5E40" w:rsidR="00050ECB" w:rsidRPr="009D2DE7" w:rsidRDefault="0087192B" w:rsidP="00540282">
      <w:pPr>
        <w:spacing w:after="0" w:line="240" w:lineRule="auto"/>
        <w:textAlignment w:val="center"/>
        <w:rPr>
          <w:rFonts w:ascii="Calibri" w:eastAsia="Times New Roman" w:hAnsi="Calibri" w:cs="Calibri"/>
          <w:sz w:val="28"/>
        </w:rPr>
      </w:pPr>
      <w:r w:rsidRPr="009D2DE7">
        <w:rPr>
          <w:sz w:val="28"/>
        </w:rPr>
        <w:t xml:space="preserve">Further investigation of </w:t>
      </w:r>
      <w:r w:rsidR="00050ECB" w:rsidRPr="009D2DE7">
        <w:rPr>
          <w:sz w:val="28"/>
        </w:rPr>
        <w:t xml:space="preserve">the efficacy of the short MDR-TB regimen: </w:t>
      </w:r>
      <w:r w:rsidR="00C94A16" w:rsidRPr="009D2DE7">
        <w:rPr>
          <w:sz w:val="28"/>
        </w:rPr>
        <w:t xml:space="preserve">alternative </w:t>
      </w:r>
      <w:r w:rsidR="00050ECB" w:rsidRPr="009D2DE7">
        <w:rPr>
          <w:sz w:val="28"/>
        </w:rPr>
        <w:t xml:space="preserve">analyses from </w:t>
      </w:r>
      <w:r w:rsidR="00C94A16" w:rsidRPr="009D2DE7">
        <w:rPr>
          <w:sz w:val="28"/>
        </w:rPr>
        <w:t xml:space="preserve">the </w:t>
      </w:r>
      <w:r w:rsidR="00050ECB" w:rsidRPr="009D2DE7">
        <w:rPr>
          <w:sz w:val="28"/>
        </w:rPr>
        <w:t>STREAM</w:t>
      </w:r>
      <w:r w:rsidR="00C94A16" w:rsidRPr="009D2DE7">
        <w:rPr>
          <w:sz w:val="28"/>
        </w:rPr>
        <w:t xml:space="preserve"> trial</w:t>
      </w:r>
    </w:p>
    <w:p w14:paraId="5205BAAD" w14:textId="4855A999" w:rsidR="003F7FF4" w:rsidRPr="009D2DE7" w:rsidRDefault="003F7FF4"/>
    <w:p w14:paraId="158A7BE6" w14:textId="1524A37D" w:rsidR="001C0312" w:rsidRDefault="00403E2F">
      <w:r w:rsidRPr="00403E2F">
        <w:t>Phillips PPJ, Van Deun A, Ahmed S, Goodall R</w:t>
      </w:r>
      <w:r w:rsidR="007A2500">
        <w:t>L</w:t>
      </w:r>
      <w:r w:rsidRPr="00403E2F">
        <w:t xml:space="preserve">, Meredith SK, Conradie F, </w:t>
      </w:r>
      <w:r w:rsidR="00FA310D">
        <w:t>Chiang C</w:t>
      </w:r>
      <w:r w:rsidR="00092315">
        <w:t>-</w:t>
      </w:r>
      <w:r w:rsidR="00FA310D">
        <w:t xml:space="preserve">Y, </w:t>
      </w:r>
      <w:r w:rsidRPr="00403E2F">
        <w:t>Rusen ID, Nunn AJ</w:t>
      </w:r>
    </w:p>
    <w:p w14:paraId="75167ED0" w14:textId="77777777" w:rsidR="00403E2F" w:rsidRDefault="00403E2F"/>
    <w:p w14:paraId="004BC960" w14:textId="01C91D5E" w:rsidR="00443BEA" w:rsidRPr="00180011" w:rsidRDefault="00443BEA">
      <w:pPr>
        <w:rPr>
          <w:b/>
          <w:bCs/>
          <w:sz w:val="28"/>
          <w:szCs w:val="28"/>
        </w:rPr>
      </w:pPr>
      <w:r w:rsidRPr="00180011">
        <w:rPr>
          <w:b/>
          <w:bCs/>
          <w:sz w:val="28"/>
          <w:szCs w:val="28"/>
        </w:rPr>
        <w:t>Online Supplement</w:t>
      </w:r>
    </w:p>
    <w:p w14:paraId="32133250" w14:textId="437A667A" w:rsidR="00EC190D" w:rsidRPr="00180011" w:rsidRDefault="00443BEA" w:rsidP="00EC190D">
      <w:pPr>
        <w:rPr>
          <w:b/>
          <w:bCs/>
          <w:sz w:val="24"/>
          <w:szCs w:val="24"/>
        </w:rPr>
      </w:pPr>
      <w:r w:rsidRPr="00180011">
        <w:rPr>
          <w:b/>
          <w:sz w:val="24"/>
          <w:szCs w:val="24"/>
        </w:rPr>
        <w:t>Supplemental Methods</w:t>
      </w:r>
    </w:p>
    <w:p w14:paraId="257E0686" w14:textId="7CBFD3BC" w:rsidR="00EC190D" w:rsidRPr="00044336" w:rsidRDefault="00EC190D" w:rsidP="00EC190D">
      <w:pPr>
        <w:rPr>
          <w:b/>
          <w:bCs/>
        </w:rPr>
      </w:pPr>
      <w:r w:rsidRPr="00044336">
        <w:rPr>
          <w:b/>
          <w:bCs/>
        </w:rPr>
        <w:t>Week 132 outcome</w:t>
      </w:r>
      <w:r>
        <w:rPr>
          <w:b/>
          <w:bCs/>
        </w:rPr>
        <w:t xml:space="preserve"> (alternative outcome E)</w:t>
      </w:r>
    </w:p>
    <w:p w14:paraId="6ECD05E3" w14:textId="77777777" w:rsidR="00EC190D" w:rsidRDefault="00EC190D" w:rsidP="00EC190D">
      <w:r>
        <w:t xml:space="preserve">A participant was defined as “cured at Week 132” </w:t>
      </w:r>
      <w:r w:rsidRPr="009D2DE7">
        <w:t xml:space="preserve">if the last two cultures were negative with the last no earlier than the Week 132 analysis window; other categories included </w:t>
      </w:r>
      <w:r>
        <w:t>death</w:t>
      </w:r>
      <w:r w:rsidRPr="009D2DE7">
        <w:t xml:space="preserve"> prior to Week 132, last culture positive at Week 132, last culture negative prior to Week 132, culture positive prior to Week 132, or no cultures after baseline.</w:t>
      </w:r>
    </w:p>
    <w:p w14:paraId="4A67D30B" w14:textId="27827397" w:rsidR="00EC190D" w:rsidRPr="00044336" w:rsidRDefault="00443BEA" w:rsidP="00EC190D">
      <w:pPr>
        <w:rPr>
          <w:b/>
          <w:bCs/>
        </w:rPr>
      </w:pPr>
      <w:r>
        <w:rPr>
          <w:b/>
          <w:bCs/>
        </w:rPr>
        <w:t>S</w:t>
      </w:r>
      <w:r w:rsidR="00EC190D" w:rsidRPr="00044336">
        <w:rPr>
          <w:b/>
          <w:bCs/>
        </w:rPr>
        <w:t>ensitivity analyses for the FoR analysis</w:t>
      </w:r>
    </w:p>
    <w:p w14:paraId="0C183753" w14:textId="0F4F8E52" w:rsidR="00EC190D" w:rsidRPr="009D2DE7" w:rsidRDefault="00DB2151" w:rsidP="00EC190D">
      <w:r>
        <w:t xml:space="preserve">The object of each sensitivity analysis is to </w:t>
      </w:r>
      <w:r w:rsidRPr="009D2DE7">
        <w:t>explore the effect of relaxing the assumption of independent censoring</w:t>
      </w:r>
      <w:r>
        <w:t xml:space="preserve"> in the FoR analysis.</w:t>
      </w:r>
      <w:r w:rsidRPr="009D2DE7">
        <w:t xml:space="preserve"> </w:t>
      </w:r>
      <w:r w:rsidR="00EC190D" w:rsidRPr="009D2DE7">
        <w:t>For each analysis</w:t>
      </w:r>
      <w:r w:rsidR="009A4B5B">
        <w:t>,</w:t>
      </w:r>
      <w:r w:rsidR="00EC190D" w:rsidRPr="009D2DE7">
        <w:t xml:space="preserve"> Definite and Probable were included as events where Possible, Unlikely and Highly Unlikely were included as censoring event</w:t>
      </w:r>
      <w:r w:rsidR="007868AB">
        <w:t>s</w:t>
      </w:r>
      <w:r w:rsidR="00EC190D" w:rsidRPr="009D2DE7">
        <w:t xml:space="preserve">. </w:t>
      </w:r>
    </w:p>
    <w:p w14:paraId="180F14F7" w14:textId="3D1240E3" w:rsidR="00EC190D" w:rsidRPr="009D2DE7" w:rsidRDefault="00EC190D" w:rsidP="00EC190D">
      <w:r w:rsidRPr="009D2DE7">
        <w:t>In the first sensitivity analysis, we applied inverse probability of censoring weights (IPCW)</w:t>
      </w:r>
      <w:r w:rsidR="006D71B8">
        <w:t>(19)</w:t>
      </w:r>
      <w:r w:rsidR="00C730E9">
        <w:t xml:space="preserve">. </w:t>
      </w:r>
      <w:r w:rsidR="00DB2151" w:rsidRPr="009D2DE7">
        <w:t>The IPCW analysis account</w:t>
      </w:r>
      <w:r w:rsidR="00DB2151">
        <w:t>s</w:t>
      </w:r>
      <w:r w:rsidR="00DB2151" w:rsidRPr="009D2DE7">
        <w:t xml:space="preserve"> for the missing data that occurred after censoring by increasing the ‘weight’ or ‘influence’ </w:t>
      </w:r>
      <w:r w:rsidR="00DB2151">
        <w:t>of</w:t>
      </w:r>
      <w:r w:rsidR="00DB2151" w:rsidRPr="009D2DE7">
        <w:t xml:space="preserve"> data from comparable participants that were not censored</w:t>
      </w:r>
      <w:r w:rsidR="00DB2151">
        <w:t xml:space="preserve"> in the analysis</w:t>
      </w:r>
      <w:r w:rsidR="00DB2151" w:rsidRPr="009D2DE7">
        <w:t xml:space="preserve">. </w:t>
      </w:r>
      <w:r w:rsidR="00DB2151">
        <w:t>Weights are calculated from a</w:t>
      </w:r>
      <w:r w:rsidRPr="009D2DE7">
        <w:t xml:space="preserve"> model for </w:t>
      </w:r>
      <w:r w:rsidR="00C730E9">
        <w:t xml:space="preserve">the probability of </w:t>
      </w:r>
      <w:r w:rsidR="00EC74D7">
        <w:t>experiencing a censoring event</w:t>
      </w:r>
      <w:r w:rsidR="00DB2151">
        <w:t>, which</w:t>
      </w:r>
      <w:r w:rsidRPr="009D2DE7">
        <w:t xml:space="preserve"> included baseline covariates considered important in the primary analysis (HIV status, age, BMI, smear grade, country, and number of cavities) in addition to the time-varying covariates of cumulative number of severe (grade 3-4) AEs experienced and most recent culture result (positive or negative). Time during the trial was split into four-weekly intervals (to match the visit schedule from the STREAM Stage 1 trial</w:t>
      </w:r>
      <w:r w:rsidR="006D71B8">
        <w:t>(3)</w:t>
      </w:r>
      <w:r w:rsidRPr="009D2DE7">
        <w:t>) and logistic regression used to model the probability of censoring within that interval. Separate models were used for each treatment arm. Stabili</w:t>
      </w:r>
      <w:r w:rsidR="00C55434">
        <w:t>s</w:t>
      </w:r>
      <w:r w:rsidRPr="009D2DE7">
        <w:t>ed weights were calculated as the ratio of the estimated probability of censoring from models without time-varying covariates and models with time-varying covariates</w:t>
      </w:r>
      <w:r w:rsidR="006D71B8">
        <w:t>(19)</w:t>
      </w:r>
      <w:r w:rsidRPr="009D2DE7">
        <w:t xml:space="preserve">. A pooled logistic regression model was used to estimate the ratio of </w:t>
      </w:r>
      <w:r w:rsidR="00C7783B">
        <w:t xml:space="preserve">hazards of </w:t>
      </w:r>
      <w:r w:rsidRPr="009D2DE7">
        <w:t>a FoR event between arms adjusted for covariates and incorporating the stabili</w:t>
      </w:r>
      <w:r w:rsidR="00C55434">
        <w:t>s</w:t>
      </w:r>
      <w:r w:rsidRPr="009D2DE7">
        <w:t>ed weights. A cubic spline function of time was included in all models to account for a time-varying baseline hazard; knots were set at 16, 40, 78 and 104 weeks for the Short regimen and 26, 52, 78 and 104 for the Long regimen.</w:t>
      </w:r>
    </w:p>
    <w:p w14:paraId="15A408D9" w14:textId="28020EAF" w:rsidR="00EC190D" w:rsidRPr="009D2DE7" w:rsidRDefault="00EC190D" w:rsidP="00EC190D">
      <w:r w:rsidRPr="009D2DE7">
        <w:t>In the second sensitivity analysis, we used multiple imputation (MI) to impute the</w:t>
      </w:r>
      <w:r w:rsidR="00DB2151">
        <w:t xml:space="preserve"> time of FoR for censored individuals</w:t>
      </w:r>
      <w:r w:rsidR="006D71B8">
        <w:t>(</w:t>
      </w:r>
      <w:r w:rsidR="00A43B51">
        <w:t>20</w:t>
      </w:r>
      <w:r w:rsidR="006D71B8">
        <w:t>)</w:t>
      </w:r>
      <w:r w:rsidRPr="009D2DE7">
        <w:t xml:space="preserve"> using the same baseline covariates for the imputation model</w:t>
      </w:r>
      <w:r w:rsidR="00DB2151">
        <w:t xml:space="preserve"> as for the IPCW</w:t>
      </w:r>
      <w:r w:rsidRPr="009D2DE7">
        <w:t xml:space="preserve"> but no time-varying covariates. </w:t>
      </w:r>
      <w:r w:rsidR="00DB2151">
        <w:t xml:space="preserve">In </w:t>
      </w:r>
      <w:r w:rsidR="00403E2F">
        <w:t>addition,</w:t>
      </w:r>
      <w:r w:rsidR="00DB2151">
        <w:t xml:space="preserve"> t</w:t>
      </w:r>
      <w:r w:rsidRPr="009D2DE7">
        <w:t xml:space="preserve">he multiple imputation model includes a parameter, </w:t>
      </w:r>
      <w:r w:rsidRPr="009D2DE7">
        <w:rPr>
          <w:rFonts w:cstheme="minorHAnsi"/>
        </w:rPr>
        <w:t>γ,</w:t>
      </w:r>
      <w:r w:rsidRPr="009D2DE7">
        <w:t xml:space="preserve"> that reflects how much more likely we believe a FoR event is after censoring as compared to similar participants where censoring had not occurred. </w:t>
      </w:r>
      <w:r w:rsidR="00C7783B">
        <w:t xml:space="preserve">Since we may not have reliable information to estimate the likelihood of FoR for patients that are censored, we explore the impact on the overall results for a range of values. </w:t>
      </w:r>
      <w:r w:rsidRPr="009D2DE7">
        <w:t>Using the same notation</w:t>
      </w:r>
      <w:r w:rsidR="006D71B8">
        <w:t>(</w:t>
      </w:r>
      <w:r w:rsidR="00A43B51">
        <w:t>20</w:t>
      </w:r>
      <w:r w:rsidR="006D71B8">
        <w:t>)</w:t>
      </w:r>
      <w:r w:rsidRPr="009D2DE7">
        <w:t xml:space="preserve">, the parameter </w:t>
      </w:r>
      <w:r w:rsidRPr="009D2DE7">
        <w:rPr>
          <w:rFonts w:cstheme="minorHAnsi"/>
        </w:rPr>
        <w:t xml:space="preserve">γ, is the log of the hazard ratio of an FoR event, comparing a censored with an uncensored individual, both with the same baseline covariates. γ=0, for example, corresponds to independent censoring, γ=ln(5)=1.61 corresponds to the assumption </w:t>
      </w:r>
      <w:r w:rsidRPr="009D2DE7">
        <w:rPr>
          <w:rFonts w:cstheme="minorHAnsi"/>
        </w:rPr>
        <w:lastRenderedPageBreak/>
        <w:t xml:space="preserve">that the hazard of FoR for a censored individual is 5 times that of an uncensored individual (with the same baseline covariates). In our analyses, γ was fixed at 0 for events considered Highly Unlikely, </w:t>
      </w:r>
      <w:r w:rsidR="00F57E2A" w:rsidRPr="009D2DE7">
        <w:rPr>
          <w:rFonts w:cstheme="minorHAnsi"/>
        </w:rPr>
        <w:t xml:space="preserve">γ </w:t>
      </w:r>
      <w:r w:rsidRPr="009D2DE7">
        <w:rPr>
          <w:rFonts w:cstheme="minorHAnsi"/>
        </w:rPr>
        <w:t>varied in the range (-3, 8) for events considered Unlikely</w:t>
      </w:r>
      <w:r w:rsidR="00F57E2A">
        <w:rPr>
          <w:rFonts w:cstheme="minorHAnsi"/>
        </w:rPr>
        <w:t>, and was doubled (2</w:t>
      </w:r>
      <w:r w:rsidR="00F57E2A" w:rsidRPr="009D2DE7">
        <w:rPr>
          <w:rFonts w:cstheme="minorHAnsi"/>
        </w:rPr>
        <w:t>γ</w:t>
      </w:r>
      <w:r w:rsidR="00F57E2A">
        <w:rPr>
          <w:rFonts w:cstheme="minorHAnsi"/>
        </w:rPr>
        <w:t>)</w:t>
      </w:r>
      <w:r w:rsidRPr="009D2DE7">
        <w:rPr>
          <w:rFonts w:cstheme="minorHAnsi"/>
        </w:rPr>
        <w:t xml:space="preserve"> </w:t>
      </w:r>
      <w:r w:rsidR="00F57E2A">
        <w:rPr>
          <w:rFonts w:cstheme="minorHAnsi"/>
        </w:rPr>
        <w:t xml:space="preserve">for events considered </w:t>
      </w:r>
      <w:r w:rsidRPr="009D2DE7">
        <w:rPr>
          <w:rFonts w:cstheme="minorHAnsi"/>
        </w:rPr>
        <w:t xml:space="preserve">or Possible. </w:t>
      </w:r>
    </w:p>
    <w:p w14:paraId="3D915AAD" w14:textId="71FA1F4C" w:rsidR="001C0312" w:rsidRDefault="001C0312">
      <w:pPr>
        <w:rPr>
          <w:b/>
          <w:sz w:val="24"/>
          <w:szCs w:val="24"/>
        </w:rPr>
      </w:pPr>
    </w:p>
    <w:p w14:paraId="66C09277" w14:textId="77777777" w:rsidR="009E43A5" w:rsidRDefault="009E43A5" w:rsidP="00EC190D">
      <w:pPr>
        <w:rPr>
          <w:b/>
          <w:sz w:val="24"/>
          <w:szCs w:val="24"/>
        </w:rPr>
        <w:sectPr w:rsidR="009E43A5" w:rsidSect="00EC4E08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50F41A63" w14:textId="6AC01A5F" w:rsidR="00EC190D" w:rsidRPr="00180011" w:rsidRDefault="00443BEA" w:rsidP="00EC190D">
      <w:pPr>
        <w:rPr>
          <w:b/>
          <w:sz w:val="24"/>
          <w:szCs w:val="24"/>
        </w:rPr>
      </w:pPr>
      <w:r w:rsidRPr="00180011">
        <w:rPr>
          <w:b/>
          <w:sz w:val="24"/>
          <w:szCs w:val="24"/>
        </w:rPr>
        <w:lastRenderedPageBreak/>
        <w:t>Supplemental Results</w:t>
      </w:r>
    </w:p>
    <w:p w14:paraId="0298C903" w14:textId="16D590B3" w:rsidR="00DF1F31" w:rsidRDefault="00DF1F31" w:rsidP="00DF1F31">
      <w:pPr>
        <w:rPr>
          <w:b/>
        </w:rPr>
      </w:pPr>
      <w:r w:rsidRPr="00DF1F31">
        <w:rPr>
          <w:b/>
        </w:rPr>
        <w:t xml:space="preserve">Additional File 1: Table S1. Summary of </w:t>
      </w:r>
      <w:r w:rsidRPr="00E23AD7">
        <w:rPr>
          <w:b/>
        </w:rPr>
        <w:t xml:space="preserve">five </w:t>
      </w:r>
      <w:r>
        <w:rPr>
          <w:b/>
        </w:rPr>
        <w:t>alternative outcomes</w:t>
      </w:r>
      <w:r w:rsidRPr="00E23AD7">
        <w:rPr>
          <w:b/>
        </w:rPr>
        <w:t>, as compared to the primary outcome from the STREAM trial.</w:t>
      </w:r>
    </w:p>
    <w:tbl>
      <w:tblPr>
        <w:tblStyle w:val="GridTable6Colorful-Accent3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1620"/>
        <w:gridCol w:w="3510"/>
        <w:gridCol w:w="1440"/>
        <w:gridCol w:w="1657"/>
        <w:gridCol w:w="2033"/>
      </w:tblGrid>
      <w:tr w:rsidR="000E5FEE" w:rsidRPr="00032B4E" w14:paraId="7E4CCDB1" w14:textId="77777777" w:rsidTr="00E23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029FB93A" w14:textId="77777777" w:rsidR="009E43A5" w:rsidRPr="00E23AD7" w:rsidRDefault="009E43A5" w:rsidP="00E23A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491871D" w14:textId="77777777" w:rsidR="009E43A5" w:rsidRPr="00E23AD7" w:rsidRDefault="009E43A5" w:rsidP="00BB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E23AD7">
              <w:rPr>
                <w:rFonts w:cstheme="minorHAnsi"/>
                <w:sz w:val="24"/>
                <w:szCs w:val="24"/>
              </w:rPr>
              <w:t>Successful / Favourable Outcome</w:t>
            </w:r>
          </w:p>
        </w:tc>
        <w:tc>
          <w:tcPr>
            <w:tcW w:w="8640" w:type="dxa"/>
            <w:gridSpan w:val="4"/>
            <w:vAlign w:val="center"/>
          </w:tcPr>
          <w:p w14:paraId="1DF9415A" w14:textId="77777777" w:rsidR="009E43A5" w:rsidRPr="00E23AD7" w:rsidRDefault="009E43A5" w:rsidP="00BB3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E23AD7">
              <w:rPr>
                <w:rFonts w:cstheme="minorHAnsi"/>
                <w:sz w:val="24"/>
                <w:szCs w:val="24"/>
              </w:rPr>
              <w:t>Unsuccessful / Unfavourable Outcome</w:t>
            </w:r>
          </w:p>
        </w:tc>
      </w:tr>
      <w:tr w:rsidR="000E5FEE" w:rsidRPr="00635931" w14:paraId="775FF5D5" w14:textId="77777777" w:rsidTr="00E2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  <w:hideMark/>
          </w:tcPr>
          <w:p w14:paraId="637C01C0" w14:textId="77777777" w:rsidR="009E43A5" w:rsidRPr="00635931" w:rsidRDefault="009E43A5" w:rsidP="00E23AD7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14:paraId="275C05BB" w14:textId="77777777" w:rsidR="009E43A5" w:rsidRPr="00635931" w:rsidRDefault="009E43A5" w:rsidP="00BB3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b/>
                <w:bCs/>
                <w:color w:val="auto"/>
                <w:sz w:val="20"/>
                <w:szCs w:val="20"/>
              </w:rPr>
              <w:t>Cured</w:t>
            </w:r>
          </w:p>
        </w:tc>
        <w:tc>
          <w:tcPr>
            <w:tcW w:w="1620" w:type="dxa"/>
            <w:vAlign w:val="center"/>
            <w:hideMark/>
          </w:tcPr>
          <w:p w14:paraId="1054AEC1" w14:textId="77777777" w:rsidR="009E43A5" w:rsidRPr="00635931" w:rsidRDefault="009E43A5" w:rsidP="00BB3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b/>
                <w:bCs/>
                <w:color w:val="auto"/>
                <w:sz w:val="20"/>
                <w:szCs w:val="20"/>
              </w:rPr>
              <w:t>Treatment completed</w:t>
            </w:r>
          </w:p>
        </w:tc>
        <w:tc>
          <w:tcPr>
            <w:tcW w:w="3510" w:type="dxa"/>
            <w:vAlign w:val="center"/>
            <w:hideMark/>
          </w:tcPr>
          <w:p w14:paraId="1BC0D119" w14:textId="77777777" w:rsidR="009E43A5" w:rsidRPr="00635931" w:rsidRDefault="009E43A5" w:rsidP="00BB3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b/>
                <w:bCs/>
                <w:color w:val="auto"/>
                <w:sz w:val="20"/>
                <w:szCs w:val="20"/>
              </w:rPr>
              <w:t>Treatment failed</w:t>
            </w:r>
          </w:p>
        </w:tc>
        <w:tc>
          <w:tcPr>
            <w:tcW w:w="1440" w:type="dxa"/>
            <w:vAlign w:val="center"/>
            <w:hideMark/>
          </w:tcPr>
          <w:p w14:paraId="4F225B49" w14:textId="77777777" w:rsidR="009E43A5" w:rsidRPr="00635931" w:rsidRDefault="009E43A5" w:rsidP="00BB3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b/>
                <w:bCs/>
                <w:color w:val="auto"/>
                <w:sz w:val="20"/>
                <w:szCs w:val="20"/>
              </w:rPr>
              <w:t>Died</w:t>
            </w:r>
          </w:p>
        </w:tc>
        <w:tc>
          <w:tcPr>
            <w:tcW w:w="1657" w:type="dxa"/>
            <w:vAlign w:val="center"/>
            <w:hideMark/>
          </w:tcPr>
          <w:p w14:paraId="7414E9FD" w14:textId="77777777" w:rsidR="009E43A5" w:rsidRPr="00635931" w:rsidRDefault="009E43A5" w:rsidP="00BB3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b/>
                <w:bCs/>
                <w:color w:val="auto"/>
                <w:sz w:val="20"/>
                <w:szCs w:val="20"/>
              </w:rPr>
              <w:t>Lost to follow-up</w:t>
            </w:r>
          </w:p>
        </w:tc>
        <w:tc>
          <w:tcPr>
            <w:tcW w:w="2033" w:type="dxa"/>
            <w:vAlign w:val="center"/>
            <w:hideMark/>
          </w:tcPr>
          <w:p w14:paraId="61619362" w14:textId="77777777" w:rsidR="009E43A5" w:rsidRPr="00635931" w:rsidRDefault="009E43A5" w:rsidP="00BB3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b/>
                <w:bCs/>
                <w:color w:val="auto"/>
                <w:sz w:val="20"/>
                <w:szCs w:val="20"/>
              </w:rPr>
              <w:t>Not evaluated / Undeclared outcome</w:t>
            </w:r>
          </w:p>
        </w:tc>
      </w:tr>
      <w:tr w:rsidR="000E5FEE" w:rsidRPr="00635931" w14:paraId="006A6972" w14:textId="77777777" w:rsidTr="000E5FEE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57DE1524" w14:textId="182414E3" w:rsidR="009E43A5" w:rsidRPr="00635931" w:rsidRDefault="009E43A5" w:rsidP="009E43A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STREAM Primary Outcome (ref. 3, online supplement)</w:t>
            </w:r>
          </w:p>
        </w:tc>
        <w:tc>
          <w:tcPr>
            <w:tcW w:w="2250" w:type="dxa"/>
          </w:tcPr>
          <w:p w14:paraId="7DDDF139" w14:textId="77935B05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≥2 n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egative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cultures, the last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at 132 weeks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after </w:t>
            </w:r>
            <w:r>
              <w:rPr>
                <w:rFonts w:cstheme="minorHAnsi"/>
                <w:color w:val="auto"/>
                <w:sz w:val="20"/>
                <w:szCs w:val="20"/>
              </w:rPr>
              <w:t>randomi</w:t>
            </w:r>
            <w:r w:rsidR="00C55434">
              <w:rPr>
                <w:rFonts w:cstheme="minorHAnsi"/>
                <w:color w:val="auto"/>
                <w:sz w:val="20"/>
                <w:szCs w:val="20"/>
              </w:rPr>
              <w:t>s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ation,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no intervening positive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culture</w:t>
            </w:r>
            <w:r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032B4E">
              <w:rPr>
                <w:rFonts w:cstheme="minorHAnsi"/>
                <w:color w:val="auto"/>
                <w:sz w:val="20"/>
                <w:szCs w:val="20"/>
              </w:rPr>
              <w:t>no</w:t>
            </w:r>
            <w:r w:rsidR="004115F4">
              <w:rPr>
                <w:rFonts w:cstheme="minorHAnsi"/>
                <w:color w:val="auto"/>
                <w:sz w:val="20"/>
                <w:szCs w:val="20"/>
              </w:rPr>
              <w:t>t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unfavorable </w:t>
            </w:r>
          </w:p>
        </w:tc>
        <w:tc>
          <w:tcPr>
            <w:tcW w:w="1620" w:type="dxa"/>
          </w:tcPr>
          <w:p w14:paraId="467C0E2B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N/ A</w:t>
            </w:r>
          </w:p>
        </w:tc>
        <w:tc>
          <w:tcPr>
            <w:tcW w:w="3510" w:type="dxa"/>
          </w:tcPr>
          <w:p w14:paraId="2F0271E7" w14:textId="4B544777" w:rsidR="009E43A5" w:rsidRPr="00635931" w:rsidRDefault="009E43A5" w:rsidP="009E43A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Starting ≥2 new drugs</w:t>
            </w:r>
            <w:r w:rsidR="00032B4E">
              <w:rPr>
                <w:rFonts w:cstheme="minorHAnsi"/>
                <w:color w:val="auto"/>
                <w:sz w:val="20"/>
                <w:szCs w:val="20"/>
              </w:rPr>
              <w:t>, or</w:t>
            </w:r>
          </w:p>
          <w:p w14:paraId="0BD86AAF" w14:textId="47CA1B05" w:rsidR="009E43A5" w:rsidRPr="00635931" w:rsidRDefault="009E43A5" w:rsidP="009E43A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Treatment extension beyond the permitted duration</w:t>
            </w:r>
            <w:r w:rsidR="00032B4E">
              <w:rPr>
                <w:rFonts w:cstheme="minorHAnsi"/>
                <w:color w:val="auto"/>
                <w:sz w:val="20"/>
                <w:szCs w:val="20"/>
              </w:rPr>
              <w:t>, or</w:t>
            </w:r>
          </w:p>
          <w:p w14:paraId="08818528" w14:textId="77777777" w:rsidR="009E43A5" w:rsidRPr="00635931" w:rsidRDefault="009E43A5" w:rsidP="009E43A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A positive culture from one of the two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last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specimens</w:t>
            </w:r>
          </w:p>
        </w:tc>
        <w:tc>
          <w:tcPr>
            <w:tcW w:w="1440" w:type="dxa"/>
          </w:tcPr>
          <w:p w14:paraId="6BDE113E" w14:textId="77777777" w:rsidR="009E43A5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Any death</w:t>
            </w:r>
          </w:p>
          <w:p w14:paraId="41485CD4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≤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132 weeks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after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randomi</w:t>
            </w:r>
            <w:r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ation</w:t>
            </w:r>
          </w:p>
        </w:tc>
        <w:tc>
          <w:tcPr>
            <w:tcW w:w="1657" w:type="dxa"/>
          </w:tcPr>
          <w:p w14:paraId="101DFAAC" w14:textId="77777777" w:rsidR="009E43A5" w:rsidRPr="00635931" w:rsidRDefault="009E43A5" w:rsidP="00BB3A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Last seen ≤76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weeks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after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randomi</w:t>
            </w:r>
            <w:r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ation</w:t>
            </w:r>
          </w:p>
        </w:tc>
        <w:tc>
          <w:tcPr>
            <w:tcW w:w="2033" w:type="dxa"/>
          </w:tcPr>
          <w:p w14:paraId="6926612A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N / A</w:t>
            </w:r>
          </w:p>
        </w:tc>
      </w:tr>
      <w:tr w:rsidR="000E5FEE" w:rsidRPr="00635931" w14:paraId="0BAC8A4B" w14:textId="77777777" w:rsidTr="00E2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  <w:hideMark/>
          </w:tcPr>
          <w:p w14:paraId="3766E769" w14:textId="0C036BAA" w:rsidR="009E43A5" w:rsidRPr="00635931" w:rsidRDefault="009E43A5" w:rsidP="009E43A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A. WHO end of treatment outcomes for </w:t>
            </w:r>
            <w:r w:rsidR="00CA665F">
              <w:rPr>
                <w:rFonts w:cstheme="minorHAnsi"/>
                <w:color w:val="auto"/>
                <w:sz w:val="20"/>
                <w:szCs w:val="20"/>
              </w:rPr>
              <w:t>RR-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TB (ref. 11)</w:t>
            </w:r>
          </w:p>
        </w:tc>
        <w:tc>
          <w:tcPr>
            <w:tcW w:w="2250" w:type="dxa"/>
            <w:hideMark/>
          </w:tcPr>
          <w:p w14:paraId="01C88AE1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Treatment completed as per national policy, without failure, AND ≥3 consecutive cultures (30 days apart) after IP</w:t>
            </w:r>
          </w:p>
        </w:tc>
        <w:tc>
          <w:tcPr>
            <w:tcW w:w="1620" w:type="dxa"/>
            <w:hideMark/>
          </w:tcPr>
          <w:p w14:paraId="05848427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Treatment completed as per national policy, without failure, AND not cured</w:t>
            </w:r>
          </w:p>
        </w:tc>
        <w:tc>
          <w:tcPr>
            <w:tcW w:w="3510" w:type="dxa"/>
            <w:hideMark/>
          </w:tcPr>
          <w:p w14:paraId="47CE784E" w14:textId="13809829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Permanent </w:t>
            </w:r>
            <w:r w:rsidR="00733B11">
              <w:rPr>
                <w:rFonts w:cstheme="minorHAnsi"/>
                <w:color w:val="auto"/>
                <w:sz w:val="20"/>
                <w:szCs w:val="20"/>
              </w:rPr>
              <w:t xml:space="preserve">stop or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change of ≥2 drugs</w:t>
            </w:r>
            <w:r w:rsidR="003B6C1E">
              <w:rPr>
                <w:rFonts w:cstheme="minorHAnsi"/>
                <w:color w:val="auto"/>
                <w:sz w:val="20"/>
                <w:szCs w:val="20"/>
              </w:rPr>
              <w:t xml:space="preserve"> because of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:</w:t>
            </w:r>
          </w:p>
          <w:p w14:paraId="56EA1248" w14:textId="77777777" w:rsidR="009E43A5" w:rsidRPr="00635931" w:rsidRDefault="009E43A5" w:rsidP="009E43A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No culture conversion by IP end, or</w:t>
            </w:r>
          </w:p>
          <w:p w14:paraId="6CCC296C" w14:textId="77777777" w:rsidR="009E43A5" w:rsidRPr="00635931" w:rsidRDefault="009E43A5" w:rsidP="009E43A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culture reversion in CP</w:t>
            </w:r>
          </w:p>
          <w:p w14:paraId="6F5E0932" w14:textId="77777777" w:rsidR="009E43A5" w:rsidRPr="00635931" w:rsidRDefault="009E43A5" w:rsidP="00BB3AB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after conversion, or</w:t>
            </w:r>
          </w:p>
          <w:p w14:paraId="0593B1D6" w14:textId="77777777" w:rsidR="009E43A5" w:rsidRPr="00635931" w:rsidRDefault="009E43A5" w:rsidP="009E43A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Acquired resistance to FQ or SLI, or</w:t>
            </w:r>
          </w:p>
          <w:p w14:paraId="0E1A1D29" w14:textId="77777777" w:rsidR="009E43A5" w:rsidRPr="00635931" w:rsidRDefault="009E43A5" w:rsidP="009E43A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ADR</w:t>
            </w:r>
          </w:p>
        </w:tc>
        <w:tc>
          <w:tcPr>
            <w:tcW w:w="1440" w:type="dxa"/>
            <w:hideMark/>
          </w:tcPr>
          <w:p w14:paraId="1ADD6D23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Any death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during treatment</w:t>
            </w:r>
          </w:p>
        </w:tc>
        <w:tc>
          <w:tcPr>
            <w:tcW w:w="1657" w:type="dxa"/>
            <w:hideMark/>
          </w:tcPr>
          <w:p w14:paraId="3BB096E1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Treatment interruption for ≥2 consecutive months</w:t>
            </w:r>
          </w:p>
        </w:tc>
        <w:tc>
          <w:tcPr>
            <w:tcW w:w="2033" w:type="dxa"/>
            <w:hideMark/>
          </w:tcPr>
          <w:p w14:paraId="0099144D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No treatment outcome assigned (including transferred out, outcome unknown)</w:t>
            </w:r>
          </w:p>
        </w:tc>
      </w:tr>
      <w:tr w:rsidR="000E5FEE" w:rsidRPr="00635931" w14:paraId="29F7C842" w14:textId="77777777" w:rsidTr="000E5FEE">
        <w:trPr>
          <w:trHeight w:val="1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  <w:hideMark/>
          </w:tcPr>
          <w:p w14:paraId="75421B30" w14:textId="77777777" w:rsidR="009E43A5" w:rsidRPr="00635931" w:rsidRDefault="009E43A5" w:rsidP="009E43A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B. WHO outcomes modified to include post-treatment relapse</w:t>
            </w:r>
          </w:p>
        </w:tc>
        <w:tc>
          <w:tcPr>
            <w:tcW w:w="2250" w:type="dxa"/>
            <w:hideMark/>
          </w:tcPr>
          <w:p w14:paraId="0419F1C5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As with A., except when followed by post-treatment relapse</w:t>
            </w:r>
          </w:p>
        </w:tc>
        <w:tc>
          <w:tcPr>
            <w:tcW w:w="1620" w:type="dxa"/>
            <w:hideMark/>
          </w:tcPr>
          <w:p w14:paraId="725CCF08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As with A., except when followed by post-treatment relapse</w:t>
            </w:r>
          </w:p>
        </w:tc>
        <w:tc>
          <w:tcPr>
            <w:tcW w:w="3510" w:type="dxa"/>
            <w:hideMark/>
          </w:tcPr>
          <w:p w14:paraId="6D7F5625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As with A., with the addition of post-treatment relapse </w:t>
            </w:r>
          </w:p>
        </w:tc>
        <w:tc>
          <w:tcPr>
            <w:tcW w:w="1440" w:type="dxa"/>
            <w:hideMark/>
          </w:tcPr>
          <w:p w14:paraId="4918CD8A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See A.</w:t>
            </w:r>
          </w:p>
        </w:tc>
        <w:tc>
          <w:tcPr>
            <w:tcW w:w="1657" w:type="dxa"/>
            <w:hideMark/>
          </w:tcPr>
          <w:p w14:paraId="579209F6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See A.</w:t>
            </w:r>
          </w:p>
        </w:tc>
        <w:tc>
          <w:tcPr>
            <w:tcW w:w="2033" w:type="dxa"/>
            <w:hideMark/>
          </w:tcPr>
          <w:p w14:paraId="1895129D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See A.</w:t>
            </w:r>
          </w:p>
        </w:tc>
      </w:tr>
      <w:tr w:rsidR="000E5FEE" w:rsidRPr="00635931" w14:paraId="50302DAF" w14:textId="77777777" w:rsidTr="00E2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  <w:hideMark/>
          </w:tcPr>
          <w:p w14:paraId="21CA60CC" w14:textId="77777777" w:rsidR="009E43A5" w:rsidRPr="00635931" w:rsidRDefault="009E43A5" w:rsidP="009E43A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C. TBNET MDR-TB outcomes (ref. 17)</w:t>
            </w:r>
          </w:p>
        </w:tc>
        <w:tc>
          <w:tcPr>
            <w:tcW w:w="2250" w:type="dxa"/>
            <w:hideMark/>
          </w:tcPr>
          <w:p w14:paraId="6BF03D43" w14:textId="269A9310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Negative culture status ≥6 months after treatment initiation, no </w:t>
            </w:r>
            <w:r w:rsidR="0024523E">
              <w:rPr>
                <w:rFonts w:cstheme="minorHAnsi"/>
                <w:color w:val="auto"/>
                <w:sz w:val="20"/>
                <w:szCs w:val="20"/>
              </w:rPr>
              <w:t xml:space="preserve">later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positive culture, no relapses ≤1 year after treatment completion</w:t>
            </w:r>
          </w:p>
        </w:tc>
        <w:tc>
          <w:tcPr>
            <w:tcW w:w="1620" w:type="dxa"/>
            <w:hideMark/>
          </w:tcPr>
          <w:p w14:paraId="7A6B144B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 N/A</w:t>
            </w:r>
          </w:p>
        </w:tc>
        <w:tc>
          <w:tcPr>
            <w:tcW w:w="3510" w:type="dxa"/>
            <w:hideMark/>
          </w:tcPr>
          <w:p w14:paraId="78F6833E" w14:textId="1308932C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Positive culture status ≥6 months after treatment initiation or relapse ≤1 year after treatment completion.</w:t>
            </w:r>
          </w:p>
        </w:tc>
        <w:tc>
          <w:tcPr>
            <w:tcW w:w="1440" w:type="dxa"/>
            <w:hideMark/>
          </w:tcPr>
          <w:p w14:paraId="2415E76C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Any death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during observation</w:t>
            </w:r>
          </w:p>
        </w:tc>
        <w:tc>
          <w:tcPr>
            <w:tcW w:w="1657" w:type="dxa"/>
            <w:hideMark/>
          </w:tcPr>
          <w:p w14:paraId="775BE47C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 Non-receipt of care 6 months after treatment initiation.</w:t>
            </w:r>
          </w:p>
        </w:tc>
        <w:tc>
          <w:tcPr>
            <w:tcW w:w="2033" w:type="dxa"/>
            <w:hideMark/>
          </w:tcPr>
          <w:p w14:paraId="1B59697A" w14:textId="7DF290EA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Outcome not assessed (including transferred out, no culture status at 6 months, or no post-treatment </w:t>
            </w:r>
            <w:r w:rsidR="003B6C1E">
              <w:rPr>
                <w:rFonts w:cstheme="minorHAnsi"/>
                <w:color w:val="auto"/>
                <w:sz w:val="20"/>
                <w:szCs w:val="20"/>
              </w:rPr>
              <w:t>data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0E5FEE" w:rsidRPr="00635931" w14:paraId="7151E9F2" w14:textId="77777777" w:rsidTr="000E5FEE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  <w:hideMark/>
          </w:tcPr>
          <w:p w14:paraId="63556D89" w14:textId="4F1113FD" w:rsidR="009E43A5" w:rsidRPr="00635931" w:rsidRDefault="009E43A5" w:rsidP="009E43A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D. Modified WHO </w:t>
            </w:r>
            <w:r w:rsidR="00C55434">
              <w:rPr>
                <w:rFonts w:cstheme="minorHAnsi"/>
                <w:color w:val="auto"/>
                <w:sz w:val="20"/>
                <w:szCs w:val="20"/>
              </w:rPr>
              <w:t>o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utcomes for short regimens (ref. 18)</w:t>
            </w:r>
          </w:p>
        </w:tc>
        <w:tc>
          <w:tcPr>
            <w:tcW w:w="2250" w:type="dxa"/>
            <w:hideMark/>
          </w:tcPr>
          <w:p w14:paraId="5F580E3D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Treatment completed as per national policy, without failure, AND ≥3 consecutive cultures (30 days apart)</w:t>
            </w:r>
          </w:p>
        </w:tc>
        <w:tc>
          <w:tcPr>
            <w:tcW w:w="1620" w:type="dxa"/>
            <w:hideMark/>
          </w:tcPr>
          <w:p w14:paraId="50272276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Treatment completed as per national policy, without  failure AND not cured</w:t>
            </w:r>
          </w:p>
        </w:tc>
        <w:tc>
          <w:tcPr>
            <w:tcW w:w="3510" w:type="dxa"/>
            <w:hideMark/>
          </w:tcPr>
          <w:p w14:paraId="0861DCB7" w14:textId="7745D6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Positive culture</w:t>
            </w:r>
            <w:r w:rsidR="0057278A">
              <w:rPr>
                <w:rFonts w:cstheme="minorHAnsi"/>
                <w:color w:val="auto"/>
                <w:sz w:val="20"/>
                <w:szCs w:val="20"/>
              </w:rPr>
              <w:t xml:space="preserve"> after 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≥6 months of treatment, except for isolated positive cultures (positive culture preceded by ≥1 and followed by ≥2 negative cultures)</w:t>
            </w:r>
          </w:p>
        </w:tc>
        <w:tc>
          <w:tcPr>
            <w:tcW w:w="1440" w:type="dxa"/>
            <w:hideMark/>
          </w:tcPr>
          <w:p w14:paraId="2D5D15C6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 See A.</w:t>
            </w:r>
          </w:p>
        </w:tc>
        <w:tc>
          <w:tcPr>
            <w:tcW w:w="1657" w:type="dxa"/>
            <w:hideMark/>
          </w:tcPr>
          <w:p w14:paraId="671916BB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See A.</w:t>
            </w:r>
          </w:p>
        </w:tc>
        <w:tc>
          <w:tcPr>
            <w:tcW w:w="2033" w:type="dxa"/>
            <w:hideMark/>
          </w:tcPr>
          <w:p w14:paraId="488A00EA" w14:textId="77777777" w:rsidR="009E43A5" w:rsidRPr="00635931" w:rsidRDefault="009E43A5" w:rsidP="00BB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See A.</w:t>
            </w:r>
          </w:p>
        </w:tc>
      </w:tr>
      <w:tr w:rsidR="000E5FEE" w:rsidRPr="00635931" w14:paraId="575C8C8A" w14:textId="77777777" w:rsidTr="00E2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  <w:hideMark/>
          </w:tcPr>
          <w:p w14:paraId="6E88DA0E" w14:textId="68C9F8FB" w:rsidR="009E43A5" w:rsidRPr="00635931" w:rsidRDefault="009E43A5" w:rsidP="009E43A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E. End of follow-up Week 132 outcome</w:t>
            </w:r>
          </w:p>
        </w:tc>
        <w:tc>
          <w:tcPr>
            <w:tcW w:w="2250" w:type="dxa"/>
            <w:hideMark/>
          </w:tcPr>
          <w:p w14:paraId="13222FB8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Culture negative status at 132 weeks </w:t>
            </w:r>
            <w:r>
              <w:rPr>
                <w:rFonts w:cstheme="minorHAnsi"/>
                <w:color w:val="auto"/>
                <w:sz w:val="20"/>
                <w:szCs w:val="20"/>
              </w:rPr>
              <w:t>after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randomisation</w:t>
            </w:r>
          </w:p>
        </w:tc>
        <w:tc>
          <w:tcPr>
            <w:tcW w:w="1620" w:type="dxa"/>
            <w:hideMark/>
          </w:tcPr>
          <w:p w14:paraId="218D5739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 N / A</w:t>
            </w:r>
          </w:p>
        </w:tc>
        <w:tc>
          <w:tcPr>
            <w:tcW w:w="3510" w:type="dxa"/>
            <w:hideMark/>
          </w:tcPr>
          <w:p w14:paraId="4657F415" w14:textId="6D59EF58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Culture positive at 132 weeks </w:t>
            </w:r>
            <w:r>
              <w:rPr>
                <w:rFonts w:cstheme="minorHAnsi"/>
                <w:color w:val="auto"/>
                <w:sz w:val="20"/>
                <w:szCs w:val="20"/>
              </w:rPr>
              <w:t>after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randomi</w:t>
            </w:r>
            <w:r w:rsidR="00C55434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ation or culture positive when last seen </w:t>
            </w:r>
            <w:r w:rsidR="00F3018A">
              <w:rPr>
                <w:rFonts w:cstheme="minorHAnsi"/>
                <w:color w:val="auto"/>
                <w:sz w:val="20"/>
                <w:szCs w:val="20"/>
              </w:rPr>
              <w:t>&lt;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132 weeks.</w:t>
            </w:r>
          </w:p>
        </w:tc>
        <w:tc>
          <w:tcPr>
            <w:tcW w:w="1440" w:type="dxa"/>
            <w:hideMark/>
          </w:tcPr>
          <w:p w14:paraId="373BA352" w14:textId="2A58829F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Any death ≤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132 weeks </w:t>
            </w:r>
            <w:r>
              <w:rPr>
                <w:rFonts w:cstheme="minorHAnsi"/>
                <w:color w:val="auto"/>
                <w:sz w:val="20"/>
                <w:szCs w:val="20"/>
              </w:rPr>
              <w:t>after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randomi</w:t>
            </w:r>
            <w:r w:rsidR="00C55434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>ation</w:t>
            </w:r>
          </w:p>
        </w:tc>
        <w:tc>
          <w:tcPr>
            <w:tcW w:w="1657" w:type="dxa"/>
            <w:hideMark/>
          </w:tcPr>
          <w:p w14:paraId="05F54487" w14:textId="5E904A5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 Culture negative status when last seen </w:t>
            </w:r>
            <w:r w:rsidR="00F3018A">
              <w:rPr>
                <w:rFonts w:cstheme="minorHAnsi"/>
                <w:color w:val="auto"/>
                <w:sz w:val="20"/>
                <w:szCs w:val="20"/>
              </w:rPr>
              <w:t>&lt;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132 weeks </w:t>
            </w:r>
            <w:r>
              <w:rPr>
                <w:rFonts w:cstheme="minorHAnsi"/>
                <w:color w:val="auto"/>
                <w:sz w:val="20"/>
                <w:szCs w:val="20"/>
              </w:rPr>
              <w:t>after</w:t>
            </w:r>
            <w:r w:rsidRPr="00635931">
              <w:rPr>
                <w:rFonts w:cstheme="minorHAnsi"/>
                <w:color w:val="auto"/>
                <w:sz w:val="20"/>
                <w:szCs w:val="20"/>
              </w:rPr>
              <w:t xml:space="preserve"> randomisation</w:t>
            </w:r>
          </w:p>
        </w:tc>
        <w:tc>
          <w:tcPr>
            <w:tcW w:w="2033" w:type="dxa"/>
            <w:hideMark/>
          </w:tcPr>
          <w:p w14:paraId="2D52AA50" w14:textId="77777777" w:rsidR="009E43A5" w:rsidRPr="00635931" w:rsidRDefault="009E43A5" w:rsidP="00BB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35931">
              <w:rPr>
                <w:rFonts w:cstheme="minorHAnsi"/>
                <w:color w:val="auto"/>
                <w:sz w:val="20"/>
                <w:szCs w:val="20"/>
              </w:rPr>
              <w:t>No culture results after randomisation</w:t>
            </w:r>
          </w:p>
        </w:tc>
      </w:tr>
    </w:tbl>
    <w:p w14:paraId="58C634E0" w14:textId="6A14C2CD" w:rsidR="00EF6679" w:rsidRDefault="009E43A5" w:rsidP="009E43A5">
      <w:r>
        <w:t>Abbreviations: IP – Intensive Phase, CP – Continuation Phase, FQ – Fluoroquinolone, SLI – Second-line injectable, ADR – Adverse Drug Reaction</w:t>
      </w:r>
    </w:p>
    <w:p w14:paraId="4BF1E4C7" w14:textId="77777777" w:rsidR="009E43A5" w:rsidRDefault="009E43A5" w:rsidP="00DF1F31">
      <w:pPr>
        <w:rPr>
          <w:b/>
        </w:rPr>
        <w:sectPr w:rsidR="009E43A5" w:rsidSect="00E23AD7">
          <w:pgSz w:w="15840" w:h="12240" w:orient="landscape"/>
          <w:pgMar w:top="864" w:right="1138" w:bottom="864" w:left="1138" w:header="706" w:footer="706" w:gutter="0"/>
          <w:cols w:space="708"/>
          <w:docGrid w:linePitch="360"/>
        </w:sectPr>
      </w:pPr>
    </w:p>
    <w:p w14:paraId="38C9DD75" w14:textId="238F8AA4" w:rsidR="00B63612" w:rsidRPr="00EC4E08" w:rsidRDefault="004213DF" w:rsidP="00B63612">
      <w:r>
        <w:rPr>
          <w:b/>
        </w:rPr>
        <w:lastRenderedPageBreak/>
        <w:t xml:space="preserve">Additional File 1: </w:t>
      </w:r>
      <w:r w:rsidR="00B63612">
        <w:rPr>
          <w:b/>
        </w:rPr>
        <w:t xml:space="preserve">Table </w:t>
      </w:r>
      <w:r w:rsidR="00DF1F31">
        <w:rPr>
          <w:b/>
        </w:rPr>
        <w:t>S2</w:t>
      </w:r>
      <w:r w:rsidR="00B63612">
        <w:rPr>
          <w:b/>
        </w:rPr>
        <w:t>.</w:t>
      </w:r>
      <w:r w:rsidR="00B63612" w:rsidRPr="00EC4E08">
        <w:rPr>
          <w:b/>
        </w:rPr>
        <w:t xml:space="preserve"> </w:t>
      </w:r>
      <w:r w:rsidR="00B63612">
        <w:rPr>
          <w:b/>
        </w:rPr>
        <w:t xml:space="preserve">Summary of secondary efficacy outcomes by treatment arm in MITT analysis population. </w:t>
      </w:r>
    </w:p>
    <w:tbl>
      <w:tblPr>
        <w:tblStyle w:val="GridTable21"/>
        <w:tblW w:w="9010" w:type="dxa"/>
        <w:tblLook w:val="0420" w:firstRow="1" w:lastRow="0" w:firstColumn="0" w:lastColumn="0" w:noHBand="0" w:noVBand="1"/>
      </w:tblPr>
      <w:tblGrid>
        <w:gridCol w:w="4233"/>
        <w:gridCol w:w="1863"/>
        <w:gridCol w:w="1460"/>
        <w:gridCol w:w="1454"/>
      </w:tblGrid>
      <w:tr w:rsidR="00B63612" w:rsidRPr="002A5565" w14:paraId="1DB1DF5D" w14:textId="77777777" w:rsidTr="0028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3341B23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7A5F94B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1460" w:type="dxa"/>
            <w:noWrap/>
            <w:vAlign w:val="center"/>
            <w:hideMark/>
          </w:tcPr>
          <w:p w14:paraId="3FDA1AE9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54" w:type="dxa"/>
            <w:noWrap/>
            <w:vAlign w:val="center"/>
            <w:hideMark/>
          </w:tcPr>
          <w:p w14:paraId="2D47270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</w:tr>
      <w:tr w:rsidR="00B63612" w:rsidRPr="002A5565" w14:paraId="07C85A69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4BD2AAC2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Total in MITT Analysis Population</w:t>
            </w:r>
          </w:p>
        </w:tc>
        <w:tc>
          <w:tcPr>
            <w:tcW w:w="1863" w:type="dxa"/>
            <w:noWrap/>
            <w:vAlign w:val="center"/>
            <w:hideMark/>
          </w:tcPr>
          <w:p w14:paraId="6BEDA240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60" w:type="dxa"/>
            <w:noWrap/>
            <w:vAlign w:val="center"/>
            <w:hideMark/>
          </w:tcPr>
          <w:p w14:paraId="16765FEC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54" w:type="dxa"/>
            <w:noWrap/>
            <w:vAlign w:val="center"/>
            <w:hideMark/>
          </w:tcPr>
          <w:p w14:paraId="564A9F26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383</w:t>
            </w:r>
          </w:p>
        </w:tc>
      </w:tr>
      <w:tr w:rsidR="00B63612" w:rsidRPr="002A5565" w14:paraId="5B740E42" w14:textId="77777777" w:rsidTr="002868F3">
        <w:trPr>
          <w:trHeight w:val="285"/>
        </w:trPr>
        <w:tc>
          <w:tcPr>
            <w:tcW w:w="9010" w:type="dxa"/>
            <w:gridSpan w:val="4"/>
            <w:noWrap/>
            <w:vAlign w:val="center"/>
          </w:tcPr>
          <w:p w14:paraId="2C412D50" w14:textId="1026F629" w:rsidR="00B63612" w:rsidRPr="002A5565" w:rsidRDefault="00B63612" w:rsidP="00AF2265">
            <w:pPr>
              <w:pStyle w:val="ListParagraph"/>
              <w:numPr>
                <w:ilvl w:val="0"/>
                <w:numId w:val="4"/>
              </w:numPr>
              <w:ind w:left="316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>WHO end of treatment outcomes for rifampicin-resistant TB</w:t>
            </w:r>
            <w:r w:rsidR="00C44BCB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 xml:space="preserve"> (see reference 11)</w:t>
            </w:r>
          </w:p>
        </w:tc>
      </w:tr>
      <w:tr w:rsidR="00B63612" w:rsidRPr="002A5565" w14:paraId="15C09905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0E53DCA9" w14:textId="77777777" w:rsidR="00B63612" w:rsidRPr="002A5565" w:rsidRDefault="00B63612" w:rsidP="00AF2265">
            <w:pPr>
              <w:ind w:left="883" w:hanging="70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Cured</w:t>
            </w:r>
          </w:p>
        </w:tc>
        <w:tc>
          <w:tcPr>
            <w:tcW w:w="1863" w:type="dxa"/>
            <w:noWrap/>
            <w:vAlign w:val="center"/>
            <w:hideMark/>
          </w:tcPr>
          <w:p w14:paraId="4244FB56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212 (83.8%)</w:t>
            </w:r>
          </w:p>
        </w:tc>
        <w:tc>
          <w:tcPr>
            <w:tcW w:w="1460" w:type="dxa"/>
            <w:noWrap/>
            <w:vAlign w:val="center"/>
            <w:hideMark/>
          </w:tcPr>
          <w:p w14:paraId="6B6AF811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109 (83.8%)</w:t>
            </w:r>
          </w:p>
        </w:tc>
        <w:tc>
          <w:tcPr>
            <w:tcW w:w="1454" w:type="dxa"/>
            <w:noWrap/>
            <w:vAlign w:val="center"/>
            <w:hideMark/>
          </w:tcPr>
          <w:p w14:paraId="01BB9E9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321 (83.8%)</w:t>
            </w:r>
          </w:p>
        </w:tc>
      </w:tr>
      <w:tr w:rsidR="00B63612" w:rsidRPr="002A5565" w14:paraId="7F2CCDE2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18BB2033" w14:textId="77777777" w:rsidR="00B63612" w:rsidRPr="002A5565" w:rsidRDefault="00B63612" w:rsidP="00AF2265">
            <w:pPr>
              <w:ind w:left="883" w:hanging="70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failed: Never converted</w:t>
            </w:r>
          </w:p>
        </w:tc>
        <w:tc>
          <w:tcPr>
            <w:tcW w:w="1863" w:type="dxa"/>
            <w:noWrap/>
            <w:vAlign w:val="center"/>
            <w:hideMark/>
          </w:tcPr>
          <w:p w14:paraId="5DCF04AA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 (0.4%)</w:t>
            </w:r>
          </w:p>
        </w:tc>
        <w:tc>
          <w:tcPr>
            <w:tcW w:w="1460" w:type="dxa"/>
            <w:noWrap/>
            <w:vAlign w:val="center"/>
            <w:hideMark/>
          </w:tcPr>
          <w:p w14:paraId="69F2DA2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noWrap/>
            <w:vAlign w:val="center"/>
            <w:hideMark/>
          </w:tcPr>
          <w:p w14:paraId="24A8EA2F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 (0.3%)</w:t>
            </w:r>
          </w:p>
        </w:tc>
      </w:tr>
      <w:tr w:rsidR="00B63612" w:rsidRPr="002A5565" w14:paraId="6968B2C6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74E35BDF" w14:textId="77777777" w:rsidR="00B63612" w:rsidRPr="002A5565" w:rsidRDefault="00B63612" w:rsidP="00AF2265">
            <w:pPr>
              <w:ind w:left="883" w:hanging="70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failed: Bacteriological reversion</w:t>
            </w:r>
          </w:p>
        </w:tc>
        <w:tc>
          <w:tcPr>
            <w:tcW w:w="1863" w:type="dxa"/>
            <w:noWrap/>
            <w:vAlign w:val="center"/>
            <w:hideMark/>
          </w:tcPr>
          <w:p w14:paraId="5148751E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12 (4.7%)</w:t>
            </w:r>
          </w:p>
        </w:tc>
        <w:tc>
          <w:tcPr>
            <w:tcW w:w="1460" w:type="dxa"/>
            <w:noWrap/>
            <w:vAlign w:val="center"/>
            <w:hideMark/>
          </w:tcPr>
          <w:p w14:paraId="63C1EA85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  <w:hideMark/>
          </w:tcPr>
          <w:p w14:paraId="214EDC5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15 (3.9%)</w:t>
            </w:r>
          </w:p>
        </w:tc>
      </w:tr>
      <w:tr w:rsidR="00B63612" w:rsidRPr="002A5565" w14:paraId="1A861594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709F51B5" w14:textId="77777777" w:rsidR="00B63612" w:rsidRPr="002A5565" w:rsidRDefault="00B63612" w:rsidP="00AF2265">
            <w:pPr>
              <w:ind w:left="883" w:hanging="70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failed: Adverse Drug Reaction (ADR)</w:t>
            </w:r>
          </w:p>
        </w:tc>
        <w:tc>
          <w:tcPr>
            <w:tcW w:w="1863" w:type="dxa"/>
            <w:noWrap/>
            <w:vAlign w:val="center"/>
            <w:hideMark/>
          </w:tcPr>
          <w:p w14:paraId="2B0E8FA8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6 (2.4%)</w:t>
            </w:r>
          </w:p>
        </w:tc>
        <w:tc>
          <w:tcPr>
            <w:tcW w:w="1460" w:type="dxa"/>
            <w:noWrap/>
            <w:vAlign w:val="center"/>
            <w:hideMark/>
          </w:tcPr>
          <w:p w14:paraId="68A9E018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  <w:hideMark/>
          </w:tcPr>
          <w:p w14:paraId="5806DE2C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(2.3%)</w:t>
            </w:r>
          </w:p>
        </w:tc>
      </w:tr>
      <w:tr w:rsidR="00B63612" w:rsidRPr="002A5565" w14:paraId="2D6D2027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24F68F35" w14:textId="77777777" w:rsidR="00B63612" w:rsidRPr="002A5565" w:rsidRDefault="00B63612" w:rsidP="00AF2265">
            <w:pPr>
              <w:ind w:left="883" w:hanging="70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Died on treatment</w:t>
            </w:r>
          </w:p>
        </w:tc>
        <w:tc>
          <w:tcPr>
            <w:tcW w:w="1863" w:type="dxa"/>
            <w:noWrap/>
            <w:vAlign w:val="center"/>
            <w:hideMark/>
          </w:tcPr>
          <w:p w14:paraId="21E09FD3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13 (5.1%)</w:t>
            </w:r>
          </w:p>
        </w:tc>
        <w:tc>
          <w:tcPr>
            <w:tcW w:w="1460" w:type="dxa"/>
            <w:noWrap/>
            <w:vAlign w:val="center"/>
            <w:hideMark/>
          </w:tcPr>
          <w:p w14:paraId="416024A3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6 (4.6%)</w:t>
            </w:r>
          </w:p>
        </w:tc>
        <w:tc>
          <w:tcPr>
            <w:tcW w:w="1454" w:type="dxa"/>
            <w:noWrap/>
            <w:vAlign w:val="center"/>
            <w:hideMark/>
          </w:tcPr>
          <w:p w14:paraId="206A69E4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19 (5.0%)</w:t>
            </w:r>
          </w:p>
        </w:tc>
      </w:tr>
      <w:tr w:rsidR="00B63612" w:rsidRPr="002A5565" w14:paraId="6883EB31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4E774737" w14:textId="77777777" w:rsidR="00B63612" w:rsidRPr="002A5565" w:rsidRDefault="00B63612" w:rsidP="00AF2265">
            <w:pPr>
              <w:ind w:left="883" w:hanging="70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Lost to follow-up</w:t>
            </w:r>
          </w:p>
        </w:tc>
        <w:tc>
          <w:tcPr>
            <w:tcW w:w="1863" w:type="dxa"/>
            <w:noWrap/>
            <w:vAlign w:val="center"/>
            <w:hideMark/>
          </w:tcPr>
          <w:p w14:paraId="50F3FB05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(3.6%)</w:t>
            </w:r>
          </w:p>
        </w:tc>
        <w:tc>
          <w:tcPr>
            <w:tcW w:w="1460" w:type="dxa"/>
            <w:noWrap/>
            <w:vAlign w:val="center"/>
            <w:hideMark/>
          </w:tcPr>
          <w:p w14:paraId="3AF1DA30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(6.9%)</w:t>
            </w:r>
          </w:p>
        </w:tc>
        <w:tc>
          <w:tcPr>
            <w:tcW w:w="1454" w:type="dxa"/>
            <w:noWrap/>
            <w:vAlign w:val="center"/>
            <w:hideMark/>
          </w:tcPr>
          <w:p w14:paraId="6B4C4870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18 (4.7%)</w:t>
            </w:r>
          </w:p>
        </w:tc>
      </w:tr>
      <w:tr w:rsidR="00B63612" w:rsidRPr="002A5565" w14:paraId="292005AE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9010" w:type="dxa"/>
            <w:gridSpan w:val="4"/>
            <w:noWrap/>
            <w:vAlign w:val="center"/>
            <w:hideMark/>
          </w:tcPr>
          <w:p w14:paraId="2BA66290" w14:textId="77777777" w:rsidR="00B63612" w:rsidRPr="002A5565" w:rsidRDefault="00B63612" w:rsidP="00AF2265">
            <w:pPr>
              <w:pStyle w:val="ListParagraph"/>
              <w:numPr>
                <w:ilvl w:val="0"/>
                <w:numId w:val="4"/>
              </w:numPr>
              <w:ind w:left="316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2A5565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WHO outcomes modified to include post-treatment relapse</w:t>
            </w:r>
          </w:p>
        </w:tc>
      </w:tr>
      <w:tr w:rsidR="00B63612" w:rsidRPr="002A5565" w14:paraId="12538533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4C86B61B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Cured</w:t>
            </w:r>
          </w:p>
        </w:tc>
        <w:tc>
          <w:tcPr>
            <w:tcW w:w="1863" w:type="dxa"/>
            <w:noWrap/>
            <w:vAlign w:val="center"/>
            <w:hideMark/>
          </w:tcPr>
          <w:p w14:paraId="6705181A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205 (81.0%)</w:t>
            </w:r>
          </w:p>
        </w:tc>
        <w:tc>
          <w:tcPr>
            <w:tcW w:w="1460" w:type="dxa"/>
            <w:noWrap/>
            <w:vAlign w:val="center"/>
            <w:hideMark/>
          </w:tcPr>
          <w:p w14:paraId="497A85AC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107 (82.3%)</w:t>
            </w:r>
          </w:p>
        </w:tc>
        <w:tc>
          <w:tcPr>
            <w:tcW w:w="1454" w:type="dxa"/>
            <w:noWrap/>
            <w:vAlign w:val="center"/>
            <w:hideMark/>
          </w:tcPr>
          <w:p w14:paraId="7C66E45C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312 (81.5%)</w:t>
            </w:r>
          </w:p>
        </w:tc>
      </w:tr>
      <w:tr w:rsidR="00B63612" w:rsidRPr="002A5565" w14:paraId="53AE0600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2929BF09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failed: Never converted</w:t>
            </w:r>
          </w:p>
        </w:tc>
        <w:tc>
          <w:tcPr>
            <w:tcW w:w="1863" w:type="dxa"/>
            <w:noWrap/>
            <w:vAlign w:val="center"/>
            <w:hideMark/>
          </w:tcPr>
          <w:p w14:paraId="41927703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 (0.4%)</w:t>
            </w:r>
          </w:p>
        </w:tc>
        <w:tc>
          <w:tcPr>
            <w:tcW w:w="1460" w:type="dxa"/>
            <w:noWrap/>
            <w:vAlign w:val="center"/>
            <w:hideMark/>
          </w:tcPr>
          <w:p w14:paraId="2AEC9784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noWrap/>
            <w:vAlign w:val="center"/>
            <w:hideMark/>
          </w:tcPr>
          <w:p w14:paraId="517D6C3B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 (0.3%)</w:t>
            </w:r>
          </w:p>
        </w:tc>
      </w:tr>
      <w:tr w:rsidR="00B63612" w:rsidRPr="002A5565" w14:paraId="6F0C05C0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5628FD6C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failed: Bacteriological reversion</w:t>
            </w:r>
          </w:p>
        </w:tc>
        <w:tc>
          <w:tcPr>
            <w:tcW w:w="1863" w:type="dxa"/>
            <w:noWrap/>
            <w:vAlign w:val="center"/>
            <w:hideMark/>
          </w:tcPr>
          <w:p w14:paraId="7D8F06C0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12 (4.7%)</w:t>
            </w:r>
          </w:p>
        </w:tc>
        <w:tc>
          <w:tcPr>
            <w:tcW w:w="1460" w:type="dxa"/>
            <w:noWrap/>
            <w:vAlign w:val="center"/>
            <w:hideMark/>
          </w:tcPr>
          <w:p w14:paraId="7302F0E1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  <w:hideMark/>
          </w:tcPr>
          <w:p w14:paraId="52DFCEC4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15 (3.9%)</w:t>
            </w:r>
          </w:p>
        </w:tc>
      </w:tr>
      <w:tr w:rsidR="00B63612" w:rsidRPr="002A5565" w14:paraId="0021EDF1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3B457AB4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failed: Adverse Drug Reaction (ADR)</w:t>
            </w:r>
          </w:p>
        </w:tc>
        <w:tc>
          <w:tcPr>
            <w:tcW w:w="1863" w:type="dxa"/>
            <w:noWrap/>
            <w:vAlign w:val="center"/>
            <w:hideMark/>
          </w:tcPr>
          <w:p w14:paraId="73813137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6 (2.4%)</w:t>
            </w:r>
          </w:p>
        </w:tc>
        <w:tc>
          <w:tcPr>
            <w:tcW w:w="1460" w:type="dxa"/>
            <w:noWrap/>
            <w:vAlign w:val="center"/>
            <w:hideMark/>
          </w:tcPr>
          <w:p w14:paraId="3E4A056A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  <w:hideMark/>
          </w:tcPr>
          <w:p w14:paraId="38BE85DB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(2.3%)</w:t>
            </w:r>
          </w:p>
        </w:tc>
      </w:tr>
      <w:tr w:rsidR="00B63612" w:rsidRPr="002A5565" w14:paraId="05388181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30B1DFB0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Relapse after Cure</w:t>
            </w:r>
          </w:p>
        </w:tc>
        <w:tc>
          <w:tcPr>
            <w:tcW w:w="1863" w:type="dxa"/>
            <w:noWrap/>
            <w:vAlign w:val="center"/>
            <w:hideMark/>
          </w:tcPr>
          <w:p w14:paraId="32DF3210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7 (2.8%)</w:t>
            </w:r>
          </w:p>
        </w:tc>
        <w:tc>
          <w:tcPr>
            <w:tcW w:w="1460" w:type="dxa"/>
            <w:noWrap/>
            <w:vAlign w:val="center"/>
            <w:hideMark/>
          </w:tcPr>
          <w:p w14:paraId="379070D8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 (1.5%)</w:t>
            </w:r>
          </w:p>
        </w:tc>
        <w:tc>
          <w:tcPr>
            <w:tcW w:w="1454" w:type="dxa"/>
            <w:noWrap/>
            <w:vAlign w:val="center"/>
            <w:hideMark/>
          </w:tcPr>
          <w:p w14:paraId="3B45F0E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(2.3%)</w:t>
            </w:r>
          </w:p>
        </w:tc>
      </w:tr>
      <w:tr w:rsidR="00B63612" w:rsidRPr="002A5565" w14:paraId="31C439B9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63CCD753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Died on treatment</w:t>
            </w:r>
          </w:p>
        </w:tc>
        <w:tc>
          <w:tcPr>
            <w:tcW w:w="1863" w:type="dxa"/>
            <w:noWrap/>
            <w:vAlign w:val="center"/>
            <w:hideMark/>
          </w:tcPr>
          <w:p w14:paraId="446D8476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13 (5.1%)</w:t>
            </w:r>
          </w:p>
        </w:tc>
        <w:tc>
          <w:tcPr>
            <w:tcW w:w="1460" w:type="dxa"/>
            <w:noWrap/>
            <w:vAlign w:val="center"/>
            <w:hideMark/>
          </w:tcPr>
          <w:p w14:paraId="387F7FA1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6 (4.6%)</w:t>
            </w:r>
          </w:p>
        </w:tc>
        <w:tc>
          <w:tcPr>
            <w:tcW w:w="1454" w:type="dxa"/>
            <w:noWrap/>
            <w:vAlign w:val="center"/>
            <w:hideMark/>
          </w:tcPr>
          <w:p w14:paraId="0E501863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19 (5.0%)</w:t>
            </w:r>
          </w:p>
        </w:tc>
      </w:tr>
      <w:tr w:rsidR="00B63612" w:rsidRPr="002A5565" w14:paraId="1AC77B21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4FE74B0B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Lost to follow-up</w:t>
            </w:r>
          </w:p>
        </w:tc>
        <w:tc>
          <w:tcPr>
            <w:tcW w:w="1863" w:type="dxa"/>
            <w:noWrap/>
            <w:vAlign w:val="center"/>
            <w:hideMark/>
          </w:tcPr>
          <w:p w14:paraId="7736C0DB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(3.6%)</w:t>
            </w:r>
          </w:p>
        </w:tc>
        <w:tc>
          <w:tcPr>
            <w:tcW w:w="1460" w:type="dxa"/>
            <w:noWrap/>
            <w:vAlign w:val="center"/>
            <w:hideMark/>
          </w:tcPr>
          <w:p w14:paraId="0A9185ED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(6.9%)</w:t>
            </w:r>
          </w:p>
        </w:tc>
        <w:tc>
          <w:tcPr>
            <w:tcW w:w="1454" w:type="dxa"/>
            <w:noWrap/>
            <w:vAlign w:val="center"/>
            <w:hideMark/>
          </w:tcPr>
          <w:p w14:paraId="0BCB8C06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18 (4.7%)</w:t>
            </w:r>
          </w:p>
        </w:tc>
      </w:tr>
      <w:tr w:rsidR="00B63612" w:rsidRPr="002A5565" w14:paraId="78B73112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9010" w:type="dxa"/>
            <w:gridSpan w:val="4"/>
            <w:noWrap/>
            <w:vAlign w:val="center"/>
            <w:hideMark/>
          </w:tcPr>
          <w:p w14:paraId="445129A3" w14:textId="54C67BEF" w:rsidR="00B63612" w:rsidRPr="002A5565" w:rsidRDefault="00B63612" w:rsidP="00AF2265">
            <w:pPr>
              <w:pStyle w:val="ListParagraph"/>
              <w:numPr>
                <w:ilvl w:val="0"/>
                <w:numId w:val="4"/>
              </w:numPr>
              <w:ind w:left="316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2A5565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TBNET MDR-TB outcomes</w:t>
            </w:r>
            <w:r w:rsidR="00223315" w:rsidRPr="002A5565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 xml:space="preserve"> (see reference </w:t>
            </w:r>
            <w:r w:rsidR="002A5565" w:rsidRPr="002A5565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17)</w:t>
            </w:r>
          </w:p>
        </w:tc>
      </w:tr>
      <w:tr w:rsidR="00B63612" w:rsidRPr="002A5565" w14:paraId="18DDD8E7" w14:textId="77777777" w:rsidTr="00180011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26E27E18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Cure</w:t>
            </w:r>
          </w:p>
        </w:tc>
        <w:tc>
          <w:tcPr>
            <w:tcW w:w="1863" w:type="dxa"/>
            <w:noWrap/>
            <w:vAlign w:val="center"/>
            <w:hideMark/>
          </w:tcPr>
          <w:p w14:paraId="5A0C309D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190 (75.1%)</w:t>
            </w:r>
          </w:p>
        </w:tc>
        <w:tc>
          <w:tcPr>
            <w:tcW w:w="1460" w:type="dxa"/>
            <w:noWrap/>
            <w:vAlign w:val="center"/>
            <w:hideMark/>
          </w:tcPr>
          <w:p w14:paraId="20B1E555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99 (76.2%)</w:t>
            </w:r>
          </w:p>
        </w:tc>
        <w:tc>
          <w:tcPr>
            <w:tcW w:w="1454" w:type="dxa"/>
            <w:noWrap/>
            <w:vAlign w:val="center"/>
            <w:hideMark/>
          </w:tcPr>
          <w:p w14:paraId="63B7AFBD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289 (75.5%)</w:t>
            </w:r>
          </w:p>
        </w:tc>
      </w:tr>
      <w:tr w:rsidR="00B63612" w:rsidRPr="002A5565" w14:paraId="43B5B7A9" w14:textId="77777777" w:rsidTr="0018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11D6D755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failure</w:t>
            </w:r>
          </w:p>
        </w:tc>
        <w:tc>
          <w:tcPr>
            <w:tcW w:w="1863" w:type="dxa"/>
            <w:noWrap/>
            <w:vAlign w:val="center"/>
            <w:hideMark/>
          </w:tcPr>
          <w:p w14:paraId="7A0FA14E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35 (13.8%)</w:t>
            </w:r>
          </w:p>
        </w:tc>
        <w:tc>
          <w:tcPr>
            <w:tcW w:w="1460" w:type="dxa"/>
            <w:noWrap/>
            <w:vAlign w:val="center"/>
            <w:hideMark/>
          </w:tcPr>
          <w:p w14:paraId="44AC2DD7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18 (13.8%)</w:t>
            </w:r>
          </w:p>
        </w:tc>
        <w:tc>
          <w:tcPr>
            <w:tcW w:w="1454" w:type="dxa"/>
            <w:noWrap/>
            <w:vAlign w:val="center"/>
            <w:hideMark/>
          </w:tcPr>
          <w:p w14:paraId="1C67585D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53 (13.8%)</w:t>
            </w:r>
          </w:p>
        </w:tc>
      </w:tr>
      <w:tr w:rsidR="00B63612" w:rsidRPr="002A5565" w14:paraId="2473D372" w14:textId="77777777" w:rsidTr="00180011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2D539A00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Death during observation</w:t>
            </w:r>
          </w:p>
        </w:tc>
        <w:tc>
          <w:tcPr>
            <w:tcW w:w="1863" w:type="dxa"/>
            <w:noWrap/>
            <w:vAlign w:val="center"/>
            <w:hideMark/>
          </w:tcPr>
          <w:p w14:paraId="7B47B00A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21 (8.3%)</w:t>
            </w:r>
          </w:p>
        </w:tc>
        <w:tc>
          <w:tcPr>
            <w:tcW w:w="1460" w:type="dxa"/>
            <w:noWrap/>
            <w:vAlign w:val="center"/>
            <w:hideMark/>
          </w:tcPr>
          <w:p w14:paraId="083958C3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8 (6.2%)</w:t>
            </w:r>
          </w:p>
        </w:tc>
        <w:tc>
          <w:tcPr>
            <w:tcW w:w="1454" w:type="dxa"/>
            <w:noWrap/>
            <w:vAlign w:val="center"/>
            <w:hideMark/>
          </w:tcPr>
          <w:p w14:paraId="1B0EDE53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29 (7.6%)</w:t>
            </w:r>
          </w:p>
        </w:tc>
      </w:tr>
      <w:tr w:rsidR="00B63612" w:rsidRPr="002A5565" w14:paraId="1D64F7BF" w14:textId="77777777" w:rsidTr="0018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0A838639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Loss to follow-up</w:t>
            </w:r>
          </w:p>
        </w:tc>
        <w:tc>
          <w:tcPr>
            <w:tcW w:w="1863" w:type="dxa"/>
            <w:noWrap/>
            <w:vAlign w:val="center"/>
            <w:hideMark/>
          </w:tcPr>
          <w:p w14:paraId="72C0E8F5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6 (2.4%)</w:t>
            </w:r>
          </w:p>
        </w:tc>
        <w:tc>
          <w:tcPr>
            <w:tcW w:w="1460" w:type="dxa"/>
            <w:noWrap/>
            <w:vAlign w:val="center"/>
            <w:hideMark/>
          </w:tcPr>
          <w:p w14:paraId="6DB5FE4E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  <w:hideMark/>
          </w:tcPr>
          <w:p w14:paraId="79E9E78D" w14:textId="77777777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(2.3%)</w:t>
            </w:r>
          </w:p>
        </w:tc>
      </w:tr>
      <w:tr w:rsidR="00B63612" w:rsidRPr="002A5565" w14:paraId="607F371B" w14:textId="77777777" w:rsidTr="00180011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4581270A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Undeclared outcome</w:t>
            </w:r>
          </w:p>
        </w:tc>
        <w:tc>
          <w:tcPr>
            <w:tcW w:w="1863" w:type="dxa"/>
            <w:noWrap/>
            <w:vAlign w:val="center"/>
            <w:hideMark/>
          </w:tcPr>
          <w:p w14:paraId="06C37D82" w14:textId="27E7E8DD" w:rsidR="00B63612" w:rsidRPr="002A5565" w:rsidRDefault="002868F3" w:rsidP="0018001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</w:t>
            </w:r>
            <w:r w:rsidR="00B63612"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(0.4%)</w:t>
            </w:r>
          </w:p>
        </w:tc>
        <w:tc>
          <w:tcPr>
            <w:tcW w:w="1460" w:type="dxa"/>
            <w:noWrap/>
            <w:vAlign w:val="center"/>
            <w:hideMark/>
          </w:tcPr>
          <w:p w14:paraId="14B293A9" w14:textId="49380A0C" w:rsidR="00B63612" w:rsidRPr="002A5565" w:rsidRDefault="002868F3" w:rsidP="00180011">
            <w:pPr>
              <w:pStyle w:val="ListParagraph"/>
              <w:ind w:left="7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</w:t>
            </w:r>
            <w:r w:rsidR="00B63612"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(1.5%)</w:t>
            </w:r>
          </w:p>
        </w:tc>
        <w:tc>
          <w:tcPr>
            <w:tcW w:w="1454" w:type="dxa"/>
            <w:noWrap/>
            <w:vAlign w:val="center"/>
            <w:hideMark/>
          </w:tcPr>
          <w:p w14:paraId="21D76D0C" w14:textId="1887A1A1" w:rsidR="00B63612" w:rsidRPr="002A5565" w:rsidRDefault="002868F3" w:rsidP="0018001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</w:t>
            </w:r>
            <w:r w:rsidR="00B63612"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(0.8%)</w:t>
            </w:r>
          </w:p>
        </w:tc>
      </w:tr>
      <w:tr w:rsidR="002868F3" w:rsidRPr="002A5565" w14:paraId="58A75C99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9010" w:type="dxa"/>
            <w:gridSpan w:val="4"/>
            <w:noWrap/>
            <w:vAlign w:val="center"/>
            <w:hideMark/>
          </w:tcPr>
          <w:p w14:paraId="32AAAC79" w14:textId="5D8D6F2B" w:rsidR="002868F3" w:rsidRPr="002A5565" w:rsidRDefault="002868F3" w:rsidP="00AF2265">
            <w:pPr>
              <w:pStyle w:val="ListParagraph"/>
              <w:numPr>
                <w:ilvl w:val="0"/>
                <w:numId w:val="4"/>
              </w:numPr>
              <w:ind w:left="316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E23AD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Modified WHO outcomes for short regimens</w:t>
            </w:r>
            <w:r w:rsidR="002A5565" w:rsidRPr="00E23AD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(see reference </w:t>
            </w:r>
            <w:r w:rsidR="002A556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18)</w:t>
            </w:r>
          </w:p>
        </w:tc>
      </w:tr>
      <w:tr w:rsidR="002868F3" w:rsidRPr="002A5565" w14:paraId="7C06CDD3" w14:textId="77777777" w:rsidTr="00180011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27982DBA" w14:textId="77777777" w:rsidR="002868F3" w:rsidRPr="002A5565" w:rsidRDefault="002868F3" w:rsidP="00AF2265">
            <w:pPr>
              <w:ind w:left="32" w:firstLine="14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Cure</w:t>
            </w:r>
          </w:p>
        </w:tc>
        <w:tc>
          <w:tcPr>
            <w:tcW w:w="1863" w:type="dxa"/>
            <w:noWrap/>
            <w:vAlign w:val="center"/>
          </w:tcPr>
          <w:p w14:paraId="141F11BD" w14:textId="79398F72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sz w:val="20"/>
                <w:szCs w:val="20"/>
              </w:rPr>
              <w:t>213 (84.2%)</w:t>
            </w:r>
          </w:p>
        </w:tc>
        <w:tc>
          <w:tcPr>
            <w:tcW w:w="1460" w:type="dxa"/>
            <w:noWrap/>
            <w:vAlign w:val="center"/>
          </w:tcPr>
          <w:p w14:paraId="06F838FC" w14:textId="47B860CE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sz w:val="20"/>
                <w:szCs w:val="20"/>
              </w:rPr>
              <w:t>111 (85.4%)</w:t>
            </w:r>
          </w:p>
        </w:tc>
        <w:tc>
          <w:tcPr>
            <w:tcW w:w="1454" w:type="dxa"/>
            <w:noWrap/>
            <w:vAlign w:val="center"/>
          </w:tcPr>
          <w:p w14:paraId="7BAECD4C" w14:textId="08157E57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sz w:val="20"/>
                <w:szCs w:val="20"/>
              </w:rPr>
              <w:t>324 (84.6%)</w:t>
            </w:r>
          </w:p>
        </w:tc>
      </w:tr>
      <w:tr w:rsidR="002868F3" w:rsidRPr="002A5565" w14:paraId="194DC398" w14:textId="77777777" w:rsidTr="0018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2C13032D" w14:textId="74280515" w:rsidR="002868F3" w:rsidRPr="002A5565" w:rsidRDefault="002868F3" w:rsidP="00AF2265">
            <w:pPr>
              <w:ind w:left="32" w:firstLine="14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Treatment failed</w:t>
            </w:r>
          </w:p>
        </w:tc>
        <w:tc>
          <w:tcPr>
            <w:tcW w:w="1863" w:type="dxa"/>
            <w:noWrap/>
            <w:vAlign w:val="center"/>
          </w:tcPr>
          <w:p w14:paraId="706DA1FF" w14:textId="7DCAF4E5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sz w:val="20"/>
                <w:szCs w:val="20"/>
              </w:rPr>
              <w:t>17 (6.7%)</w:t>
            </w:r>
          </w:p>
        </w:tc>
        <w:tc>
          <w:tcPr>
            <w:tcW w:w="1460" w:type="dxa"/>
            <w:noWrap/>
            <w:vAlign w:val="center"/>
          </w:tcPr>
          <w:p w14:paraId="38ECACDF" w14:textId="24BF38D2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sz w:val="20"/>
                <w:szCs w:val="20"/>
              </w:rPr>
              <w:t>4 (3.1%)</w:t>
            </w:r>
          </w:p>
        </w:tc>
        <w:tc>
          <w:tcPr>
            <w:tcW w:w="1454" w:type="dxa"/>
            <w:noWrap/>
            <w:vAlign w:val="center"/>
          </w:tcPr>
          <w:p w14:paraId="6AB0BCF4" w14:textId="5AFB1ADE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sz w:val="20"/>
                <w:szCs w:val="20"/>
              </w:rPr>
              <w:t>21 (5.5%)</w:t>
            </w:r>
          </w:p>
        </w:tc>
      </w:tr>
      <w:tr w:rsidR="002868F3" w:rsidRPr="002A5565" w14:paraId="1CD20C95" w14:textId="77777777" w:rsidTr="00180011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575567B9" w14:textId="023022FC" w:rsidR="002868F3" w:rsidRPr="002A5565" w:rsidRDefault="002868F3" w:rsidP="00AF2265">
            <w:pPr>
              <w:ind w:left="32" w:firstLine="14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Died on treatment</w:t>
            </w:r>
          </w:p>
        </w:tc>
        <w:tc>
          <w:tcPr>
            <w:tcW w:w="1863" w:type="dxa"/>
            <w:noWrap/>
            <w:vAlign w:val="center"/>
          </w:tcPr>
          <w:p w14:paraId="02790551" w14:textId="0E28F4FF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13 (5.1%)</w:t>
            </w:r>
          </w:p>
        </w:tc>
        <w:tc>
          <w:tcPr>
            <w:tcW w:w="1460" w:type="dxa"/>
            <w:noWrap/>
            <w:vAlign w:val="center"/>
          </w:tcPr>
          <w:p w14:paraId="77CDB77C" w14:textId="6FCBD4E6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6 (4.6%)</w:t>
            </w:r>
          </w:p>
        </w:tc>
        <w:tc>
          <w:tcPr>
            <w:tcW w:w="1454" w:type="dxa"/>
            <w:noWrap/>
            <w:vAlign w:val="center"/>
          </w:tcPr>
          <w:p w14:paraId="2A04FFB2" w14:textId="70E289CC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19 (5.0%)</w:t>
            </w:r>
          </w:p>
        </w:tc>
      </w:tr>
      <w:tr w:rsidR="002868F3" w:rsidRPr="002A5565" w14:paraId="2EE43B8C" w14:textId="77777777" w:rsidTr="0018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41397D75" w14:textId="77777777" w:rsidR="002868F3" w:rsidRPr="002A5565" w:rsidRDefault="002868F3" w:rsidP="00AF2265">
            <w:pPr>
              <w:ind w:left="32" w:firstLine="14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Loss to follow-up</w:t>
            </w:r>
          </w:p>
        </w:tc>
        <w:tc>
          <w:tcPr>
            <w:tcW w:w="1863" w:type="dxa"/>
            <w:noWrap/>
            <w:vAlign w:val="center"/>
          </w:tcPr>
          <w:p w14:paraId="558EB65D" w14:textId="06C14AA9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10 (4.0%)</w:t>
            </w:r>
          </w:p>
        </w:tc>
        <w:tc>
          <w:tcPr>
            <w:tcW w:w="1460" w:type="dxa"/>
            <w:noWrap/>
            <w:vAlign w:val="center"/>
          </w:tcPr>
          <w:p w14:paraId="5EF6E4DA" w14:textId="56E5468D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9 (6.9%)</w:t>
            </w:r>
          </w:p>
        </w:tc>
        <w:tc>
          <w:tcPr>
            <w:tcW w:w="1454" w:type="dxa"/>
            <w:noWrap/>
            <w:vAlign w:val="center"/>
          </w:tcPr>
          <w:p w14:paraId="40B65B95" w14:textId="3A1EFF33" w:rsidR="002868F3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19 (5.0%)</w:t>
            </w:r>
          </w:p>
        </w:tc>
      </w:tr>
      <w:tr w:rsidR="00B63612" w:rsidRPr="002A5565" w14:paraId="0857938C" w14:textId="77777777" w:rsidTr="002868F3">
        <w:trPr>
          <w:trHeight w:val="285"/>
        </w:trPr>
        <w:tc>
          <w:tcPr>
            <w:tcW w:w="9010" w:type="dxa"/>
            <w:gridSpan w:val="4"/>
            <w:noWrap/>
            <w:vAlign w:val="center"/>
            <w:hideMark/>
          </w:tcPr>
          <w:p w14:paraId="0218B154" w14:textId="221FE4A6" w:rsidR="00B63612" w:rsidRPr="002A5565" w:rsidRDefault="00B63612" w:rsidP="00AF2265">
            <w:pPr>
              <w:pStyle w:val="ListParagraph"/>
              <w:numPr>
                <w:ilvl w:val="0"/>
                <w:numId w:val="4"/>
              </w:numPr>
              <w:ind w:left="316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2A5565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End of follow-up Week 132 outcomes</w:t>
            </w:r>
          </w:p>
        </w:tc>
      </w:tr>
      <w:tr w:rsidR="00B63612" w:rsidRPr="002A5565" w14:paraId="377B41FC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22C425E6" w14:textId="6DD5D4D6" w:rsidR="00B63612" w:rsidRPr="002A5565" w:rsidRDefault="00E418FA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Favorable</w:t>
            </w:r>
            <w:r w:rsidR="00B63612"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at Week 132</w:t>
            </w:r>
          </w:p>
        </w:tc>
        <w:tc>
          <w:tcPr>
            <w:tcW w:w="1863" w:type="dxa"/>
            <w:noWrap/>
            <w:vAlign w:val="center"/>
            <w:hideMark/>
          </w:tcPr>
          <w:p w14:paraId="59EEB053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213 (84.2%)</w:t>
            </w:r>
          </w:p>
        </w:tc>
        <w:tc>
          <w:tcPr>
            <w:tcW w:w="1460" w:type="dxa"/>
            <w:noWrap/>
            <w:vAlign w:val="center"/>
            <w:hideMark/>
          </w:tcPr>
          <w:p w14:paraId="34EF518F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108 (83.1%)</w:t>
            </w:r>
          </w:p>
        </w:tc>
        <w:tc>
          <w:tcPr>
            <w:tcW w:w="1454" w:type="dxa"/>
            <w:noWrap/>
            <w:vAlign w:val="center"/>
            <w:hideMark/>
          </w:tcPr>
          <w:p w14:paraId="5C189E3C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321 (83.8%)</w:t>
            </w:r>
          </w:p>
        </w:tc>
      </w:tr>
      <w:tr w:rsidR="00B63612" w:rsidRPr="002A5565" w14:paraId="6AACE17A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0E9F2064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Culture positive at Week 132</w:t>
            </w:r>
          </w:p>
        </w:tc>
        <w:tc>
          <w:tcPr>
            <w:tcW w:w="1863" w:type="dxa"/>
            <w:noWrap/>
            <w:vAlign w:val="center"/>
            <w:hideMark/>
          </w:tcPr>
          <w:p w14:paraId="09AA4684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6 (2.4%)</w:t>
            </w:r>
          </w:p>
        </w:tc>
        <w:tc>
          <w:tcPr>
            <w:tcW w:w="1460" w:type="dxa"/>
            <w:noWrap/>
            <w:vAlign w:val="center"/>
            <w:hideMark/>
          </w:tcPr>
          <w:p w14:paraId="645FF38B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 (1.5%)</w:t>
            </w:r>
          </w:p>
        </w:tc>
        <w:tc>
          <w:tcPr>
            <w:tcW w:w="1454" w:type="dxa"/>
            <w:noWrap/>
            <w:vAlign w:val="center"/>
            <w:hideMark/>
          </w:tcPr>
          <w:p w14:paraId="500F012C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8 (2.1%)</w:t>
            </w:r>
          </w:p>
        </w:tc>
      </w:tr>
      <w:tr w:rsidR="00B63612" w:rsidRPr="002A5565" w14:paraId="191B760D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05530620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Last culture positive prior to Week 132</w:t>
            </w:r>
          </w:p>
        </w:tc>
        <w:tc>
          <w:tcPr>
            <w:tcW w:w="1863" w:type="dxa"/>
            <w:noWrap/>
            <w:vAlign w:val="center"/>
            <w:hideMark/>
          </w:tcPr>
          <w:p w14:paraId="5D1EB651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(1.2%)</w:t>
            </w:r>
          </w:p>
        </w:tc>
        <w:tc>
          <w:tcPr>
            <w:tcW w:w="1460" w:type="dxa"/>
            <w:noWrap/>
            <w:vAlign w:val="center"/>
            <w:hideMark/>
          </w:tcPr>
          <w:p w14:paraId="7E452035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 (1.5%)</w:t>
            </w:r>
          </w:p>
        </w:tc>
        <w:tc>
          <w:tcPr>
            <w:tcW w:w="1454" w:type="dxa"/>
            <w:noWrap/>
            <w:vAlign w:val="center"/>
            <w:hideMark/>
          </w:tcPr>
          <w:p w14:paraId="3CF188D7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5 (1.3%)</w:t>
            </w:r>
          </w:p>
        </w:tc>
      </w:tr>
      <w:tr w:rsidR="00B63612" w:rsidRPr="002A5565" w14:paraId="690FFAFB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4D8C914F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Died prior to Week 132</w:t>
            </w:r>
          </w:p>
        </w:tc>
        <w:tc>
          <w:tcPr>
            <w:tcW w:w="1863" w:type="dxa"/>
            <w:noWrap/>
            <w:vAlign w:val="center"/>
            <w:hideMark/>
          </w:tcPr>
          <w:p w14:paraId="24AF7392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21 (8.3%)</w:t>
            </w:r>
          </w:p>
        </w:tc>
        <w:tc>
          <w:tcPr>
            <w:tcW w:w="1460" w:type="dxa"/>
            <w:noWrap/>
            <w:vAlign w:val="center"/>
            <w:hideMark/>
          </w:tcPr>
          <w:p w14:paraId="79F162C8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8 (6.2%)</w:t>
            </w:r>
          </w:p>
        </w:tc>
        <w:tc>
          <w:tcPr>
            <w:tcW w:w="1454" w:type="dxa"/>
            <w:noWrap/>
            <w:vAlign w:val="center"/>
            <w:hideMark/>
          </w:tcPr>
          <w:p w14:paraId="3C677C15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29 (7.6%)</w:t>
            </w:r>
          </w:p>
        </w:tc>
      </w:tr>
      <w:tr w:rsidR="00B63612" w:rsidRPr="002A5565" w14:paraId="755133AE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  <w:hideMark/>
          </w:tcPr>
          <w:p w14:paraId="251C68B8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Last two cultures negatives prior to Week 132</w:t>
            </w:r>
          </w:p>
        </w:tc>
        <w:tc>
          <w:tcPr>
            <w:tcW w:w="1863" w:type="dxa"/>
            <w:noWrap/>
            <w:vAlign w:val="center"/>
            <w:hideMark/>
          </w:tcPr>
          <w:p w14:paraId="4DEA2625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8 (3.2%)</w:t>
            </w:r>
          </w:p>
        </w:tc>
        <w:tc>
          <w:tcPr>
            <w:tcW w:w="1460" w:type="dxa"/>
            <w:noWrap/>
            <w:vAlign w:val="center"/>
            <w:hideMark/>
          </w:tcPr>
          <w:p w14:paraId="2AC64856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9 (6.9%)</w:t>
            </w:r>
          </w:p>
        </w:tc>
        <w:tc>
          <w:tcPr>
            <w:tcW w:w="1454" w:type="dxa"/>
            <w:noWrap/>
            <w:vAlign w:val="center"/>
            <w:hideMark/>
          </w:tcPr>
          <w:p w14:paraId="13D1DE7E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17 (4.4%)</w:t>
            </w:r>
          </w:p>
        </w:tc>
      </w:tr>
      <w:tr w:rsidR="00B63612" w:rsidRPr="002A5565" w14:paraId="1986B9E9" w14:textId="77777777" w:rsidTr="002868F3">
        <w:trPr>
          <w:trHeight w:val="285"/>
        </w:trPr>
        <w:tc>
          <w:tcPr>
            <w:tcW w:w="4233" w:type="dxa"/>
            <w:noWrap/>
            <w:vAlign w:val="center"/>
            <w:hideMark/>
          </w:tcPr>
          <w:p w14:paraId="473884FC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No cultures after baseline</w:t>
            </w:r>
          </w:p>
        </w:tc>
        <w:tc>
          <w:tcPr>
            <w:tcW w:w="1863" w:type="dxa"/>
            <w:noWrap/>
            <w:vAlign w:val="center"/>
            <w:hideMark/>
          </w:tcPr>
          <w:p w14:paraId="5E528B3E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2 (0.8%)</w:t>
            </w:r>
          </w:p>
        </w:tc>
        <w:tc>
          <w:tcPr>
            <w:tcW w:w="1460" w:type="dxa"/>
            <w:noWrap/>
            <w:vAlign w:val="center"/>
            <w:hideMark/>
          </w:tcPr>
          <w:p w14:paraId="1FB49F3E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1 (0.8%)</w:t>
            </w:r>
          </w:p>
        </w:tc>
        <w:tc>
          <w:tcPr>
            <w:tcW w:w="1454" w:type="dxa"/>
            <w:noWrap/>
            <w:vAlign w:val="center"/>
            <w:hideMark/>
          </w:tcPr>
          <w:p w14:paraId="6F4DDF91" w14:textId="77777777" w:rsidR="00B63612" w:rsidRPr="002A5565" w:rsidRDefault="00B63612" w:rsidP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3 (0.8%)</w:t>
            </w:r>
          </w:p>
        </w:tc>
      </w:tr>
      <w:tr w:rsidR="00B63612" w:rsidRPr="002A5565" w14:paraId="2BA820D9" w14:textId="77777777" w:rsidTr="002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9010" w:type="dxa"/>
            <w:gridSpan w:val="4"/>
            <w:noWrap/>
            <w:vAlign w:val="center"/>
            <w:hideMark/>
          </w:tcPr>
          <w:p w14:paraId="328ECF01" w14:textId="77777777" w:rsidR="00B63612" w:rsidRPr="00E23AD7" w:rsidRDefault="00B63612" w:rsidP="00E23AD7">
            <w:pPr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E23AD7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Failure or Relapse event</w:t>
            </w:r>
          </w:p>
        </w:tc>
      </w:tr>
      <w:tr w:rsidR="00B63612" w:rsidRPr="002A5565" w14:paraId="052A63F1" w14:textId="77777777" w:rsidTr="00180011">
        <w:trPr>
          <w:trHeight w:val="285"/>
        </w:trPr>
        <w:tc>
          <w:tcPr>
            <w:tcW w:w="4233" w:type="dxa"/>
            <w:noWrap/>
            <w:vAlign w:val="center"/>
          </w:tcPr>
          <w:p w14:paraId="6C00E33F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Highly Unlikely</w:t>
            </w:r>
          </w:p>
        </w:tc>
        <w:tc>
          <w:tcPr>
            <w:tcW w:w="1863" w:type="dxa"/>
            <w:noWrap/>
            <w:vAlign w:val="center"/>
          </w:tcPr>
          <w:p w14:paraId="791ACD7C" w14:textId="041271FD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 xml:space="preserve"> (7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0" w:type="dxa"/>
            <w:noWrap/>
            <w:vAlign w:val="center"/>
          </w:tcPr>
          <w:p w14:paraId="144A19F1" w14:textId="587948AE" w:rsidR="00B63612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99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(7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54" w:type="dxa"/>
            <w:noWrap/>
            <w:vAlign w:val="center"/>
          </w:tcPr>
          <w:p w14:paraId="79D1EAD2" w14:textId="700B45DB" w:rsidR="00B63612" w:rsidRPr="002A5565" w:rsidRDefault="00B6361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 xml:space="preserve"> (7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B63612" w:rsidRPr="002A5565" w14:paraId="044FC781" w14:textId="77777777" w:rsidTr="0018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</w:tcPr>
          <w:p w14:paraId="4648CC86" w14:textId="77777777" w:rsidR="00B63612" w:rsidRPr="002A5565" w:rsidRDefault="00B63612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565">
              <w:rPr>
                <w:rFonts w:eastAsia="Times New Roman" w:cstheme="minorHAnsi"/>
                <w:color w:val="000000"/>
                <w:sz w:val="20"/>
                <w:szCs w:val="20"/>
              </w:rPr>
              <w:t>Unlikely</w:t>
            </w:r>
          </w:p>
        </w:tc>
        <w:tc>
          <w:tcPr>
            <w:tcW w:w="1863" w:type="dxa"/>
            <w:noWrap/>
            <w:vAlign w:val="center"/>
          </w:tcPr>
          <w:p w14:paraId="71DAFE74" w14:textId="54C19108" w:rsidR="00B63612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24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0" w:type="dxa"/>
            <w:noWrap/>
            <w:vAlign w:val="center"/>
          </w:tcPr>
          <w:p w14:paraId="796096CE" w14:textId="12374EC6" w:rsidR="00B63612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(1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54" w:type="dxa"/>
            <w:noWrap/>
            <w:vAlign w:val="center"/>
          </w:tcPr>
          <w:p w14:paraId="098667FB" w14:textId="08985699" w:rsidR="00B63612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44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(1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B63612" w:rsidRPr="002A5565" w14:paraId="0DFDD76D" w14:textId="77777777" w:rsidTr="00180011">
        <w:trPr>
          <w:trHeight w:val="285"/>
        </w:trPr>
        <w:tc>
          <w:tcPr>
            <w:tcW w:w="4233" w:type="dxa"/>
            <w:noWrap/>
            <w:vAlign w:val="center"/>
          </w:tcPr>
          <w:p w14:paraId="03A53FA3" w14:textId="1FF33A3C" w:rsidR="00B63612" w:rsidRPr="002A5565" w:rsidRDefault="002868F3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1863" w:type="dxa"/>
            <w:noWrap/>
            <w:vAlign w:val="center"/>
          </w:tcPr>
          <w:p w14:paraId="75870449" w14:textId="5E33862E" w:rsidR="00B63612" w:rsidRPr="00E23AD7" w:rsidRDefault="002868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4.4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0" w:type="dxa"/>
            <w:noWrap/>
            <w:vAlign w:val="center"/>
          </w:tcPr>
          <w:p w14:paraId="57BC6DF0" w14:textId="592A690D" w:rsidR="00B63612" w:rsidRPr="00E23AD7" w:rsidRDefault="002868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3.9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54" w:type="dxa"/>
            <w:noWrap/>
            <w:vAlign w:val="center"/>
          </w:tcPr>
          <w:p w14:paraId="72D26F1E" w14:textId="5922A0EE" w:rsidR="00B63612" w:rsidRPr="00E23AD7" w:rsidRDefault="002868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16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4.2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B63612" w:rsidRPr="002A5565" w14:paraId="04926DF7" w14:textId="77777777" w:rsidTr="0018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4233" w:type="dxa"/>
            <w:noWrap/>
            <w:vAlign w:val="center"/>
          </w:tcPr>
          <w:p w14:paraId="57617D90" w14:textId="6B08D109" w:rsidR="00B63612" w:rsidRPr="002A5565" w:rsidRDefault="002868F3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Probable</w:t>
            </w:r>
          </w:p>
        </w:tc>
        <w:tc>
          <w:tcPr>
            <w:tcW w:w="1863" w:type="dxa"/>
            <w:noWrap/>
            <w:vAlign w:val="center"/>
          </w:tcPr>
          <w:p w14:paraId="521AE563" w14:textId="6214167B" w:rsidR="00B63612" w:rsidRPr="00E23AD7" w:rsidRDefault="00B6361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5 (</w:t>
            </w:r>
            <w:r w:rsidR="002868F3" w:rsidRPr="00E23AD7">
              <w:rPr>
                <w:rFonts w:cstheme="minorHAnsi"/>
                <w:color w:val="000000"/>
                <w:sz w:val="20"/>
                <w:szCs w:val="20"/>
              </w:rPr>
              <w:t>2.0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0" w:type="dxa"/>
            <w:noWrap/>
            <w:vAlign w:val="center"/>
          </w:tcPr>
          <w:p w14:paraId="6CDEEC44" w14:textId="6FA19791" w:rsidR="00B63612" w:rsidRPr="00E23AD7" w:rsidRDefault="00B6361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</w:tcPr>
          <w:p w14:paraId="3F1ADCB9" w14:textId="508C0BAF" w:rsidR="00B63612" w:rsidRPr="00E23AD7" w:rsidRDefault="002868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2.1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B63612" w:rsidRPr="002A5565" w14:paraId="1B1498A9" w14:textId="77777777" w:rsidTr="00180011">
        <w:trPr>
          <w:trHeight w:val="285"/>
        </w:trPr>
        <w:tc>
          <w:tcPr>
            <w:tcW w:w="4233" w:type="dxa"/>
            <w:noWrap/>
            <w:vAlign w:val="center"/>
          </w:tcPr>
          <w:p w14:paraId="00915E86" w14:textId="74CE7AA4" w:rsidR="00B63612" w:rsidRPr="002A5565" w:rsidRDefault="002868F3" w:rsidP="00AF2265">
            <w:pPr>
              <w:ind w:firstLine="1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Definite</w:t>
            </w:r>
          </w:p>
        </w:tc>
        <w:tc>
          <w:tcPr>
            <w:tcW w:w="1863" w:type="dxa"/>
            <w:noWrap/>
            <w:vAlign w:val="center"/>
          </w:tcPr>
          <w:p w14:paraId="63E3DA39" w14:textId="42690129" w:rsidR="00B63612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7.9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0" w:type="dxa"/>
            <w:noWrap/>
            <w:vAlign w:val="center"/>
          </w:tcPr>
          <w:p w14:paraId="3737A89B" w14:textId="20C83E71" w:rsidR="00B63612" w:rsidRPr="00C44BCB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CB">
              <w:rPr>
                <w:rFonts w:eastAsia="Times New Roman" w:cstheme="minorHAns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454" w:type="dxa"/>
            <w:noWrap/>
            <w:vAlign w:val="center"/>
          </w:tcPr>
          <w:p w14:paraId="6D4C16D3" w14:textId="5A7B73A5" w:rsidR="00B63612" w:rsidRPr="002A5565" w:rsidRDefault="00286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3AD7">
              <w:rPr>
                <w:rFonts w:cstheme="minorHAnsi"/>
                <w:color w:val="000000"/>
                <w:sz w:val="20"/>
                <w:szCs w:val="20"/>
              </w:rPr>
              <w:t>23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23AD7">
              <w:rPr>
                <w:rFonts w:cstheme="minorHAnsi"/>
                <w:color w:val="000000"/>
                <w:sz w:val="20"/>
                <w:szCs w:val="20"/>
              </w:rPr>
              <w:t>6.0</w:t>
            </w:r>
            <w:r w:rsidR="00B63612" w:rsidRPr="00E23AD7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</w:tr>
    </w:tbl>
    <w:p w14:paraId="46F14C91" w14:textId="30BAB152" w:rsidR="003965D9" w:rsidRPr="00B42A9D" w:rsidRDefault="00443BEA" w:rsidP="00DB4AA0">
      <w:pPr>
        <w:rPr>
          <w:b/>
        </w:rPr>
      </w:pPr>
      <w:r>
        <w:rPr>
          <w:b/>
          <w:noProof/>
        </w:rPr>
        <w:fldChar w:fldCharType="begin"/>
      </w:r>
      <w:r>
        <w:rPr>
          <w:b/>
        </w:rPr>
        <w:instrText xml:space="preserve"> ADDIN EN.REFLIST </w:instrText>
      </w:r>
      <w:r>
        <w:rPr>
          <w:b/>
          <w:noProof/>
        </w:rPr>
        <w:fldChar w:fldCharType="end"/>
      </w:r>
    </w:p>
    <w:sectPr w:rsidR="003965D9" w:rsidRPr="00B42A9D" w:rsidSect="00EC4E0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2FE3"/>
    <w:multiLevelType w:val="hybridMultilevel"/>
    <w:tmpl w:val="89842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1105"/>
    <w:multiLevelType w:val="hybridMultilevel"/>
    <w:tmpl w:val="89842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357F"/>
    <w:multiLevelType w:val="hybridMultilevel"/>
    <w:tmpl w:val="89842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76A"/>
    <w:multiLevelType w:val="hybridMultilevel"/>
    <w:tmpl w:val="07CEC446"/>
    <w:lvl w:ilvl="0" w:tplc="75220D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E0D"/>
    <w:multiLevelType w:val="hybridMultilevel"/>
    <w:tmpl w:val="89842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68D"/>
    <w:multiLevelType w:val="hybridMultilevel"/>
    <w:tmpl w:val="8DB6F69A"/>
    <w:lvl w:ilvl="0" w:tplc="0722E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60D9"/>
    <w:multiLevelType w:val="hybridMultilevel"/>
    <w:tmpl w:val="44700C7C"/>
    <w:lvl w:ilvl="0" w:tplc="107CE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D9C"/>
    <w:multiLevelType w:val="hybridMultilevel"/>
    <w:tmpl w:val="58E8485C"/>
    <w:lvl w:ilvl="0" w:tplc="9DB48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7CCB"/>
    <w:multiLevelType w:val="hybridMultilevel"/>
    <w:tmpl w:val="D4C6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4360"/>
    <w:multiLevelType w:val="hybridMultilevel"/>
    <w:tmpl w:val="FBF4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43011"/>
    <w:multiLevelType w:val="hybridMultilevel"/>
    <w:tmpl w:val="89842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A0826"/>
    <w:multiLevelType w:val="hybridMultilevel"/>
    <w:tmpl w:val="19E02ABC"/>
    <w:lvl w:ilvl="0" w:tplc="A7F29B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D55"/>
    <w:multiLevelType w:val="hybridMultilevel"/>
    <w:tmpl w:val="2E96835C"/>
    <w:lvl w:ilvl="0" w:tplc="D42C594C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2B2D"/>
    <w:multiLevelType w:val="hybridMultilevel"/>
    <w:tmpl w:val="A5B81222"/>
    <w:lvl w:ilvl="0" w:tplc="1278D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481E"/>
    <w:multiLevelType w:val="hybridMultilevel"/>
    <w:tmpl w:val="14F65F56"/>
    <w:lvl w:ilvl="0" w:tplc="8416CB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0BAB"/>
    <w:multiLevelType w:val="hybridMultilevel"/>
    <w:tmpl w:val="7910EB1A"/>
    <w:lvl w:ilvl="0" w:tplc="3DA2FF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C3FBF"/>
    <w:multiLevelType w:val="hybridMultilevel"/>
    <w:tmpl w:val="85C200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737BA"/>
    <w:multiLevelType w:val="hybridMultilevel"/>
    <w:tmpl w:val="51129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30C06"/>
    <w:multiLevelType w:val="hybridMultilevel"/>
    <w:tmpl w:val="32A67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C0958"/>
    <w:multiLevelType w:val="hybridMultilevel"/>
    <w:tmpl w:val="D96ECC16"/>
    <w:lvl w:ilvl="0" w:tplc="9B464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205B"/>
    <w:multiLevelType w:val="hybridMultilevel"/>
    <w:tmpl w:val="78FA6C3A"/>
    <w:lvl w:ilvl="0" w:tplc="70D045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F161E"/>
    <w:multiLevelType w:val="hybridMultilevel"/>
    <w:tmpl w:val="2A2A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49A"/>
    <w:multiLevelType w:val="hybridMultilevel"/>
    <w:tmpl w:val="8BD297C4"/>
    <w:lvl w:ilvl="0" w:tplc="284075EE">
      <w:start w:val="1"/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12"/>
  </w:num>
  <w:num w:numId="9">
    <w:abstractNumId w:val="10"/>
  </w:num>
  <w:num w:numId="10">
    <w:abstractNumId w:val="4"/>
  </w:num>
  <w:num w:numId="11">
    <w:abstractNumId w:val="19"/>
  </w:num>
  <w:num w:numId="12">
    <w:abstractNumId w:val="14"/>
  </w:num>
  <w:num w:numId="13">
    <w:abstractNumId w:val="20"/>
  </w:num>
  <w:num w:numId="14">
    <w:abstractNumId w:val="11"/>
  </w:num>
  <w:num w:numId="15">
    <w:abstractNumId w:val="16"/>
  </w:num>
  <w:num w:numId="16">
    <w:abstractNumId w:val="8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vt29e98rwwrserd06vxv51z59xfxtvew22&quot;&gt;Endnote Library XPS 2020 04 20&lt;record-ids&gt;&lt;item&gt;2062&lt;/item&gt;&lt;/record-ids&gt;&lt;/item&gt;&lt;/Libraries&gt;"/>
  </w:docVars>
  <w:rsids>
    <w:rsidRoot w:val="00050ECB"/>
    <w:rsid w:val="00002145"/>
    <w:rsid w:val="00011A16"/>
    <w:rsid w:val="00032B4E"/>
    <w:rsid w:val="000363D8"/>
    <w:rsid w:val="00041158"/>
    <w:rsid w:val="00041655"/>
    <w:rsid w:val="00042CBD"/>
    <w:rsid w:val="00042D04"/>
    <w:rsid w:val="00050ECB"/>
    <w:rsid w:val="00056F59"/>
    <w:rsid w:val="000677A7"/>
    <w:rsid w:val="00082403"/>
    <w:rsid w:val="00083248"/>
    <w:rsid w:val="00085863"/>
    <w:rsid w:val="00092315"/>
    <w:rsid w:val="000975A5"/>
    <w:rsid w:val="000A1DFA"/>
    <w:rsid w:val="000D110D"/>
    <w:rsid w:val="000D2675"/>
    <w:rsid w:val="000D6B91"/>
    <w:rsid w:val="000E1152"/>
    <w:rsid w:val="000E18B2"/>
    <w:rsid w:val="000E3B64"/>
    <w:rsid w:val="000E4DA7"/>
    <w:rsid w:val="000E5FEE"/>
    <w:rsid w:val="000F12CA"/>
    <w:rsid w:val="000F229F"/>
    <w:rsid w:val="000F6798"/>
    <w:rsid w:val="001058C3"/>
    <w:rsid w:val="00120C95"/>
    <w:rsid w:val="0012483A"/>
    <w:rsid w:val="0013075B"/>
    <w:rsid w:val="0013100E"/>
    <w:rsid w:val="00137DA5"/>
    <w:rsid w:val="00145E9C"/>
    <w:rsid w:val="00146B10"/>
    <w:rsid w:val="0014762A"/>
    <w:rsid w:val="00153A80"/>
    <w:rsid w:val="00155FC8"/>
    <w:rsid w:val="0015649E"/>
    <w:rsid w:val="0016025B"/>
    <w:rsid w:val="00160B6C"/>
    <w:rsid w:val="00160F5F"/>
    <w:rsid w:val="00160F98"/>
    <w:rsid w:val="00171DE8"/>
    <w:rsid w:val="00172A4C"/>
    <w:rsid w:val="00175AC1"/>
    <w:rsid w:val="00177383"/>
    <w:rsid w:val="00180011"/>
    <w:rsid w:val="00180573"/>
    <w:rsid w:val="00183D51"/>
    <w:rsid w:val="00185CA0"/>
    <w:rsid w:val="00187DF9"/>
    <w:rsid w:val="001958AF"/>
    <w:rsid w:val="00195EDA"/>
    <w:rsid w:val="001A366E"/>
    <w:rsid w:val="001B0AC6"/>
    <w:rsid w:val="001B1C72"/>
    <w:rsid w:val="001B353E"/>
    <w:rsid w:val="001B6325"/>
    <w:rsid w:val="001C0312"/>
    <w:rsid w:val="001C071A"/>
    <w:rsid w:val="001C2CD3"/>
    <w:rsid w:val="001C6371"/>
    <w:rsid w:val="001D1326"/>
    <w:rsid w:val="001D23BC"/>
    <w:rsid w:val="001D2E47"/>
    <w:rsid w:val="001D3994"/>
    <w:rsid w:val="001D3D0B"/>
    <w:rsid w:val="001D5D45"/>
    <w:rsid w:val="001E009C"/>
    <w:rsid w:val="001E3521"/>
    <w:rsid w:val="001E3D2F"/>
    <w:rsid w:val="001E5CCF"/>
    <w:rsid w:val="001F0884"/>
    <w:rsid w:val="001F0C59"/>
    <w:rsid w:val="001F2FB1"/>
    <w:rsid w:val="001F3A02"/>
    <w:rsid w:val="00202451"/>
    <w:rsid w:val="002037C9"/>
    <w:rsid w:val="00223315"/>
    <w:rsid w:val="002276BA"/>
    <w:rsid w:val="0023434B"/>
    <w:rsid w:val="002376FD"/>
    <w:rsid w:val="002429C1"/>
    <w:rsid w:val="0024523E"/>
    <w:rsid w:val="00254657"/>
    <w:rsid w:val="002551E5"/>
    <w:rsid w:val="00256163"/>
    <w:rsid w:val="00257B73"/>
    <w:rsid w:val="00265695"/>
    <w:rsid w:val="00273BBD"/>
    <w:rsid w:val="00286870"/>
    <w:rsid w:val="002868F3"/>
    <w:rsid w:val="00294521"/>
    <w:rsid w:val="002949A7"/>
    <w:rsid w:val="002A5565"/>
    <w:rsid w:val="002B4532"/>
    <w:rsid w:val="002C1E5E"/>
    <w:rsid w:val="002C1E6A"/>
    <w:rsid w:val="002C3B02"/>
    <w:rsid w:val="002C44D5"/>
    <w:rsid w:val="002C5E84"/>
    <w:rsid w:val="002D6214"/>
    <w:rsid w:val="002E27E9"/>
    <w:rsid w:val="002E484A"/>
    <w:rsid w:val="002E7386"/>
    <w:rsid w:val="002F41A0"/>
    <w:rsid w:val="002F7B38"/>
    <w:rsid w:val="00300BD7"/>
    <w:rsid w:val="00311C0B"/>
    <w:rsid w:val="00313F8A"/>
    <w:rsid w:val="00316959"/>
    <w:rsid w:val="0032053C"/>
    <w:rsid w:val="003237FB"/>
    <w:rsid w:val="00341D47"/>
    <w:rsid w:val="00346600"/>
    <w:rsid w:val="003620EF"/>
    <w:rsid w:val="0036279D"/>
    <w:rsid w:val="00367DE7"/>
    <w:rsid w:val="00373322"/>
    <w:rsid w:val="0037426D"/>
    <w:rsid w:val="00376A39"/>
    <w:rsid w:val="00383FF2"/>
    <w:rsid w:val="00391BD2"/>
    <w:rsid w:val="00393EA1"/>
    <w:rsid w:val="003965D9"/>
    <w:rsid w:val="003B47A9"/>
    <w:rsid w:val="003B5265"/>
    <w:rsid w:val="003B6C1E"/>
    <w:rsid w:val="003B7E04"/>
    <w:rsid w:val="003D3E7E"/>
    <w:rsid w:val="003D5E10"/>
    <w:rsid w:val="003E153D"/>
    <w:rsid w:val="003E195B"/>
    <w:rsid w:val="003E2BC1"/>
    <w:rsid w:val="003E4EE4"/>
    <w:rsid w:val="003F1DF7"/>
    <w:rsid w:val="003F3BDA"/>
    <w:rsid w:val="003F7FF4"/>
    <w:rsid w:val="00401154"/>
    <w:rsid w:val="0040289A"/>
    <w:rsid w:val="00403E2F"/>
    <w:rsid w:val="004055D6"/>
    <w:rsid w:val="004115F4"/>
    <w:rsid w:val="00414BB8"/>
    <w:rsid w:val="004213DF"/>
    <w:rsid w:val="004235D9"/>
    <w:rsid w:val="0042598F"/>
    <w:rsid w:val="00441221"/>
    <w:rsid w:val="00443BEA"/>
    <w:rsid w:val="00451D8C"/>
    <w:rsid w:val="00454EE0"/>
    <w:rsid w:val="00456F00"/>
    <w:rsid w:val="00460CC5"/>
    <w:rsid w:val="0046225D"/>
    <w:rsid w:val="00465643"/>
    <w:rsid w:val="00471811"/>
    <w:rsid w:val="00472BB4"/>
    <w:rsid w:val="00473343"/>
    <w:rsid w:val="00474F62"/>
    <w:rsid w:val="00477D8C"/>
    <w:rsid w:val="00477FB4"/>
    <w:rsid w:val="00482A36"/>
    <w:rsid w:val="004868BD"/>
    <w:rsid w:val="004951DA"/>
    <w:rsid w:val="004A028F"/>
    <w:rsid w:val="004A1AE1"/>
    <w:rsid w:val="004B5690"/>
    <w:rsid w:val="004B655A"/>
    <w:rsid w:val="004B77B9"/>
    <w:rsid w:val="004C0010"/>
    <w:rsid w:val="004D4B32"/>
    <w:rsid w:val="004D4F72"/>
    <w:rsid w:val="004D52C3"/>
    <w:rsid w:val="004E5185"/>
    <w:rsid w:val="004F0618"/>
    <w:rsid w:val="004F33D2"/>
    <w:rsid w:val="00520E6B"/>
    <w:rsid w:val="00525FE1"/>
    <w:rsid w:val="00530E8E"/>
    <w:rsid w:val="005331B7"/>
    <w:rsid w:val="00535BFB"/>
    <w:rsid w:val="0053716B"/>
    <w:rsid w:val="00540282"/>
    <w:rsid w:val="00540EA8"/>
    <w:rsid w:val="00541AB8"/>
    <w:rsid w:val="005432C8"/>
    <w:rsid w:val="005437A0"/>
    <w:rsid w:val="005457BE"/>
    <w:rsid w:val="005467E6"/>
    <w:rsid w:val="0055097A"/>
    <w:rsid w:val="005515B0"/>
    <w:rsid w:val="0055439D"/>
    <w:rsid w:val="00556A13"/>
    <w:rsid w:val="0056227E"/>
    <w:rsid w:val="00564D09"/>
    <w:rsid w:val="0057278A"/>
    <w:rsid w:val="00573017"/>
    <w:rsid w:val="00583F06"/>
    <w:rsid w:val="00584816"/>
    <w:rsid w:val="00587276"/>
    <w:rsid w:val="00592C28"/>
    <w:rsid w:val="005971DB"/>
    <w:rsid w:val="005A08D0"/>
    <w:rsid w:val="005A4EFC"/>
    <w:rsid w:val="005A6E0F"/>
    <w:rsid w:val="005B2B18"/>
    <w:rsid w:val="005B70B2"/>
    <w:rsid w:val="005C1D38"/>
    <w:rsid w:val="005C2353"/>
    <w:rsid w:val="005C4BC8"/>
    <w:rsid w:val="005C5FDF"/>
    <w:rsid w:val="005C637B"/>
    <w:rsid w:val="005D560A"/>
    <w:rsid w:val="005D7084"/>
    <w:rsid w:val="005E1AC2"/>
    <w:rsid w:val="005E7DED"/>
    <w:rsid w:val="005F05B2"/>
    <w:rsid w:val="005F0716"/>
    <w:rsid w:val="005F3EC1"/>
    <w:rsid w:val="0060582C"/>
    <w:rsid w:val="00614BC4"/>
    <w:rsid w:val="00615147"/>
    <w:rsid w:val="00617A34"/>
    <w:rsid w:val="0063185E"/>
    <w:rsid w:val="00634BD3"/>
    <w:rsid w:val="00637547"/>
    <w:rsid w:val="006376AB"/>
    <w:rsid w:val="00642664"/>
    <w:rsid w:val="006508B2"/>
    <w:rsid w:val="00657686"/>
    <w:rsid w:val="0066286E"/>
    <w:rsid w:val="00663E5C"/>
    <w:rsid w:val="00664E79"/>
    <w:rsid w:val="006669E3"/>
    <w:rsid w:val="00666EC5"/>
    <w:rsid w:val="006770D1"/>
    <w:rsid w:val="006823B4"/>
    <w:rsid w:val="00685CA8"/>
    <w:rsid w:val="006972B9"/>
    <w:rsid w:val="006A152F"/>
    <w:rsid w:val="006A2EDF"/>
    <w:rsid w:val="006B397B"/>
    <w:rsid w:val="006B7678"/>
    <w:rsid w:val="006C2A0C"/>
    <w:rsid w:val="006C2B20"/>
    <w:rsid w:val="006C3C61"/>
    <w:rsid w:val="006D71B8"/>
    <w:rsid w:val="006E15F3"/>
    <w:rsid w:val="006E69C3"/>
    <w:rsid w:val="006F2DE5"/>
    <w:rsid w:val="006F2E4A"/>
    <w:rsid w:val="006F3ECE"/>
    <w:rsid w:val="00700F45"/>
    <w:rsid w:val="00706105"/>
    <w:rsid w:val="007102AA"/>
    <w:rsid w:val="007103E8"/>
    <w:rsid w:val="0071152F"/>
    <w:rsid w:val="00711A37"/>
    <w:rsid w:val="0072073B"/>
    <w:rsid w:val="00720ED1"/>
    <w:rsid w:val="007279AC"/>
    <w:rsid w:val="00727E36"/>
    <w:rsid w:val="00733B11"/>
    <w:rsid w:val="00751411"/>
    <w:rsid w:val="00757605"/>
    <w:rsid w:val="00770A49"/>
    <w:rsid w:val="00771891"/>
    <w:rsid w:val="007762C3"/>
    <w:rsid w:val="007868AB"/>
    <w:rsid w:val="007A2500"/>
    <w:rsid w:val="007A788F"/>
    <w:rsid w:val="007B729C"/>
    <w:rsid w:val="007B7CF2"/>
    <w:rsid w:val="007B7D75"/>
    <w:rsid w:val="007C3175"/>
    <w:rsid w:val="007D0A3F"/>
    <w:rsid w:val="007D62AA"/>
    <w:rsid w:val="007F3F3C"/>
    <w:rsid w:val="007F4236"/>
    <w:rsid w:val="007F6BC4"/>
    <w:rsid w:val="007F72E2"/>
    <w:rsid w:val="0081116B"/>
    <w:rsid w:val="00812238"/>
    <w:rsid w:val="00816009"/>
    <w:rsid w:val="008345EC"/>
    <w:rsid w:val="00841647"/>
    <w:rsid w:val="0085070D"/>
    <w:rsid w:val="008605D6"/>
    <w:rsid w:val="0086398B"/>
    <w:rsid w:val="00866412"/>
    <w:rsid w:val="00870E8F"/>
    <w:rsid w:val="00870EFD"/>
    <w:rsid w:val="0087192B"/>
    <w:rsid w:val="00873EBB"/>
    <w:rsid w:val="00876E09"/>
    <w:rsid w:val="00894E27"/>
    <w:rsid w:val="008961DC"/>
    <w:rsid w:val="008B03FA"/>
    <w:rsid w:val="008C3549"/>
    <w:rsid w:val="008C51C9"/>
    <w:rsid w:val="008C633E"/>
    <w:rsid w:val="008D0AFB"/>
    <w:rsid w:val="008E0EE6"/>
    <w:rsid w:val="008E56BF"/>
    <w:rsid w:val="008F1061"/>
    <w:rsid w:val="009018A6"/>
    <w:rsid w:val="009041AB"/>
    <w:rsid w:val="0091219F"/>
    <w:rsid w:val="00912D25"/>
    <w:rsid w:val="00914A87"/>
    <w:rsid w:val="00915640"/>
    <w:rsid w:val="00917721"/>
    <w:rsid w:val="009216AB"/>
    <w:rsid w:val="00921EB1"/>
    <w:rsid w:val="00925D71"/>
    <w:rsid w:val="00934586"/>
    <w:rsid w:val="00937BB8"/>
    <w:rsid w:val="00946ED5"/>
    <w:rsid w:val="00964159"/>
    <w:rsid w:val="009647C5"/>
    <w:rsid w:val="0097017C"/>
    <w:rsid w:val="00974E2A"/>
    <w:rsid w:val="00975F09"/>
    <w:rsid w:val="00976E0D"/>
    <w:rsid w:val="00981B41"/>
    <w:rsid w:val="00984C4A"/>
    <w:rsid w:val="00991FF0"/>
    <w:rsid w:val="00996C63"/>
    <w:rsid w:val="009A0915"/>
    <w:rsid w:val="009A22DC"/>
    <w:rsid w:val="009A26E6"/>
    <w:rsid w:val="009A4B5B"/>
    <w:rsid w:val="009B14A4"/>
    <w:rsid w:val="009B1CD5"/>
    <w:rsid w:val="009B385B"/>
    <w:rsid w:val="009B409C"/>
    <w:rsid w:val="009B461E"/>
    <w:rsid w:val="009B69B4"/>
    <w:rsid w:val="009C334E"/>
    <w:rsid w:val="009C427B"/>
    <w:rsid w:val="009C6E9E"/>
    <w:rsid w:val="009D2DE7"/>
    <w:rsid w:val="009E2D42"/>
    <w:rsid w:val="009E43A5"/>
    <w:rsid w:val="009E7ADC"/>
    <w:rsid w:val="00A0050A"/>
    <w:rsid w:val="00A03891"/>
    <w:rsid w:val="00A068A6"/>
    <w:rsid w:val="00A070A3"/>
    <w:rsid w:val="00A1460D"/>
    <w:rsid w:val="00A1520A"/>
    <w:rsid w:val="00A15B42"/>
    <w:rsid w:val="00A167A3"/>
    <w:rsid w:val="00A20F16"/>
    <w:rsid w:val="00A216AC"/>
    <w:rsid w:val="00A246D5"/>
    <w:rsid w:val="00A25EF7"/>
    <w:rsid w:val="00A307BC"/>
    <w:rsid w:val="00A33CEF"/>
    <w:rsid w:val="00A33E9B"/>
    <w:rsid w:val="00A43B51"/>
    <w:rsid w:val="00A623BB"/>
    <w:rsid w:val="00A71F2D"/>
    <w:rsid w:val="00AA495E"/>
    <w:rsid w:val="00AA49E5"/>
    <w:rsid w:val="00AB476C"/>
    <w:rsid w:val="00AC3A5A"/>
    <w:rsid w:val="00AD0BD7"/>
    <w:rsid w:val="00AD2CAE"/>
    <w:rsid w:val="00AD5099"/>
    <w:rsid w:val="00AD6A39"/>
    <w:rsid w:val="00AD7F34"/>
    <w:rsid w:val="00AE3E1D"/>
    <w:rsid w:val="00AE7C8F"/>
    <w:rsid w:val="00AF17A9"/>
    <w:rsid w:val="00AF2265"/>
    <w:rsid w:val="00AF5075"/>
    <w:rsid w:val="00AF6378"/>
    <w:rsid w:val="00AF710C"/>
    <w:rsid w:val="00B056FF"/>
    <w:rsid w:val="00B12D7B"/>
    <w:rsid w:val="00B131BC"/>
    <w:rsid w:val="00B15E0D"/>
    <w:rsid w:val="00B215D8"/>
    <w:rsid w:val="00B25406"/>
    <w:rsid w:val="00B27D36"/>
    <w:rsid w:val="00B42A9D"/>
    <w:rsid w:val="00B47829"/>
    <w:rsid w:val="00B503D7"/>
    <w:rsid w:val="00B5191F"/>
    <w:rsid w:val="00B5338E"/>
    <w:rsid w:val="00B53799"/>
    <w:rsid w:val="00B54B7C"/>
    <w:rsid w:val="00B63612"/>
    <w:rsid w:val="00B649CE"/>
    <w:rsid w:val="00B65BDE"/>
    <w:rsid w:val="00B729A9"/>
    <w:rsid w:val="00B74C12"/>
    <w:rsid w:val="00B75498"/>
    <w:rsid w:val="00B87954"/>
    <w:rsid w:val="00B93AFD"/>
    <w:rsid w:val="00B96908"/>
    <w:rsid w:val="00BA148E"/>
    <w:rsid w:val="00BA1EDD"/>
    <w:rsid w:val="00BC1D0A"/>
    <w:rsid w:val="00BC2B87"/>
    <w:rsid w:val="00BC472C"/>
    <w:rsid w:val="00BC7427"/>
    <w:rsid w:val="00BD1F99"/>
    <w:rsid w:val="00BD4218"/>
    <w:rsid w:val="00BD63D7"/>
    <w:rsid w:val="00BE144B"/>
    <w:rsid w:val="00BE49B1"/>
    <w:rsid w:val="00BF7DDB"/>
    <w:rsid w:val="00C1514B"/>
    <w:rsid w:val="00C15DF3"/>
    <w:rsid w:val="00C2022A"/>
    <w:rsid w:val="00C2798E"/>
    <w:rsid w:val="00C30531"/>
    <w:rsid w:val="00C31CBB"/>
    <w:rsid w:val="00C34A15"/>
    <w:rsid w:val="00C35796"/>
    <w:rsid w:val="00C36237"/>
    <w:rsid w:val="00C36733"/>
    <w:rsid w:val="00C3724B"/>
    <w:rsid w:val="00C412EC"/>
    <w:rsid w:val="00C41EB5"/>
    <w:rsid w:val="00C44BCB"/>
    <w:rsid w:val="00C50091"/>
    <w:rsid w:val="00C5094C"/>
    <w:rsid w:val="00C55434"/>
    <w:rsid w:val="00C62E39"/>
    <w:rsid w:val="00C65BC9"/>
    <w:rsid w:val="00C70DE2"/>
    <w:rsid w:val="00C72054"/>
    <w:rsid w:val="00C730E9"/>
    <w:rsid w:val="00C74754"/>
    <w:rsid w:val="00C76710"/>
    <w:rsid w:val="00C7783B"/>
    <w:rsid w:val="00C800D4"/>
    <w:rsid w:val="00C809CF"/>
    <w:rsid w:val="00C86209"/>
    <w:rsid w:val="00C868D5"/>
    <w:rsid w:val="00C94A16"/>
    <w:rsid w:val="00C96A10"/>
    <w:rsid w:val="00CA05A7"/>
    <w:rsid w:val="00CA4312"/>
    <w:rsid w:val="00CA665F"/>
    <w:rsid w:val="00CA675F"/>
    <w:rsid w:val="00CB02FB"/>
    <w:rsid w:val="00CB0759"/>
    <w:rsid w:val="00CB1FCA"/>
    <w:rsid w:val="00CB624D"/>
    <w:rsid w:val="00CC2D73"/>
    <w:rsid w:val="00CD007B"/>
    <w:rsid w:val="00CE131C"/>
    <w:rsid w:val="00CE53FA"/>
    <w:rsid w:val="00CF34A9"/>
    <w:rsid w:val="00D01B3E"/>
    <w:rsid w:val="00D06468"/>
    <w:rsid w:val="00D169F2"/>
    <w:rsid w:val="00D20D29"/>
    <w:rsid w:val="00D26342"/>
    <w:rsid w:val="00D27DD1"/>
    <w:rsid w:val="00D27EB5"/>
    <w:rsid w:val="00D33F9A"/>
    <w:rsid w:val="00D35050"/>
    <w:rsid w:val="00D3720D"/>
    <w:rsid w:val="00D4357F"/>
    <w:rsid w:val="00D51239"/>
    <w:rsid w:val="00D5210A"/>
    <w:rsid w:val="00D52F21"/>
    <w:rsid w:val="00D556A3"/>
    <w:rsid w:val="00D57DBB"/>
    <w:rsid w:val="00D60175"/>
    <w:rsid w:val="00D61947"/>
    <w:rsid w:val="00D63581"/>
    <w:rsid w:val="00D74513"/>
    <w:rsid w:val="00D76F97"/>
    <w:rsid w:val="00D84190"/>
    <w:rsid w:val="00D902DA"/>
    <w:rsid w:val="00DA63E5"/>
    <w:rsid w:val="00DB1CF2"/>
    <w:rsid w:val="00DB2151"/>
    <w:rsid w:val="00DB4AA0"/>
    <w:rsid w:val="00DC3178"/>
    <w:rsid w:val="00DC6490"/>
    <w:rsid w:val="00DD23B7"/>
    <w:rsid w:val="00DD2546"/>
    <w:rsid w:val="00DE2012"/>
    <w:rsid w:val="00DF0848"/>
    <w:rsid w:val="00DF1F31"/>
    <w:rsid w:val="00DF2CF2"/>
    <w:rsid w:val="00DF33CD"/>
    <w:rsid w:val="00DF3CCF"/>
    <w:rsid w:val="00E0425B"/>
    <w:rsid w:val="00E07A8F"/>
    <w:rsid w:val="00E168DA"/>
    <w:rsid w:val="00E17EF9"/>
    <w:rsid w:val="00E21221"/>
    <w:rsid w:val="00E23AD7"/>
    <w:rsid w:val="00E270FD"/>
    <w:rsid w:val="00E34CB8"/>
    <w:rsid w:val="00E37BDF"/>
    <w:rsid w:val="00E418FA"/>
    <w:rsid w:val="00E43EF8"/>
    <w:rsid w:val="00E45A13"/>
    <w:rsid w:val="00E51705"/>
    <w:rsid w:val="00E51E83"/>
    <w:rsid w:val="00E542D2"/>
    <w:rsid w:val="00E61435"/>
    <w:rsid w:val="00E63DF1"/>
    <w:rsid w:val="00E63E4D"/>
    <w:rsid w:val="00E6402E"/>
    <w:rsid w:val="00E64718"/>
    <w:rsid w:val="00E767D7"/>
    <w:rsid w:val="00E813ED"/>
    <w:rsid w:val="00E82885"/>
    <w:rsid w:val="00E83A14"/>
    <w:rsid w:val="00E90E15"/>
    <w:rsid w:val="00E91BDB"/>
    <w:rsid w:val="00E94CC6"/>
    <w:rsid w:val="00E966F8"/>
    <w:rsid w:val="00EA0F85"/>
    <w:rsid w:val="00EA2930"/>
    <w:rsid w:val="00EA3C3E"/>
    <w:rsid w:val="00EA4F81"/>
    <w:rsid w:val="00EC0BC6"/>
    <w:rsid w:val="00EC190D"/>
    <w:rsid w:val="00EC2F3A"/>
    <w:rsid w:val="00EC47E5"/>
    <w:rsid w:val="00EC4E08"/>
    <w:rsid w:val="00EC74D7"/>
    <w:rsid w:val="00EC7A62"/>
    <w:rsid w:val="00EC7B91"/>
    <w:rsid w:val="00ED2EA8"/>
    <w:rsid w:val="00ED5216"/>
    <w:rsid w:val="00EE13AA"/>
    <w:rsid w:val="00EE73F0"/>
    <w:rsid w:val="00EF6679"/>
    <w:rsid w:val="00EF6725"/>
    <w:rsid w:val="00EF67EE"/>
    <w:rsid w:val="00F013B3"/>
    <w:rsid w:val="00F047AA"/>
    <w:rsid w:val="00F0536E"/>
    <w:rsid w:val="00F10F3D"/>
    <w:rsid w:val="00F11F89"/>
    <w:rsid w:val="00F121DF"/>
    <w:rsid w:val="00F12750"/>
    <w:rsid w:val="00F15510"/>
    <w:rsid w:val="00F17F58"/>
    <w:rsid w:val="00F3018A"/>
    <w:rsid w:val="00F339F6"/>
    <w:rsid w:val="00F46A63"/>
    <w:rsid w:val="00F46AA9"/>
    <w:rsid w:val="00F500C0"/>
    <w:rsid w:val="00F57E2A"/>
    <w:rsid w:val="00F61947"/>
    <w:rsid w:val="00F65629"/>
    <w:rsid w:val="00F65631"/>
    <w:rsid w:val="00F660E9"/>
    <w:rsid w:val="00F6780A"/>
    <w:rsid w:val="00F70836"/>
    <w:rsid w:val="00F71CB6"/>
    <w:rsid w:val="00F71D5E"/>
    <w:rsid w:val="00F75794"/>
    <w:rsid w:val="00F76534"/>
    <w:rsid w:val="00F826C1"/>
    <w:rsid w:val="00F8785B"/>
    <w:rsid w:val="00F93233"/>
    <w:rsid w:val="00F9559E"/>
    <w:rsid w:val="00F978D4"/>
    <w:rsid w:val="00FA310D"/>
    <w:rsid w:val="00FA4D7D"/>
    <w:rsid w:val="00FA782B"/>
    <w:rsid w:val="00FB3B76"/>
    <w:rsid w:val="00FB3B9B"/>
    <w:rsid w:val="00FC22DA"/>
    <w:rsid w:val="00FC2380"/>
    <w:rsid w:val="00FC4BF9"/>
    <w:rsid w:val="00FD1D24"/>
    <w:rsid w:val="00FD30DF"/>
    <w:rsid w:val="00FD5EBC"/>
    <w:rsid w:val="00FD7D32"/>
    <w:rsid w:val="00FE2819"/>
    <w:rsid w:val="00FE3D1C"/>
    <w:rsid w:val="00FE64CF"/>
    <w:rsid w:val="00FE6B10"/>
    <w:rsid w:val="00FF5F1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649C"/>
  <w15:docId w15:val="{1D272915-7BE7-4165-9F28-7D78A4B1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96"/>
    <w:rPr>
      <w:rFonts w:ascii="Segoe UI" w:hAnsi="Segoe UI" w:cs="Segoe UI"/>
      <w:sz w:val="18"/>
      <w:szCs w:val="18"/>
    </w:rPr>
  </w:style>
  <w:style w:type="table" w:customStyle="1" w:styleId="GridTable1Light-Accent61">
    <w:name w:val="Grid Table 1 Light - Accent 61"/>
    <w:basedOn w:val="TableNormal"/>
    <w:uiPriority w:val="46"/>
    <w:rsid w:val="00EC4E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C4E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15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9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4A1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7451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451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451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4513"/>
    <w:rPr>
      <w:rFonts w:ascii="Calibri" w:hAnsi="Calibri" w:cs="Calibri"/>
      <w:noProof/>
    </w:rPr>
  </w:style>
  <w:style w:type="table" w:styleId="GridTable6Colorful-Accent3">
    <w:name w:val="Grid Table 6 Colorful Accent 3"/>
    <w:basedOn w:val="TableNormal"/>
    <w:uiPriority w:val="51"/>
    <w:rsid w:val="009E43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2367AE689248AFFD0091572BDB88" ma:contentTypeVersion="13" ma:contentTypeDescription="Create a new document." ma:contentTypeScope="" ma:versionID="da9abe7ee0a95e30d65ac766ed6cf09d">
  <xsd:schema xmlns:xsd="http://www.w3.org/2001/XMLSchema" xmlns:xs="http://www.w3.org/2001/XMLSchema" xmlns:p="http://schemas.microsoft.com/office/2006/metadata/properties" xmlns:ns3="521c2605-8e35-4fbe-8dc2-4112a269f1c5" xmlns:ns4="c5d47b74-024e-4158-89e7-7860ce05c586" targetNamespace="http://schemas.microsoft.com/office/2006/metadata/properties" ma:root="true" ma:fieldsID="bbb70082c942f75f0f7831081d078baf" ns3:_="" ns4:_="">
    <xsd:import namespace="521c2605-8e35-4fbe-8dc2-4112a269f1c5"/>
    <xsd:import namespace="c5d47b74-024e-4158-89e7-7860ce05c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2605-8e35-4fbe-8dc2-4112a269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7b74-024e-4158-89e7-7860ce05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810E1-4C26-430B-BB3D-1105E6EE9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C293D-CCC9-44B4-A2AF-038D2A68B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2D19-3F15-4673-8AD1-FF3B3C2FB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F1468-A03C-45D0-8E02-04E3324F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c2605-8e35-4fbe-8dc2-4112a269f1c5"/>
    <ds:schemaRef ds:uri="c5d47b74-024e-4158-89e7-7860ce05c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Phillips</dc:creator>
  <cp:keywords/>
  <dc:description/>
  <cp:lastModifiedBy>Patrick</cp:lastModifiedBy>
  <cp:revision>3</cp:revision>
  <dcterms:created xsi:type="dcterms:W3CDTF">2020-08-24T20:08:00Z</dcterms:created>
  <dcterms:modified xsi:type="dcterms:W3CDTF">2020-08-24T20:55:00Z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0x0101001BE52367AE689248AFFD0091572BDB88</vt:lpwstr>
  </property>
</Properties>
</file>