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F6A" w14:textId="3800AAD1" w:rsidR="00107906" w:rsidRDefault="00C632D1" w:rsidP="0061150B">
      <w:pPr>
        <w:pStyle w:val="Appendixtitle"/>
      </w:pPr>
      <w:r>
        <w:t>Additional file</w:t>
      </w:r>
      <w:bookmarkStart w:id="0" w:name="_GoBack"/>
      <w:bookmarkEnd w:id="0"/>
      <w:r w:rsidR="003B23F9">
        <w:t xml:space="preserve"> 2</w:t>
      </w:r>
    </w:p>
    <w:p w14:paraId="31BA486A" w14:textId="77777777" w:rsidR="003B23F9" w:rsidRDefault="003B23F9" w:rsidP="00107906">
      <w:pPr>
        <w:pStyle w:val="Appendixtitle"/>
        <w:rPr>
          <w:b w:val="0"/>
          <w:bCs/>
          <w:szCs w:val="32"/>
        </w:rPr>
      </w:pPr>
      <w:r w:rsidRPr="000C3B91">
        <w:rPr>
          <w:b w:val="0"/>
          <w:bCs/>
          <w:szCs w:val="32"/>
        </w:rPr>
        <w:t>Reindeer husbandry</w:t>
      </w:r>
    </w:p>
    <w:p w14:paraId="5278DB5B" w14:textId="77777777" w:rsidR="000C3B91" w:rsidRDefault="000C3B91" w:rsidP="00E86E6B">
      <w:pPr>
        <w:pStyle w:val="Appendixtext"/>
      </w:pPr>
    </w:p>
    <w:p w14:paraId="5745666A" w14:textId="6BEAD723" w:rsidR="00577092" w:rsidRDefault="00577092" w:rsidP="00577092">
      <w:pPr>
        <w:pStyle w:val="Appendixsubtitle1"/>
      </w:pPr>
      <w:r>
        <w:t>Statistical analyses</w:t>
      </w:r>
    </w:p>
    <w:p w14:paraId="2B4C4BD5" w14:textId="77777777" w:rsidR="0070219C" w:rsidRDefault="0070219C" w:rsidP="0070219C">
      <w:pPr>
        <w:pStyle w:val="Appendixtext"/>
      </w:pPr>
    </w:p>
    <w:p w14:paraId="1C76C973" w14:textId="5CCA35BC" w:rsidR="00577092" w:rsidRDefault="00577092" w:rsidP="00577092">
      <w:pPr>
        <w:pStyle w:val="Appendixcaption"/>
      </w:pPr>
      <w:r>
        <w:rPr>
          <w:b/>
        </w:rPr>
        <w:t>Table A2.</w:t>
      </w:r>
      <w:r w:rsidR="0082564A">
        <w:rPr>
          <w:b/>
        </w:rPr>
        <w:t>1</w:t>
      </w:r>
      <w:r w:rsidRPr="005A2603">
        <w:t xml:space="preserve">. Model performance of two regression models aimed to test the presence of temporal trends in number of harvested reindeer </w:t>
      </w:r>
      <w:r>
        <w:t>(Fig. 3</w:t>
      </w:r>
      <w:r w:rsidRPr="005A2603">
        <w:t>, main manuscript).</w:t>
      </w:r>
    </w:p>
    <w:tbl>
      <w:tblPr>
        <w:tblStyle w:val="TableGrid"/>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1151"/>
        <w:gridCol w:w="1701"/>
        <w:gridCol w:w="567"/>
        <w:gridCol w:w="876"/>
        <w:gridCol w:w="921"/>
        <w:gridCol w:w="639"/>
      </w:tblGrid>
      <w:tr w:rsidR="00577092" w:rsidRPr="009739BA" w14:paraId="0E5DA907" w14:textId="77777777" w:rsidTr="00735572">
        <w:trPr>
          <w:trHeight w:val="315"/>
        </w:trPr>
        <w:tc>
          <w:tcPr>
            <w:tcW w:w="3102" w:type="dxa"/>
            <w:tcBorders>
              <w:top w:val="double" w:sz="12" w:space="0" w:color="auto"/>
              <w:bottom w:val="single" w:sz="12" w:space="0" w:color="auto"/>
            </w:tcBorders>
            <w:noWrap/>
            <w:vAlign w:val="center"/>
            <w:hideMark/>
          </w:tcPr>
          <w:p w14:paraId="141B0B8F" w14:textId="77777777" w:rsidR="00577092" w:rsidRPr="009739BA" w:rsidRDefault="00577092" w:rsidP="00735572">
            <w:pPr>
              <w:pStyle w:val="Appendixtableheader"/>
              <w:rPr>
                <w:rFonts w:ascii="Times New Roman" w:hAnsi="Times New Roman" w:cs="Times New Roman"/>
              </w:rPr>
            </w:pPr>
            <w:r w:rsidRPr="009739BA">
              <w:rPr>
                <w:rFonts w:ascii="Times New Roman" w:hAnsi="Times New Roman" w:cs="Times New Roman"/>
              </w:rPr>
              <w:t>Focus variable</w:t>
            </w:r>
          </w:p>
        </w:tc>
        <w:tc>
          <w:tcPr>
            <w:tcW w:w="1151" w:type="dxa"/>
            <w:tcBorders>
              <w:top w:val="double" w:sz="12" w:space="0" w:color="auto"/>
              <w:bottom w:val="single" w:sz="12" w:space="0" w:color="auto"/>
            </w:tcBorders>
            <w:noWrap/>
            <w:vAlign w:val="center"/>
            <w:hideMark/>
          </w:tcPr>
          <w:p w14:paraId="6C972B10" w14:textId="77777777" w:rsidR="00577092" w:rsidRPr="009739BA" w:rsidRDefault="00577092" w:rsidP="00735572">
            <w:pPr>
              <w:pStyle w:val="Appendixtableheader"/>
              <w:rPr>
                <w:rFonts w:ascii="Times New Roman" w:hAnsi="Times New Roman" w:cs="Times New Roman"/>
              </w:rPr>
            </w:pPr>
            <w:r w:rsidRPr="009739BA">
              <w:rPr>
                <w:rFonts w:ascii="Times New Roman" w:hAnsi="Times New Roman" w:cs="Times New Roman"/>
              </w:rPr>
              <w:t xml:space="preserve">Model </w:t>
            </w:r>
            <w:r w:rsidRPr="009739BA">
              <w:rPr>
                <w:rFonts w:ascii="Times New Roman" w:hAnsi="Times New Roman" w:cs="Times New Roman"/>
                <w:vertAlign w:val="superscript"/>
              </w:rPr>
              <w:t>a</w:t>
            </w:r>
          </w:p>
        </w:tc>
        <w:tc>
          <w:tcPr>
            <w:tcW w:w="1701" w:type="dxa"/>
            <w:tcBorders>
              <w:top w:val="double" w:sz="12" w:space="0" w:color="auto"/>
              <w:bottom w:val="single" w:sz="12" w:space="0" w:color="auto"/>
            </w:tcBorders>
            <w:noWrap/>
            <w:vAlign w:val="center"/>
            <w:hideMark/>
          </w:tcPr>
          <w:p w14:paraId="7E5BF4E7" w14:textId="77777777" w:rsidR="00577092" w:rsidRPr="009739BA" w:rsidRDefault="00577092" w:rsidP="00735572">
            <w:pPr>
              <w:pStyle w:val="Appendixtableheader"/>
              <w:rPr>
                <w:rFonts w:ascii="Times New Roman" w:hAnsi="Times New Roman" w:cs="Times New Roman"/>
              </w:rPr>
            </w:pPr>
            <w:r w:rsidRPr="009739BA">
              <w:rPr>
                <w:rFonts w:ascii="Times New Roman" w:hAnsi="Times New Roman" w:cs="Times New Roman"/>
              </w:rPr>
              <w:t xml:space="preserve">Correlation </w:t>
            </w:r>
            <w:r w:rsidRPr="009739BA">
              <w:rPr>
                <w:rFonts w:ascii="Times New Roman" w:hAnsi="Times New Roman" w:cs="Times New Roman"/>
                <w:vertAlign w:val="superscript"/>
              </w:rPr>
              <w:t>b</w:t>
            </w:r>
          </w:p>
        </w:tc>
        <w:tc>
          <w:tcPr>
            <w:tcW w:w="567" w:type="dxa"/>
            <w:tcBorders>
              <w:top w:val="double" w:sz="12" w:space="0" w:color="auto"/>
              <w:bottom w:val="single" w:sz="12" w:space="0" w:color="auto"/>
            </w:tcBorders>
            <w:noWrap/>
            <w:vAlign w:val="center"/>
            <w:hideMark/>
          </w:tcPr>
          <w:p w14:paraId="28CF37EF" w14:textId="77777777" w:rsidR="00577092" w:rsidRPr="009739BA" w:rsidRDefault="00577092" w:rsidP="00735572">
            <w:pPr>
              <w:pStyle w:val="Appendixtableheader"/>
              <w:rPr>
                <w:rFonts w:ascii="Times New Roman" w:hAnsi="Times New Roman" w:cs="Times New Roman"/>
              </w:rPr>
            </w:pPr>
            <w:r w:rsidRPr="009739BA">
              <w:rPr>
                <w:rFonts w:ascii="Times New Roman" w:hAnsi="Times New Roman" w:cs="Times New Roman"/>
              </w:rPr>
              <w:t>df</w:t>
            </w:r>
          </w:p>
        </w:tc>
        <w:tc>
          <w:tcPr>
            <w:tcW w:w="876" w:type="dxa"/>
            <w:tcBorders>
              <w:top w:val="double" w:sz="12" w:space="0" w:color="auto"/>
              <w:bottom w:val="single" w:sz="12" w:space="0" w:color="auto"/>
            </w:tcBorders>
            <w:noWrap/>
            <w:vAlign w:val="center"/>
            <w:hideMark/>
          </w:tcPr>
          <w:p w14:paraId="30A18299" w14:textId="77777777" w:rsidR="00577092" w:rsidRPr="009739BA" w:rsidRDefault="00577092" w:rsidP="00735572">
            <w:pPr>
              <w:pStyle w:val="Appendixtableheader"/>
              <w:rPr>
                <w:rFonts w:ascii="Times New Roman" w:hAnsi="Times New Roman" w:cs="Times New Roman"/>
              </w:rPr>
            </w:pPr>
            <w:r w:rsidRPr="009739BA">
              <w:rPr>
                <w:rFonts w:ascii="Times New Roman" w:hAnsi="Times New Roman" w:cs="Times New Roman"/>
              </w:rPr>
              <w:t>AIC</w:t>
            </w:r>
          </w:p>
        </w:tc>
        <w:tc>
          <w:tcPr>
            <w:tcW w:w="921" w:type="dxa"/>
            <w:tcBorders>
              <w:top w:val="double" w:sz="12" w:space="0" w:color="auto"/>
              <w:bottom w:val="single" w:sz="12" w:space="0" w:color="auto"/>
            </w:tcBorders>
            <w:noWrap/>
            <w:vAlign w:val="center"/>
            <w:hideMark/>
          </w:tcPr>
          <w:p w14:paraId="3F1BF8F4" w14:textId="77777777" w:rsidR="00577092" w:rsidRPr="009739BA" w:rsidRDefault="00577092" w:rsidP="00735572">
            <w:pPr>
              <w:pStyle w:val="Appendixtableheader"/>
              <w:rPr>
                <w:rFonts w:ascii="Times New Roman" w:hAnsi="Times New Roman" w:cs="Times New Roman"/>
              </w:rPr>
            </w:pPr>
            <w:r w:rsidRPr="009739BA">
              <w:rPr>
                <w:rFonts w:ascii="Times New Roman" w:hAnsi="Times New Roman" w:cs="Times New Roman"/>
              </w:rPr>
              <w:t>Δ AIC</w:t>
            </w:r>
          </w:p>
        </w:tc>
        <w:tc>
          <w:tcPr>
            <w:tcW w:w="639" w:type="dxa"/>
            <w:tcBorders>
              <w:top w:val="double" w:sz="12" w:space="0" w:color="auto"/>
              <w:bottom w:val="single" w:sz="12" w:space="0" w:color="auto"/>
            </w:tcBorders>
            <w:noWrap/>
            <w:vAlign w:val="center"/>
            <w:hideMark/>
          </w:tcPr>
          <w:p w14:paraId="2F2A8C85" w14:textId="77777777" w:rsidR="00577092" w:rsidRPr="009739BA" w:rsidRDefault="00577092" w:rsidP="00735572">
            <w:pPr>
              <w:pStyle w:val="Appendixtableheader"/>
              <w:rPr>
                <w:rFonts w:ascii="Times New Roman" w:hAnsi="Times New Roman" w:cs="Times New Roman"/>
              </w:rPr>
            </w:pPr>
            <w:proofErr w:type="spellStart"/>
            <w:r w:rsidRPr="009739BA">
              <w:rPr>
                <w:rFonts w:ascii="Times New Roman" w:hAnsi="Times New Roman" w:cs="Times New Roman"/>
              </w:rPr>
              <w:t>w</w:t>
            </w:r>
            <w:r w:rsidRPr="009739BA">
              <w:rPr>
                <w:rFonts w:ascii="Times New Roman" w:hAnsi="Times New Roman" w:cs="Times New Roman"/>
                <w:vertAlign w:val="subscript"/>
              </w:rPr>
              <w:t>i</w:t>
            </w:r>
            <w:proofErr w:type="spellEnd"/>
          </w:p>
        </w:tc>
      </w:tr>
      <w:tr w:rsidR="00577092" w:rsidRPr="009739BA" w14:paraId="0B8B0977" w14:textId="77777777" w:rsidTr="00735572">
        <w:trPr>
          <w:trHeight w:val="300"/>
        </w:trPr>
        <w:tc>
          <w:tcPr>
            <w:tcW w:w="3102" w:type="dxa"/>
            <w:tcBorders>
              <w:top w:val="single" w:sz="12" w:space="0" w:color="auto"/>
            </w:tcBorders>
            <w:noWrap/>
            <w:vAlign w:val="center"/>
            <w:hideMark/>
          </w:tcPr>
          <w:p w14:paraId="3A2A3BCC"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Number of harvested reindeer</w:t>
            </w:r>
          </w:p>
        </w:tc>
        <w:tc>
          <w:tcPr>
            <w:tcW w:w="1151" w:type="dxa"/>
            <w:tcBorders>
              <w:top w:val="single" w:sz="12" w:space="0" w:color="auto"/>
            </w:tcBorders>
            <w:noWrap/>
            <w:vAlign w:val="center"/>
            <w:hideMark/>
          </w:tcPr>
          <w:p w14:paraId="0144DB2D"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GLS</w:t>
            </w:r>
          </w:p>
        </w:tc>
        <w:tc>
          <w:tcPr>
            <w:tcW w:w="1701" w:type="dxa"/>
            <w:tcBorders>
              <w:top w:val="single" w:sz="12" w:space="0" w:color="auto"/>
            </w:tcBorders>
            <w:noWrap/>
            <w:vAlign w:val="center"/>
            <w:hideMark/>
          </w:tcPr>
          <w:p w14:paraId="49990D90"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w:t>
            </w:r>
          </w:p>
        </w:tc>
        <w:tc>
          <w:tcPr>
            <w:tcW w:w="567" w:type="dxa"/>
            <w:tcBorders>
              <w:top w:val="single" w:sz="12" w:space="0" w:color="auto"/>
            </w:tcBorders>
            <w:noWrap/>
            <w:vAlign w:val="center"/>
            <w:hideMark/>
          </w:tcPr>
          <w:p w14:paraId="0FAA1A58"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4</w:t>
            </w:r>
          </w:p>
        </w:tc>
        <w:tc>
          <w:tcPr>
            <w:tcW w:w="876" w:type="dxa"/>
            <w:tcBorders>
              <w:top w:val="single" w:sz="12" w:space="0" w:color="auto"/>
            </w:tcBorders>
            <w:noWrap/>
            <w:vAlign w:val="center"/>
            <w:hideMark/>
          </w:tcPr>
          <w:p w14:paraId="0BC1566C"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803.46</w:t>
            </w:r>
          </w:p>
        </w:tc>
        <w:tc>
          <w:tcPr>
            <w:tcW w:w="921" w:type="dxa"/>
            <w:tcBorders>
              <w:top w:val="single" w:sz="12" w:space="0" w:color="auto"/>
            </w:tcBorders>
            <w:noWrap/>
            <w:vAlign w:val="center"/>
            <w:hideMark/>
          </w:tcPr>
          <w:p w14:paraId="131D2668"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0.00</w:t>
            </w:r>
          </w:p>
        </w:tc>
        <w:tc>
          <w:tcPr>
            <w:tcW w:w="639" w:type="dxa"/>
            <w:tcBorders>
              <w:top w:val="single" w:sz="12" w:space="0" w:color="auto"/>
            </w:tcBorders>
            <w:noWrap/>
            <w:vAlign w:val="center"/>
            <w:hideMark/>
          </w:tcPr>
          <w:p w14:paraId="60572DF5"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1.00</w:t>
            </w:r>
          </w:p>
        </w:tc>
      </w:tr>
      <w:tr w:rsidR="00577092" w:rsidRPr="009739BA" w14:paraId="51F7FE3A" w14:textId="77777777" w:rsidTr="00735572">
        <w:trPr>
          <w:trHeight w:val="300"/>
        </w:trPr>
        <w:tc>
          <w:tcPr>
            <w:tcW w:w="3102" w:type="dxa"/>
            <w:tcBorders>
              <w:bottom w:val="single" w:sz="12" w:space="0" w:color="auto"/>
            </w:tcBorders>
            <w:noWrap/>
            <w:vAlign w:val="center"/>
            <w:hideMark/>
          </w:tcPr>
          <w:p w14:paraId="6FF6DE90" w14:textId="77777777" w:rsidR="00577092" w:rsidRPr="009739BA" w:rsidRDefault="00577092" w:rsidP="00735572">
            <w:pPr>
              <w:pStyle w:val="Appendixtablecontent"/>
              <w:rPr>
                <w:rFonts w:ascii="Times New Roman" w:hAnsi="Times New Roman" w:cs="Times New Roman"/>
              </w:rPr>
            </w:pPr>
          </w:p>
        </w:tc>
        <w:tc>
          <w:tcPr>
            <w:tcW w:w="1151" w:type="dxa"/>
            <w:tcBorders>
              <w:bottom w:val="single" w:sz="12" w:space="0" w:color="auto"/>
            </w:tcBorders>
            <w:noWrap/>
            <w:vAlign w:val="center"/>
            <w:hideMark/>
          </w:tcPr>
          <w:p w14:paraId="6CC52D53"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linear</w:t>
            </w:r>
          </w:p>
        </w:tc>
        <w:tc>
          <w:tcPr>
            <w:tcW w:w="1701" w:type="dxa"/>
            <w:tcBorders>
              <w:bottom w:val="single" w:sz="12" w:space="0" w:color="auto"/>
            </w:tcBorders>
            <w:noWrap/>
            <w:vAlign w:val="center"/>
            <w:hideMark/>
          </w:tcPr>
          <w:p w14:paraId="6368C276" w14:textId="77777777" w:rsidR="00577092" w:rsidRPr="009739BA" w:rsidRDefault="00577092" w:rsidP="00735572">
            <w:pPr>
              <w:pStyle w:val="Appendixtablecontent"/>
              <w:rPr>
                <w:rFonts w:ascii="Times New Roman" w:hAnsi="Times New Roman" w:cs="Times New Roman"/>
              </w:rPr>
            </w:pPr>
          </w:p>
        </w:tc>
        <w:tc>
          <w:tcPr>
            <w:tcW w:w="567" w:type="dxa"/>
            <w:tcBorders>
              <w:bottom w:val="single" w:sz="12" w:space="0" w:color="auto"/>
            </w:tcBorders>
            <w:noWrap/>
            <w:vAlign w:val="center"/>
            <w:hideMark/>
          </w:tcPr>
          <w:p w14:paraId="44F905B4"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3</w:t>
            </w:r>
          </w:p>
        </w:tc>
        <w:tc>
          <w:tcPr>
            <w:tcW w:w="876" w:type="dxa"/>
            <w:tcBorders>
              <w:bottom w:val="single" w:sz="12" w:space="0" w:color="auto"/>
            </w:tcBorders>
            <w:noWrap/>
            <w:vAlign w:val="center"/>
            <w:hideMark/>
          </w:tcPr>
          <w:p w14:paraId="205CA641"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856.17</w:t>
            </w:r>
          </w:p>
        </w:tc>
        <w:tc>
          <w:tcPr>
            <w:tcW w:w="921" w:type="dxa"/>
            <w:tcBorders>
              <w:bottom w:val="single" w:sz="12" w:space="0" w:color="auto"/>
            </w:tcBorders>
            <w:noWrap/>
            <w:vAlign w:val="center"/>
            <w:hideMark/>
          </w:tcPr>
          <w:p w14:paraId="1D62D99E"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52.71</w:t>
            </w:r>
          </w:p>
        </w:tc>
        <w:tc>
          <w:tcPr>
            <w:tcW w:w="639" w:type="dxa"/>
            <w:tcBorders>
              <w:bottom w:val="single" w:sz="12" w:space="0" w:color="auto"/>
            </w:tcBorders>
            <w:noWrap/>
            <w:vAlign w:val="center"/>
            <w:hideMark/>
          </w:tcPr>
          <w:p w14:paraId="7443393E" w14:textId="77777777" w:rsidR="00577092" w:rsidRPr="009739BA" w:rsidRDefault="00577092" w:rsidP="00735572">
            <w:pPr>
              <w:pStyle w:val="Appendixtablecontent"/>
              <w:rPr>
                <w:rFonts w:ascii="Times New Roman" w:hAnsi="Times New Roman" w:cs="Times New Roman"/>
              </w:rPr>
            </w:pPr>
            <w:r w:rsidRPr="009739BA">
              <w:rPr>
                <w:rFonts w:ascii="Times New Roman" w:hAnsi="Times New Roman" w:cs="Times New Roman"/>
              </w:rPr>
              <w:t>0.00</w:t>
            </w:r>
          </w:p>
        </w:tc>
      </w:tr>
    </w:tbl>
    <w:p w14:paraId="31E0D6E8" w14:textId="77777777" w:rsidR="00577092" w:rsidRPr="009739BA" w:rsidRDefault="00577092" w:rsidP="00577092">
      <w:pPr>
        <w:pStyle w:val="Appendixtablenote"/>
        <w:rPr>
          <w:lang w:val="en-US"/>
        </w:rPr>
      </w:pPr>
      <w:proofErr w:type="gramStart"/>
      <w:r w:rsidRPr="009739BA">
        <w:rPr>
          <w:vertAlign w:val="superscript"/>
          <w:lang w:val="en-US"/>
        </w:rPr>
        <w:t>a</w:t>
      </w:r>
      <w:proofErr w:type="gramEnd"/>
      <w:r w:rsidRPr="009739BA">
        <w:rPr>
          <w:lang w:val="en-US"/>
        </w:rPr>
        <w:t xml:space="preserve"> GLS = Generalized Least Squares model. Year was the predictor variable in all models.</w:t>
      </w:r>
    </w:p>
    <w:p w14:paraId="19A141F9" w14:textId="77777777" w:rsidR="00577092" w:rsidRPr="009739BA" w:rsidRDefault="00577092" w:rsidP="00577092">
      <w:pPr>
        <w:pStyle w:val="Appendixtablenote"/>
        <w:rPr>
          <w:lang w:val="en-US"/>
        </w:rPr>
      </w:pPr>
      <w:proofErr w:type="gramStart"/>
      <w:r w:rsidRPr="009739BA">
        <w:rPr>
          <w:vertAlign w:val="superscript"/>
          <w:lang w:val="en-US"/>
        </w:rPr>
        <w:t>b</w:t>
      </w:r>
      <w:proofErr w:type="gramEnd"/>
      <w:r w:rsidRPr="009739BA">
        <w:rPr>
          <w:lang w:val="en-US"/>
        </w:rPr>
        <w:t xml:space="preserve"> AR1 temporal autocorrelation structure</w:t>
      </w:r>
    </w:p>
    <w:p w14:paraId="5A6CB011" w14:textId="77777777" w:rsidR="00577092" w:rsidRPr="009739BA" w:rsidRDefault="00577092" w:rsidP="00577092">
      <w:pPr>
        <w:pStyle w:val="Appendixtablenote"/>
        <w:rPr>
          <w:lang w:val="en-US"/>
        </w:rPr>
      </w:pPr>
      <w:r w:rsidRPr="009739BA">
        <w:rPr>
          <w:lang w:val="en-US"/>
        </w:rPr>
        <w:t xml:space="preserve">NOTES:  </w:t>
      </w:r>
      <w:proofErr w:type="gramStart"/>
      <w:r w:rsidRPr="009739BA">
        <w:rPr>
          <w:lang w:val="en-US"/>
        </w:rPr>
        <w:t>df</w:t>
      </w:r>
      <w:proofErr w:type="gramEnd"/>
      <w:r w:rsidRPr="009739BA">
        <w:rPr>
          <w:lang w:val="en-US"/>
        </w:rPr>
        <w:t xml:space="preserve"> = degrees of freedom. AIC = Akaike Information Criterion; Δ AIC = difference in AIC compared to the best-fit model; </w:t>
      </w:r>
      <w:proofErr w:type="spellStart"/>
      <w:proofErr w:type="gramStart"/>
      <w:r w:rsidRPr="009739BA">
        <w:rPr>
          <w:lang w:val="en-US"/>
        </w:rPr>
        <w:t>wi</w:t>
      </w:r>
      <w:proofErr w:type="spellEnd"/>
      <w:proofErr w:type="gramEnd"/>
      <w:r w:rsidRPr="009739BA">
        <w:rPr>
          <w:lang w:val="en-US"/>
        </w:rPr>
        <w:t xml:space="preserve"> = </w:t>
      </w:r>
      <w:proofErr w:type="spellStart"/>
      <w:r w:rsidRPr="009739BA">
        <w:rPr>
          <w:lang w:val="en-US"/>
        </w:rPr>
        <w:t>Akaike</w:t>
      </w:r>
      <w:proofErr w:type="spellEnd"/>
      <w:r w:rsidRPr="009739BA">
        <w:rPr>
          <w:lang w:val="en-US"/>
        </w:rPr>
        <w:t xml:space="preserve"> weights.</w:t>
      </w:r>
    </w:p>
    <w:p w14:paraId="16AB6860" w14:textId="77777777" w:rsidR="00577092" w:rsidRPr="00102B16" w:rsidRDefault="00577092" w:rsidP="00577092">
      <w:pPr>
        <w:pStyle w:val="Appendixtext"/>
      </w:pPr>
      <w:r w:rsidRPr="00102B16">
        <w:br w:type="page"/>
      </w:r>
    </w:p>
    <w:p w14:paraId="01840B87" w14:textId="77777777" w:rsidR="003B23F9" w:rsidRDefault="002E46DD" w:rsidP="00E86E6B">
      <w:pPr>
        <w:pStyle w:val="Appendixsubtitle1"/>
      </w:pPr>
      <w:r>
        <w:lastRenderedPageBreak/>
        <w:t>H</w:t>
      </w:r>
      <w:r w:rsidR="003B23F9">
        <w:t>erd structure</w:t>
      </w:r>
    </w:p>
    <w:p w14:paraId="3A84A102" w14:textId="77777777" w:rsidR="000C3B91" w:rsidRDefault="000C3B91" w:rsidP="00E86E6B">
      <w:pPr>
        <w:pStyle w:val="Appendixtext"/>
      </w:pPr>
    </w:p>
    <w:p w14:paraId="0D21A18C" w14:textId="10A8B2DA" w:rsidR="003B23F9" w:rsidRPr="007D4381" w:rsidRDefault="0070219C" w:rsidP="007D4381">
      <w:pPr>
        <w:pStyle w:val="Appendixcaption"/>
      </w:pPr>
      <w:r>
        <w:rPr>
          <w:b/>
        </w:rPr>
        <w:t>Table A2.2</w:t>
      </w:r>
      <w:r w:rsidR="003B23F9" w:rsidRPr="007D4381">
        <w:rPr>
          <w:b/>
        </w:rPr>
        <w:t xml:space="preserve">. </w:t>
      </w:r>
      <w:r w:rsidR="003B23F9" w:rsidRPr="007D4381">
        <w:t>Reindeer herd structure (females &gt;1 year, males &gt;1 year and calves) in different regions of the reindeer husbandry area in Sweden during three periods</w:t>
      </w:r>
      <w:r w:rsidR="00661351">
        <w:t>:</w:t>
      </w:r>
      <w:r w:rsidR="003B23F9" w:rsidRPr="007D4381">
        <w:t xml:space="preserve"> 1950-1964, 1995-2005</w:t>
      </w:r>
      <w:r w:rsidR="00661351">
        <w:t>,</w:t>
      </w:r>
      <w:r w:rsidR="003B23F9" w:rsidRPr="007D4381">
        <w:t xml:space="preserve"> and 2006-2015. Mountain herding districts (currently 15 in Norrbotten, 6 in Västerbotten and 12 in </w:t>
      </w:r>
      <w:proofErr w:type="spellStart"/>
      <w:r w:rsidR="003B23F9" w:rsidRPr="007D4381">
        <w:t>Jämtland</w:t>
      </w:r>
      <w:proofErr w:type="spellEnd"/>
      <w:r w:rsidR="003B23F9" w:rsidRPr="007D4381">
        <w:t>) are those where the reindeer use summer pastures in the mountains, while reindeer in the forest districts (currently 10) graze in the forest area year around. The concession area (currently 8 herding districts) represents a form of reindeer husbandry practiced in Norrbotten, close to the Finnish border</w:t>
      </w:r>
    </w:p>
    <w:tbl>
      <w:tblPr>
        <w:tblW w:w="9260" w:type="dxa"/>
        <w:tblCellMar>
          <w:left w:w="70" w:type="dxa"/>
          <w:right w:w="70" w:type="dxa"/>
        </w:tblCellMar>
        <w:tblLook w:val="04A0" w:firstRow="1" w:lastRow="0" w:firstColumn="1" w:lastColumn="0" w:noHBand="0" w:noVBand="1"/>
      </w:tblPr>
      <w:tblGrid>
        <w:gridCol w:w="1880"/>
        <w:gridCol w:w="820"/>
        <w:gridCol w:w="820"/>
        <w:gridCol w:w="820"/>
        <w:gridCol w:w="820"/>
        <w:gridCol w:w="820"/>
        <w:gridCol w:w="820"/>
        <w:gridCol w:w="820"/>
        <w:gridCol w:w="820"/>
        <w:gridCol w:w="820"/>
      </w:tblGrid>
      <w:tr w:rsidR="003B23F9" w:rsidRPr="000B1AB2" w14:paraId="1463CFC6" w14:textId="77777777" w:rsidTr="00BD1E2C">
        <w:trPr>
          <w:trHeight w:val="420"/>
        </w:trPr>
        <w:tc>
          <w:tcPr>
            <w:tcW w:w="1880" w:type="dxa"/>
            <w:tcBorders>
              <w:top w:val="double" w:sz="12" w:space="0" w:color="auto"/>
              <w:left w:val="nil"/>
              <w:bottom w:val="single" w:sz="12" w:space="0" w:color="auto"/>
              <w:right w:val="nil"/>
            </w:tcBorders>
            <w:shd w:val="clear" w:color="auto" w:fill="auto"/>
            <w:vAlign w:val="center"/>
            <w:hideMark/>
          </w:tcPr>
          <w:p w14:paraId="5E3F26D7" w14:textId="77777777" w:rsidR="003B23F9" w:rsidRPr="000B1AB2" w:rsidRDefault="003B23F9" w:rsidP="00BD1E2C">
            <w:pPr>
              <w:pStyle w:val="Appendixtableheader"/>
            </w:pPr>
            <w:r w:rsidRPr="000B1AB2">
              <w:t> </w:t>
            </w:r>
          </w:p>
        </w:tc>
        <w:tc>
          <w:tcPr>
            <w:tcW w:w="2460" w:type="dxa"/>
            <w:gridSpan w:val="3"/>
            <w:tcBorders>
              <w:top w:val="double" w:sz="12" w:space="0" w:color="auto"/>
              <w:left w:val="nil"/>
              <w:bottom w:val="single" w:sz="12" w:space="0" w:color="auto"/>
              <w:right w:val="single" w:sz="4" w:space="0" w:color="auto"/>
            </w:tcBorders>
            <w:shd w:val="clear" w:color="auto" w:fill="auto"/>
            <w:noWrap/>
            <w:vAlign w:val="center"/>
            <w:hideMark/>
          </w:tcPr>
          <w:p w14:paraId="37C1DBAD" w14:textId="77777777" w:rsidR="003B23F9" w:rsidRPr="000B1AB2" w:rsidRDefault="003B23F9" w:rsidP="00BD1E2C">
            <w:pPr>
              <w:pStyle w:val="Appendixtableheader"/>
            </w:pPr>
            <w:r w:rsidRPr="000B1AB2">
              <w:t>Females</w:t>
            </w:r>
          </w:p>
        </w:tc>
        <w:tc>
          <w:tcPr>
            <w:tcW w:w="2460" w:type="dxa"/>
            <w:gridSpan w:val="3"/>
            <w:tcBorders>
              <w:top w:val="double" w:sz="12" w:space="0" w:color="auto"/>
              <w:left w:val="nil"/>
              <w:bottom w:val="single" w:sz="12" w:space="0" w:color="auto"/>
              <w:right w:val="single" w:sz="4" w:space="0" w:color="auto"/>
            </w:tcBorders>
            <w:shd w:val="clear" w:color="auto" w:fill="auto"/>
            <w:noWrap/>
            <w:vAlign w:val="center"/>
            <w:hideMark/>
          </w:tcPr>
          <w:p w14:paraId="23153FF6" w14:textId="77777777" w:rsidR="003B23F9" w:rsidRPr="000B1AB2" w:rsidRDefault="003B23F9" w:rsidP="00BD1E2C">
            <w:pPr>
              <w:pStyle w:val="Appendixtableheader"/>
            </w:pPr>
            <w:r w:rsidRPr="000B1AB2">
              <w:t>Males</w:t>
            </w:r>
          </w:p>
        </w:tc>
        <w:tc>
          <w:tcPr>
            <w:tcW w:w="2460" w:type="dxa"/>
            <w:gridSpan w:val="3"/>
            <w:tcBorders>
              <w:top w:val="double" w:sz="12" w:space="0" w:color="auto"/>
              <w:left w:val="nil"/>
              <w:bottom w:val="single" w:sz="12" w:space="0" w:color="auto"/>
              <w:right w:val="nil"/>
            </w:tcBorders>
            <w:shd w:val="clear" w:color="auto" w:fill="auto"/>
            <w:noWrap/>
            <w:vAlign w:val="center"/>
            <w:hideMark/>
          </w:tcPr>
          <w:p w14:paraId="0143781E" w14:textId="77777777" w:rsidR="003B23F9" w:rsidRPr="000B1AB2" w:rsidRDefault="003B23F9" w:rsidP="00BD1E2C">
            <w:pPr>
              <w:pStyle w:val="Appendixtableheader"/>
            </w:pPr>
            <w:r w:rsidRPr="000B1AB2">
              <w:t>Calves</w:t>
            </w:r>
          </w:p>
        </w:tc>
      </w:tr>
      <w:tr w:rsidR="003B23F9" w:rsidRPr="000B1AB2" w14:paraId="79E56018" w14:textId="77777777" w:rsidTr="00D733F3">
        <w:trPr>
          <w:trHeight w:val="560"/>
        </w:trPr>
        <w:tc>
          <w:tcPr>
            <w:tcW w:w="1880" w:type="dxa"/>
            <w:tcBorders>
              <w:top w:val="single" w:sz="12" w:space="0" w:color="auto"/>
              <w:left w:val="nil"/>
              <w:bottom w:val="single" w:sz="8" w:space="0" w:color="auto"/>
              <w:right w:val="nil"/>
            </w:tcBorders>
            <w:shd w:val="clear" w:color="auto" w:fill="auto"/>
            <w:vAlign w:val="center"/>
            <w:hideMark/>
          </w:tcPr>
          <w:p w14:paraId="54268D3C" w14:textId="77777777" w:rsidR="003B23F9" w:rsidRPr="000B1AB2" w:rsidRDefault="003B23F9" w:rsidP="00BD1E2C">
            <w:pPr>
              <w:pStyle w:val="Appendixtableheader"/>
            </w:pPr>
            <w:r w:rsidRPr="000B1AB2">
              <w:t>Region</w:t>
            </w:r>
          </w:p>
        </w:tc>
        <w:tc>
          <w:tcPr>
            <w:tcW w:w="820" w:type="dxa"/>
            <w:tcBorders>
              <w:top w:val="single" w:sz="12" w:space="0" w:color="auto"/>
              <w:left w:val="nil"/>
              <w:bottom w:val="single" w:sz="8" w:space="0" w:color="auto"/>
              <w:right w:val="nil"/>
            </w:tcBorders>
            <w:shd w:val="clear" w:color="auto" w:fill="auto"/>
            <w:vAlign w:val="center"/>
            <w:hideMark/>
          </w:tcPr>
          <w:p w14:paraId="660525E0" w14:textId="77777777" w:rsidR="003B23F9" w:rsidRPr="000B1AB2" w:rsidRDefault="003B23F9" w:rsidP="00BD1E2C">
            <w:pPr>
              <w:pStyle w:val="Appendixtableheader"/>
            </w:pPr>
            <w:r w:rsidRPr="000B1AB2">
              <w:t>1950-1964</w:t>
            </w:r>
            <w:r w:rsidRPr="000B1AB2">
              <w:rPr>
                <w:vertAlign w:val="superscript"/>
              </w:rPr>
              <w:t>a</w:t>
            </w:r>
          </w:p>
        </w:tc>
        <w:tc>
          <w:tcPr>
            <w:tcW w:w="820" w:type="dxa"/>
            <w:tcBorders>
              <w:top w:val="single" w:sz="12" w:space="0" w:color="auto"/>
              <w:left w:val="nil"/>
              <w:bottom w:val="single" w:sz="8" w:space="0" w:color="auto"/>
              <w:right w:val="nil"/>
            </w:tcBorders>
            <w:shd w:val="clear" w:color="auto" w:fill="auto"/>
            <w:vAlign w:val="center"/>
            <w:hideMark/>
          </w:tcPr>
          <w:p w14:paraId="6E8AFA42" w14:textId="77777777" w:rsidR="003B23F9" w:rsidRPr="000B1AB2" w:rsidRDefault="003B23F9" w:rsidP="00BD1E2C">
            <w:pPr>
              <w:pStyle w:val="Appendixtableheader"/>
            </w:pPr>
            <w:r w:rsidRPr="000B1AB2">
              <w:t>1995-2005</w:t>
            </w:r>
            <w:r w:rsidRPr="000B1AB2">
              <w:rPr>
                <w:vertAlign w:val="superscript"/>
              </w:rPr>
              <w:t>b</w:t>
            </w:r>
          </w:p>
        </w:tc>
        <w:tc>
          <w:tcPr>
            <w:tcW w:w="820" w:type="dxa"/>
            <w:tcBorders>
              <w:top w:val="single" w:sz="12" w:space="0" w:color="auto"/>
              <w:left w:val="nil"/>
              <w:bottom w:val="single" w:sz="8" w:space="0" w:color="auto"/>
              <w:right w:val="single" w:sz="4" w:space="0" w:color="auto"/>
            </w:tcBorders>
            <w:shd w:val="clear" w:color="auto" w:fill="auto"/>
            <w:vAlign w:val="center"/>
            <w:hideMark/>
          </w:tcPr>
          <w:p w14:paraId="64AFA7CA" w14:textId="77777777" w:rsidR="003B23F9" w:rsidRPr="000B1AB2" w:rsidRDefault="003B23F9" w:rsidP="00BD1E2C">
            <w:pPr>
              <w:pStyle w:val="Appendixtableheader"/>
            </w:pPr>
            <w:r w:rsidRPr="000B1AB2">
              <w:t>2006-2015</w:t>
            </w:r>
            <w:r w:rsidRPr="000B1AB2">
              <w:rPr>
                <w:vertAlign w:val="superscript"/>
              </w:rPr>
              <w:t>b</w:t>
            </w:r>
          </w:p>
        </w:tc>
        <w:tc>
          <w:tcPr>
            <w:tcW w:w="820" w:type="dxa"/>
            <w:tcBorders>
              <w:top w:val="single" w:sz="12" w:space="0" w:color="auto"/>
              <w:left w:val="nil"/>
              <w:bottom w:val="single" w:sz="8" w:space="0" w:color="auto"/>
              <w:right w:val="nil"/>
            </w:tcBorders>
            <w:shd w:val="clear" w:color="auto" w:fill="auto"/>
            <w:vAlign w:val="center"/>
            <w:hideMark/>
          </w:tcPr>
          <w:p w14:paraId="41C4ED4A" w14:textId="77777777" w:rsidR="003B23F9" w:rsidRPr="000B1AB2" w:rsidRDefault="003B23F9" w:rsidP="00BD1E2C">
            <w:pPr>
              <w:pStyle w:val="Appendixtableheader"/>
            </w:pPr>
            <w:r w:rsidRPr="000B1AB2">
              <w:t>1950-1964</w:t>
            </w:r>
            <w:r w:rsidRPr="000B1AB2">
              <w:rPr>
                <w:vertAlign w:val="superscript"/>
              </w:rPr>
              <w:t>a</w:t>
            </w:r>
          </w:p>
        </w:tc>
        <w:tc>
          <w:tcPr>
            <w:tcW w:w="820" w:type="dxa"/>
            <w:tcBorders>
              <w:top w:val="single" w:sz="12" w:space="0" w:color="auto"/>
              <w:left w:val="nil"/>
              <w:bottom w:val="single" w:sz="8" w:space="0" w:color="auto"/>
              <w:right w:val="nil"/>
            </w:tcBorders>
            <w:shd w:val="clear" w:color="auto" w:fill="auto"/>
            <w:vAlign w:val="center"/>
            <w:hideMark/>
          </w:tcPr>
          <w:p w14:paraId="3AD001DB" w14:textId="77777777" w:rsidR="003B23F9" w:rsidRPr="000B1AB2" w:rsidRDefault="003B23F9" w:rsidP="00BD1E2C">
            <w:pPr>
              <w:pStyle w:val="Appendixtableheader"/>
            </w:pPr>
            <w:r w:rsidRPr="000B1AB2">
              <w:t>1995-2005</w:t>
            </w:r>
            <w:r w:rsidRPr="000B1AB2">
              <w:rPr>
                <w:vertAlign w:val="superscript"/>
              </w:rPr>
              <w:t>b</w:t>
            </w:r>
          </w:p>
        </w:tc>
        <w:tc>
          <w:tcPr>
            <w:tcW w:w="820" w:type="dxa"/>
            <w:tcBorders>
              <w:top w:val="single" w:sz="12" w:space="0" w:color="auto"/>
              <w:left w:val="nil"/>
              <w:bottom w:val="single" w:sz="8" w:space="0" w:color="auto"/>
              <w:right w:val="single" w:sz="4" w:space="0" w:color="auto"/>
            </w:tcBorders>
            <w:shd w:val="clear" w:color="auto" w:fill="auto"/>
            <w:vAlign w:val="center"/>
            <w:hideMark/>
          </w:tcPr>
          <w:p w14:paraId="58E3FD75" w14:textId="77777777" w:rsidR="003B23F9" w:rsidRPr="000B1AB2" w:rsidRDefault="003B23F9" w:rsidP="00BD1E2C">
            <w:pPr>
              <w:pStyle w:val="Appendixtableheader"/>
            </w:pPr>
            <w:r w:rsidRPr="000B1AB2">
              <w:t>2006-2015</w:t>
            </w:r>
            <w:r w:rsidRPr="000B1AB2">
              <w:rPr>
                <w:vertAlign w:val="superscript"/>
              </w:rPr>
              <w:t>b</w:t>
            </w:r>
          </w:p>
        </w:tc>
        <w:tc>
          <w:tcPr>
            <w:tcW w:w="820" w:type="dxa"/>
            <w:tcBorders>
              <w:top w:val="single" w:sz="12" w:space="0" w:color="auto"/>
              <w:left w:val="nil"/>
              <w:bottom w:val="single" w:sz="8" w:space="0" w:color="auto"/>
              <w:right w:val="nil"/>
            </w:tcBorders>
            <w:shd w:val="clear" w:color="auto" w:fill="auto"/>
            <w:vAlign w:val="center"/>
            <w:hideMark/>
          </w:tcPr>
          <w:p w14:paraId="3D7F559C" w14:textId="77777777" w:rsidR="003B23F9" w:rsidRPr="000B1AB2" w:rsidRDefault="003B23F9" w:rsidP="00BD1E2C">
            <w:pPr>
              <w:pStyle w:val="Appendixtableheader"/>
            </w:pPr>
            <w:r w:rsidRPr="000B1AB2">
              <w:t>1950-1964</w:t>
            </w:r>
            <w:r w:rsidRPr="000B1AB2">
              <w:rPr>
                <w:vertAlign w:val="superscript"/>
              </w:rPr>
              <w:t>a</w:t>
            </w:r>
          </w:p>
        </w:tc>
        <w:tc>
          <w:tcPr>
            <w:tcW w:w="820" w:type="dxa"/>
            <w:tcBorders>
              <w:top w:val="single" w:sz="12" w:space="0" w:color="auto"/>
              <w:left w:val="nil"/>
              <w:bottom w:val="single" w:sz="8" w:space="0" w:color="auto"/>
              <w:right w:val="nil"/>
            </w:tcBorders>
            <w:shd w:val="clear" w:color="auto" w:fill="auto"/>
            <w:vAlign w:val="center"/>
            <w:hideMark/>
          </w:tcPr>
          <w:p w14:paraId="59040EEC" w14:textId="77777777" w:rsidR="003B23F9" w:rsidRPr="000B1AB2" w:rsidRDefault="003B23F9" w:rsidP="00BD1E2C">
            <w:pPr>
              <w:pStyle w:val="Appendixtableheader"/>
            </w:pPr>
            <w:r w:rsidRPr="000B1AB2">
              <w:t>1995-2005</w:t>
            </w:r>
            <w:r w:rsidRPr="000B1AB2">
              <w:rPr>
                <w:vertAlign w:val="superscript"/>
              </w:rPr>
              <w:t>b</w:t>
            </w:r>
          </w:p>
        </w:tc>
        <w:tc>
          <w:tcPr>
            <w:tcW w:w="820" w:type="dxa"/>
            <w:tcBorders>
              <w:top w:val="single" w:sz="12" w:space="0" w:color="auto"/>
              <w:left w:val="nil"/>
              <w:bottom w:val="single" w:sz="8" w:space="0" w:color="auto"/>
              <w:right w:val="nil"/>
            </w:tcBorders>
            <w:shd w:val="clear" w:color="auto" w:fill="auto"/>
            <w:vAlign w:val="center"/>
            <w:hideMark/>
          </w:tcPr>
          <w:p w14:paraId="0BBD57FE" w14:textId="77777777" w:rsidR="003B23F9" w:rsidRPr="000B1AB2" w:rsidRDefault="003B23F9" w:rsidP="00BD1E2C">
            <w:pPr>
              <w:pStyle w:val="Appendixtableheader"/>
            </w:pPr>
            <w:r w:rsidRPr="000B1AB2">
              <w:t>2006-2015</w:t>
            </w:r>
            <w:r w:rsidRPr="000B1AB2">
              <w:rPr>
                <w:vertAlign w:val="superscript"/>
              </w:rPr>
              <w:t>b</w:t>
            </w:r>
          </w:p>
        </w:tc>
      </w:tr>
      <w:tr w:rsidR="003B23F9" w:rsidRPr="00DB1598" w14:paraId="4F2EE29C" w14:textId="77777777" w:rsidTr="00D733F3">
        <w:trPr>
          <w:trHeight w:val="560"/>
        </w:trPr>
        <w:tc>
          <w:tcPr>
            <w:tcW w:w="1880" w:type="dxa"/>
            <w:tcBorders>
              <w:top w:val="single" w:sz="8" w:space="0" w:color="auto"/>
              <w:left w:val="nil"/>
              <w:bottom w:val="single" w:sz="8" w:space="0" w:color="auto"/>
              <w:right w:val="nil"/>
            </w:tcBorders>
            <w:shd w:val="clear" w:color="auto" w:fill="auto"/>
            <w:vAlign w:val="center"/>
            <w:hideMark/>
          </w:tcPr>
          <w:p w14:paraId="6FA47B17" w14:textId="77777777" w:rsidR="003B23F9" w:rsidRPr="00DB1598" w:rsidRDefault="003B23F9" w:rsidP="00BD1E2C">
            <w:pPr>
              <w:pStyle w:val="Appendixtablecontent"/>
              <w:jc w:val="left"/>
            </w:pPr>
            <w:r w:rsidRPr="00DB1598">
              <w:t>Norrbotten county, mountain, northern</w:t>
            </w:r>
          </w:p>
        </w:tc>
        <w:tc>
          <w:tcPr>
            <w:tcW w:w="820" w:type="dxa"/>
            <w:tcBorders>
              <w:top w:val="single" w:sz="8" w:space="0" w:color="auto"/>
              <w:left w:val="nil"/>
              <w:bottom w:val="single" w:sz="8" w:space="0" w:color="auto"/>
              <w:right w:val="nil"/>
            </w:tcBorders>
            <w:shd w:val="clear" w:color="auto" w:fill="auto"/>
            <w:noWrap/>
            <w:vAlign w:val="center"/>
            <w:hideMark/>
          </w:tcPr>
          <w:p w14:paraId="141323A9" w14:textId="77777777" w:rsidR="003B23F9" w:rsidRPr="00DB1598" w:rsidRDefault="003B23F9" w:rsidP="00BD1E2C">
            <w:pPr>
              <w:pStyle w:val="Appendixtablecontent"/>
            </w:pPr>
            <w:r w:rsidRPr="00DB1598">
              <w:t>50%</w:t>
            </w:r>
          </w:p>
        </w:tc>
        <w:tc>
          <w:tcPr>
            <w:tcW w:w="820" w:type="dxa"/>
            <w:tcBorders>
              <w:top w:val="single" w:sz="8" w:space="0" w:color="auto"/>
              <w:left w:val="nil"/>
              <w:bottom w:val="single" w:sz="8" w:space="0" w:color="auto"/>
              <w:right w:val="nil"/>
            </w:tcBorders>
            <w:shd w:val="clear" w:color="auto" w:fill="auto"/>
            <w:noWrap/>
            <w:vAlign w:val="center"/>
            <w:hideMark/>
          </w:tcPr>
          <w:p w14:paraId="3D4BB913" w14:textId="77777777" w:rsidR="003B23F9" w:rsidRPr="00DB1598" w:rsidRDefault="003B23F9" w:rsidP="00BD1E2C">
            <w:pPr>
              <w:pStyle w:val="Appendixtablecontent"/>
            </w:pPr>
            <w:r w:rsidRPr="00DB1598">
              <w:t>64%</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1D07EDF6" w14:textId="77777777" w:rsidR="003B23F9" w:rsidRPr="00DB1598" w:rsidRDefault="003B23F9" w:rsidP="00BD1E2C">
            <w:pPr>
              <w:pStyle w:val="Appendixtablecontent"/>
            </w:pPr>
            <w:r w:rsidRPr="00DB1598">
              <w:t>63%</w:t>
            </w:r>
          </w:p>
        </w:tc>
        <w:tc>
          <w:tcPr>
            <w:tcW w:w="820" w:type="dxa"/>
            <w:tcBorders>
              <w:top w:val="single" w:sz="8" w:space="0" w:color="auto"/>
              <w:left w:val="nil"/>
              <w:bottom w:val="single" w:sz="8" w:space="0" w:color="auto"/>
              <w:right w:val="nil"/>
            </w:tcBorders>
            <w:shd w:val="clear" w:color="auto" w:fill="auto"/>
            <w:noWrap/>
            <w:vAlign w:val="center"/>
            <w:hideMark/>
          </w:tcPr>
          <w:p w14:paraId="5440CAF6" w14:textId="77777777" w:rsidR="003B23F9" w:rsidRPr="00DB1598" w:rsidRDefault="003B23F9" w:rsidP="00BD1E2C">
            <w:pPr>
              <w:pStyle w:val="Appendixtablecontent"/>
            </w:pPr>
            <w:r w:rsidRPr="00DB1598">
              <w:t>25%</w:t>
            </w:r>
          </w:p>
        </w:tc>
        <w:tc>
          <w:tcPr>
            <w:tcW w:w="820" w:type="dxa"/>
            <w:tcBorders>
              <w:top w:val="single" w:sz="8" w:space="0" w:color="auto"/>
              <w:left w:val="nil"/>
              <w:bottom w:val="single" w:sz="8" w:space="0" w:color="auto"/>
              <w:right w:val="nil"/>
            </w:tcBorders>
            <w:shd w:val="clear" w:color="auto" w:fill="auto"/>
            <w:noWrap/>
            <w:vAlign w:val="center"/>
            <w:hideMark/>
          </w:tcPr>
          <w:p w14:paraId="54B71BFA" w14:textId="77777777" w:rsidR="003B23F9" w:rsidRPr="00DB1598" w:rsidRDefault="003B23F9" w:rsidP="00BD1E2C">
            <w:pPr>
              <w:pStyle w:val="Appendixtablecontent"/>
            </w:pPr>
            <w:r w:rsidRPr="00DB1598">
              <w:t>11%</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0FB93325" w14:textId="77777777" w:rsidR="003B23F9" w:rsidRPr="00DB1598" w:rsidRDefault="003B23F9" w:rsidP="00BD1E2C">
            <w:pPr>
              <w:pStyle w:val="Appendixtablecontent"/>
            </w:pPr>
            <w:r w:rsidRPr="00DB1598">
              <w:t>9%</w:t>
            </w:r>
          </w:p>
        </w:tc>
        <w:tc>
          <w:tcPr>
            <w:tcW w:w="820" w:type="dxa"/>
            <w:tcBorders>
              <w:top w:val="single" w:sz="8" w:space="0" w:color="auto"/>
              <w:left w:val="nil"/>
              <w:bottom w:val="single" w:sz="8" w:space="0" w:color="auto"/>
              <w:right w:val="nil"/>
            </w:tcBorders>
            <w:shd w:val="clear" w:color="auto" w:fill="auto"/>
            <w:noWrap/>
            <w:vAlign w:val="center"/>
            <w:hideMark/>
          </w:tcPr>
          <w:p w14:paraId="4EEBC671" w14:textId="77777777" w:rsidR="003B23F9" w:rsidRPr="00DB1598" w:rsidRDefault="003B23F9" w:rsidP="00BD1E2C">
            <w:pPr>
              <w:pStyle w:val="Appendixtablecontent"/>
            </w:pPr>
            <w:r w:rsidRPr="00DB1598">
              <w:t>25%</w:t>
            </w:r>
          </w:p>
        </w:tc>
        <w:tc>
          <w:tcPr>
            <w:tcW w:w="820" w:type="dxa"/>
            <w:tcBorders>
              <w:top w:val="single" w:sz="8" w:space="0" w:color="auto"/>
              <w:left w:val="nil"/>
              <w:bottom w:val="single" w:sz="8" w:space="0" w:color="auto"/>
              <w:right w:val="nil"/>
            </w:tcBorders>
            <w:shd w:val="clear" w:color="auto" w:fill="auto"/>
            <w:noWrap/>
            <w:vAlign w:val="center"/>
            <w:hideMark/>
          </w:tcPr>
          <w:p w14:paraId="4628B923" w14:textId="77777777" w:rsidR="003B23F9" w:rsidRPr="00DB1598" w:rsidRDefault="003B23F9" w:rsidP="00BD1E2C">
            <w:pPr>
              <w:pStyle w:val="Appendixtablecontent"/>
            </w:pPr>
            <w:r w:rsidRPr="00DB1598">
              <w:t>25%</w:t>
            </w:r>
          </w:p>
        </w:tc>
        <w:tc>
          <w:tcPr>
            <w:tcW w:w="820" w:type="dxa"/>
            <w:tcBorders>
              <w:top w:val="single" w:sz="8" w:space="0" w:color="auto"/>
              <w:left w:val="nil"/>
              <w:bottom w:val="single" w:sz="8" w:space="0" w:color="auto"/>
              <w:right w:val="nil"/>
            </w:tcBorders>
            <w:shd w:val="clear" w:color="auto" w:fill="auto"/>
            <w:noWrap/>
            <w:vAlign w:val="center"/>
            <w:hideMark/>
          </w:tcPr>
          <w:p w14:paraId="2353569F" w14:textId="77777777" w:rsidR="003B23F9" w:rsidRPr="00DB1598" w:rsidRDefault="003B23F9" w:rsidP="00BD1E2C">
            <w:pPr>
              <w:pStyle w:val="Appendixtablecontent"/>
            </w:pPr>
            <w:r w:rsidRPr="00DB1598">
              <w:t>28%</w:t>
            </w:r>
          </w:p>
        </w:tc>
      </w:tr>
      <w:tr w:rsidR="003B23F9" w:rsidRPr="00DB1598" w14:paraId="2D2AB82F" w14:textId="77777777" w:rsidTr="00D733F3">
        <w:trPr>
          <w:trHeight w:val="560"/>
        </w:trPr>
        <w:tc>
          <w:tcPr>
            <w:tcW w:w="1880" w:type="dxa"/>
            <w:tcBorders>
              <w:top w:val="single" w:sz="8" w:space="0" w:color="auto"/>
              <w:left w:val="nil"/>
              <w:bottom w:val="single" w:sz="8" w:space="0" w:color="auto"/>
              <w:right w:val="nil"/>
            </w:tcBorders>
            <w:shd w:val="clear" w:color="auto" w:fill="auto"/>
            <w:vAlign w:val="center"/>
            <w:hideMark/>
          </w:tcPr>
          <w:p w14:paraId="54B85423" w14:textId="77777777" w:rsidR="003B23F9" w:rsidRPr="00DB1598" w:rsidRDefault="003B23F9" w:rsidP="00BD1E2C">
            <w:pPr>
              <w:pStyle w:val="Appendixtablecontent"/>
              <w:jc w:val="left"/>
            </w:pPr>
            <w:r w:rsidRPr="00DB1598">
              <w:t>Norrbotten county, mountain, southern</w:t>
            </w:r>
          </w:p>
        </w:tc>
        <w:tc>
          <w:tcPr>
            <w:tcW w:w="820" w:type="dxa"/>
            <w:tcBorders>
              <w:top w:val="single" w:sz="8" w:space="0" w:color="auto"/>
              <w:left w:val="nil"/>
              <w:bottom w:val="single" w:sz="8" w:space="0" w:color="auto"/>
              <w:right w:val="nil"/>
            </w:tcBorders>
            <w:shd w:val="clear" w:color="auto" w:fill="auto"/>
            <w:noWrap/>
            <w:vAlign w:val="center"/>
            <w:hideMark/>
          </w:tcPr>
          <w:p w14:paraId="3E8097E9" w14:textId="77777777" w:rsidR="003B23F9" w:rsidRPr="00DB1598" w:rsidRDefault="003B23F9" w:rsidP="00BD1E2C">
            <w:pPr>
              <w:pStyle w:val="Appendixtablecontent"/>
            </w:pPr>
            <w:r w:rsidRPr="00DB1598">
              <w:t>53%</w:t>
            </w:r>
          </w:p>
        </w:tc>
        <w:tc>
          <w:tcPr>
            <w:tcW w:w="820" w:type="dxa"/>
            <w:tcBorders>
              <w:top w:val="single" w:sz="8" w:space="0" w:color="auto"/>
              <w:left w:val="nil"/>
              <w:bottom w:val="single" w:sz="8" w:space="0" w:color="auto"/>
              <w:right w:val="nil"/>
            </w:tcBorders>
            <w:shd w:val="clear" w:color="auto" w:fill="auto"/>
            <w:noWrap/>
            <w:vAlign w:val="center"/>
            <w:hideMark/>
          </w:tcPr>
          <w:p w14:paraId="66508D46" w14:textId="77777777" w:rsidR="003B23F9" w:rsidRPr="00DB1598" w:rsidRDefault="003B23F9" w:rsidP="00BD1E2C">
            <w:pPr>
              <w:pStyle w:val="Appendixtablecontent"/>
            </w:pPr>
            <w:r w:rsidRPr="00DB1598">
              <w:t>63%</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3B48A925" w14:textId="77777777" w:rsidR="003B23F9" w:rsidRPr="00DB1598" w:rsidRDefault="003B23F9" w:rsidP="00BD1E2C">
            <w:pPr>
              <w:pStyle w:val="Appendixtablecontent"/>
            </w:pPr>
            <w:r w:rsidRPr="00DB1598">
              <w:t>65%</w:t>
            </w:r>
          </w:p>
        </w:tc>
        <w:tc>
          <w:tcPr>
            <w:tcW w:w="820" w:type="dxa"/>
            <w:tcBorders>
              <w:top w:val="single" w:sz="8" w:space="0" w:color="auto"/>
              <w:left w:val="nil"/>
              <w:bottom w:val="single" w:sz="8" w:space="0" w:color="auto"/>
              <w:right w:val="nil"/>
            </w:tcBorders>
            <w:shd w:val="clear" w:color="auto" w:fill="auto"/>
            <w:noWrap/>
            <w:vAlign w:val="center"/>
            <w:hideMark/>
          </w:tcPr>
          <w:p w14:paraId="6D8DCDCD" w14:textId="77777777" w:rsidR="003B23F9" w:rsidRPr="00DB1598" w:rsidRDefault="003B23F9" w:rsidP="00BD1E2C">
            <w:pPr>
              <w:pStyle w:val="Appendixtablecontent"/>
            </w:pPr>
            <w:r w:rsidRPr="00DB1598">
              <w:t>24%</w:t>
            </w:r>
          </w:p>
        </w:tc>
        <w:tc>
          <w:tcPr>
            <w:tcW w:w="820" w:type="dxa"/>
            <w:tcBorders>
              <w:top w:val="single" w:sz="8" w:space="0" w:color="auto"/>
              <w:left w:val="nil"/>
              <w:bottom w:val="single" w:sz="8" w:space="0" w:color="auto"/>
              <w:right w:val="nil"/>
            </w:tcBorders>
            <w:shd w:val="clear" w:color="auto" w:fill="auto"/>
            <w:noWrap/>
            <w:vAlign w:val="center"/>
            <w:hideMark/>
          </w:tcPr>
          <w:p w14:paraId="741D17BF" w14:textId="77777777" w:rsidR="003B23F9" w:rsidRPr="00DB1598" w:rsidRDefault="003B23F9" w:rsidP="00BD1E2C">
            <w:pPr>
              <w:pStyle w:val="Appendixtablecontent"/>
            </w:pPr>
            <w:r w:rsidRPr="00DB1598">
              <w:t>13%</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1B24F858" w14:textId="77777777" w:rsidR="003B23F9" w:rsidRPr="00DB1598" w:rsidRDefault="003B23F9" w:rsidP="00BD1E2C">
            <w:pPr>
              <w:pStyle w:val="Appendixtablecontent"/>
            </w:pPr>
            <w:r w:rsidRPr="00DB1598">
              <w:t>10%</w:t>
            </w:r>
          </w:p>
        </w:tc>
        <w:tc>
          <w:tcPr>
            <w:tcW w:w="820" w:type="dxa"/>
            <w:tcBorders>
              <w:top w:val="single" w:sz="8" w:space="0" w:color="auto"/>
              <w:left w:val="nil"/>
              <w:bottom w:val="single" w:sz="8" w:space="0" w:color="auto"/>
              <w:right w:val="nil"/>
            </w:tcBorders>
            <w:shd w:val="clear" w:color="auto" w:fill="auto"/>
            <w:noWrap/>
            <w:vAlign w:val="center"/>
            <w:hideMark/>
          </w:tcPr>
          <w:p w14:paraId="7458087B" w14:textId="77777777" w:rsidR="003B23F9" w:rsidRPr="00DB1598" w:rsidRDefault="003B23F9" w:rsidP="00BD1E2C">
            <w:pPr>
              <w:pStyle w:val="Appendixtablecontent"/>
            </w:pPr>
            <w:r w:rsidRPr="00DB1598">
              <w:t>23%</w:t>
            </w:r>
          </w:p>
        </w:tc>
        <w:tc>
          <w:tcPr>
            <w:tcW w:w="820" w:type="dxa"/>
            <w:tcBorders>
              <w:top w:val="single" w:sz="8" w:space="0" w:color="auto"/>
              <w:left w:val="nil"/>
              <w:bottom w:val="single" w:sz="8" w:space="0" w:color="auto"/>
              <w:right w:val="nil"/>
            </w:tcBorders>
            <w:shd w:val="clear" w:color="auto" w:fill="auto"/>
            <w:noWrap/>
            <w:vAlign w:val="center"/>
            <w:hideMark/>
          </w:tcPr>
          <w:p w14:paraId="704A3F95" w14:textId="77777777" w:rsidR="003B23F9" w:rsidRPr="00DB1598" w:rsidRDefault="003B23F9" w:rsidP="00BD1E2C">
            <w:pPr>
              <w:pStyle w:val="Appendixtablecontent"/>
            </w:pPr>
            <w:r w:rsidRPr="00DB1598">
              <w:t>24%</w:t>
            </w:r>
          </w:p>
        </w:tc>
        <w:tc>
          <w:tcPr>
            <w:tcW w:w="820" w:type="dxa"/>
            <w:tcBorders>
              <w:top w:val="single" w:sz="8" w:space="0" w:color="auto"/>
              <w:left w:val="nil"/>
              <w:bottom w:val="single" w:sz="8" w:space="0" w:color="auto"/>
              <w:right w:val="nil"/>
            </w:tcBorders>
            <w:shd w:val="clear" w:color="auto" w:fill="auto"/>
            <w:noWrap/>
            <w:vAlign w:val="center"/>
            <w:hideMark/>
          </w:tcPr>
          <w:p w14:paraId="6B761C5B" w14:textId="77777777" w:rsidR="003B23F9" w:rsidRPr="00DB1598" w:rsidRDefault="003B23F9" w:rsidP="00BD1E2C">
            <w:pPr>
              <w:pStyle w:val="Appendixtablecontent"/>
            </w:pPr>
            <w:r w:rsidRPr="00DB1598">
              <w:t>25%</w:t>
            </w:r>
          </w:p>
        </w:tc>
      </w:tr>
      <w:tr w:rsidR="003B23F9" w:rsidRPr="00DB1598" w14:paraId="4F90C30F" w14:textId="77777777" w:rsidTr="00D733F3">
        <w:trPr>
          <w:trHeight w:val="560"/>
        </w:trPr>
        <w:tc>
          <w:tcPr>
            <w:tcW w:w="1880" w:type="dxa"/>
            <w:tcBorders>
              <w:top w:val="single" w:sz="8" w:space="0" w:color="auto"/>
              <w:left w:val="nil"/>
              <w:bottom w:val="single" w:sz="8" w:space="0" w:color="auto"/>
              <w:right w:val="nil"/>
            </w:tcBorders>
            <w:shd w:val="clear" w:color="auto" w:fill="auto"/>
            <w:vAlign w:val="center"/>
            <w:hideMark/>
          </w:tcPr>
          <w:p w14:paraId="5AE8B6EB" w14:textId="77777777" w:rsidR="003B23F9" w:rsidRPr="00DB1598" w:rsidRDefault="003B23F9" w:rsidP="00BD1E2C">
            <w:pPr>
              <w:pStyle w:val="Appendixtablecontent"/>
              <w:jc w:val="left"/>
            </w:pPr>
            <w:r w:rsidRPr="00DB1598">
              <w:t>Västerbotten county, mountain</w:t>
            </w:r>
          </w:p>
        </w:tc>
        <w:tc>
          <w:tcPr>
            <w:tcW w:w="820" w:type="dxa"/>
            <w:tcBorders>
              <w:top w:val="single" w:sz="8" w:space="0" w:color="auto"/>
              <w:left w:val="nil"/>
              <w:bottom w:val="single" w:sz="8" w:space="0" w:color="auto"/>
              <w:right w:val="nil"/>
            </w:tcBorders>
            <w:shd w:val="clear" w:color="auto" w:fill="auto"/>
            <w:noWrap/>
            <w:vAlign w:val="center"/>
            <w:hideMark/>
          </w:tcPr>
          <w:p w14:paraId="2CBE3907" w14:textId="77777777" w:rsidR="003B23F9" w:rsidRPr="00DB1598" w:rsidRDefault="003B23F9" w:rsidP="00BD1E2C">
            <w:pPr>
              <w:pStyle w:val="Appendixtablecontent"/>
            </w:pPr>
            <w:r w:rsidRPr="00DB1598">
              <w:t>49%</w:t>
            </w:r>
          </w:p>
        </w:tc>
        <w:tc>
          <w:tcPr>
            <w:tcW w:w="820" w:type="dxa"/>
            <w:tcBorders>
              <w:top w:val="single" w:sz="8" w:space="0" w:color="auto"/>
              <w:left w:val="nil"/>
              <w:bottom w:val="single" w:sz="8" w:space="0" w:color="auto"/>
              <w:right w:val="nil"/>
            </w:tcBorders>
            <w:shd w:val="clear" w:color="auto" w:fill="auto"/>
            <w:noWrap/>
            <w:vAlign w:val="center"/>
            <w:hideMark/>
          </w:tcPr>
          <w:p w14:paraId="189E8B5A" w14:textId="77777777" w:rsidR="003B23F9" w:rsidRPr="00DB1598" w:rsidRDefault="003B23F9" w:rsidP="00BD1E2C">
            <w:pPr>
              <w:pStyle w:val="Appendixtablecontent"/>
            </w:pPr>
            <w:r w:rsidRPr="00DB1598">
              <w:t>66%</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1554ABF4" w14:textId="77777777" w:rsidR="003B23F9" w:rsidRPr="00DB1598" w:rsidRDefault="003B23F9" w:rsidP="00BD1E2C">
            <w:pPr>
              <w:pStyle w:val="Appendixtablecontent"/>
            </w:pPr>
            <w:r w:rsidRPr="00DB1598">
              <w:t>68%</w:t>
            </w:r>
          </w:p>
        </w:tc>
        <w:tc>
          <w:tcPr>
            <w:tcW w:w="820" w:type="dxa"/>
            <w:tcBorders>
              <w:top w:val="single" w:sz="8" w:space="0" w:color="auto"/>
              <w:left w:val="nil"/>
              <w:bottom w:val="single" w:sz="8" w:space="0" w:color="auto"/>
              <w:right w:val="nil"/>
            </w:tcBorders>
            <w:shd w:val="clear" w:color="auto" w:fill="auto"/>
            <w:noWrap/>
            <w:vAlign w:val="center"/>
            <w:hideMark/>
          </w:tcPr>
          <w:p w14:paraId="6C556237" w14:textId="77777777" w:rsidR="003B23F9" w:rsidRPr="00DB1598" w:rsidRDefault="003B23F9" w:rsidP="00BD1E2C">
            <w:pPr>
              <w:pStyle w:val="Appendixtablecontent"/>
            </w:pPr>
            <w:r w:rsidRPr="00DB1598">
              <w:t>23%</w:t>
            </w:r>
          </w:p>
        </w:tc>
        <w:tc>
          <w:tcPr>
            <w:tcW w:w="820" w:type="dxa"/>
            <w:tcBorders>
              <w:top w:val="single" w:sz="8" w:space="0" w:color="auto"/>
              <w:left w:val="nil"/>
              <w:bottom w:val="single" w:sz="8" w:space="0" w:color="auto"/>
              <w:right w:val="nil"/>
            </w:tcBorders>
            <w:shd w:val="clear" w:color="auto" w:fill="auto"/>
            <w:noWrap/>
            <w:vAlign w:val="center"/>
            <w:hideMark/>
          </w:tcPr>
          <w:p w14:paraId="22A5C920" w14:textId="77777777" w:rsidR="003B23F9" w:rsidRPr="00DB1598" w:rsidRDefault="003B23F9" w:rsidP="00BD1E2C">
            <w:pPr>
              <w:pStyle w:val="Appendixtablecontent"/>
            </w:pPr>
            <w:r w:rsidRPr="00DB1598">
              <w:t>11%</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4D218EE4" w14:textId="77777777" w:rsidR="003B23F9" w:rsidRPr="00DB1598" w:rsidRDefault="003B23F9" w:rsidP="00BD1E2C">
            <w:pPr>
              <w:pStyle w:val="Appendixtablecontent"/>
            </w:pPr>
            <w:r w:rsidRPr="00DB1598">
              <w:t>10%</w:t>
            </w:r>
          </w:p>
        </w:tc>
        <w:tc>
          <w:tcPr>
            <w:tcW w:w="820" w:type="dxa"/>
            <w:tcBorders>
              <w:top w:val="single" w:sz="8" w:space="0" w:color="auto"/>
              <w:left w:val="nil"/>
              <w:bottom w:val="single" w:sz="8" w:space="0" w:color="auto"/>
              <w:right w:val="nil"/>
            </w:tcBorders>
            <w:shd w:val="clear" w:color="auto" w:fill="auto"/>
            <w:noWrap/>
            <w:vAlign w:val="center"/>
            <w:hideMark/>
          </w:tcPr>
          <w:p w14:paraId="1B73987F" w14:textId="77777777" w:rsidR="003B23F9" w:rsidRPr="00DB1598" w:rsidRDefault="003B23F9" w:rsidP="00BD1E2C">
            <w:pPr>
              <w:pStyle w:val="Appendixtablecontent"/>
            </w:pPr>
            <w:r w:rsidRPr="00DB1598">
              <w:t>28%</w:t>
            </w:r>
          </w:p>
        </w:tc>
        <w:tc>
          <w:tcPr>
            <w:tcW w:w="820" w:type="dxa"/>
            <w:tcBorders>
              <w:top w:val="single" w:sz="8" w:space="0" w:color="auto"/>
              <w:left w:val="nil"/>
              <w:bottom w:val="single" w:sz="8" w:space="0" w:color="auto"/>
              <w:right w:val="nil"/>
            </w:tcBorders>
            <w:shd w:val="clear" w:color="auto" w:fill="auto"/>
            <w:noWrap/>
            <w:vAlign w:val="center"/>
            <w:hideMark/>
          </w:tcPr>
          <w:p w14:paraId="3CAE078B" w14:textId="77777777" w:rsidR="003B23F9" w:rsidRPr="00DB1598" w:rsidRDefault="003B23F9" w:rsidP="00BD1E2C">
            <w:pPr>
              <w:pStyle w:val="Appendixtablecontent"/>
            </w:pPr>
            <w:r w:rsidRPr="00DB1598">
              <w:t>23%</w:t>
            </w:r>
          </w:p>
        </w:tc>
        <w:tc>
          <w:tcPr>
            <w:tcW w:w="820" w:type="dxa"/>
            <w:tcBorders>
              <w:top w:val="single" w:sz="8" w:space="0" w:color="auto"/>
              <w:left w:val="nil"/>
              <w:bottom w:val="single" w:sz="8" w:space="0" w:color="auto"/>
              <w:right w:val="nil"/>
            </w:tcBorders>
            <w:shd w:val="clear" w:color="auto" w:fill="auto"/>
            <w:noWrap/>
            <w:vAlign w:val="center"/>
            <w:hideMark/>
          </w:tcPr>
          <w:p w14:paraId="7B643D4E" w14:textId="77777777" w:rsidR="003B23F9" w:rsidRPr="00DB1598" w:rsidRDefault="003B23F9" w:rsidP="00BD1E2C">
            <w:pPr>
              <w:pStyle w:val="Appendixtablecontent"/>
            </w:pPr>
            <w:r w:rsidRPr="00DB1598">
              <w:t>23%</w:t>
            </w:r>
          </w:p>
        </w:tc>
      </w:tr>
      <w:tr w:rsidR="003B23F9" w:rsidRPr="00DB1598" w14:paraId="671401FF" w14:textId="77777777" w:rsidTr="00D733F3">
        <w:trPr>
          <w:trHeight w:val="560"/>
        </w:trPr>
        <w:tc>
          <w:tcPr>
            <w:tcW w:w="1880" w:type="dxa"/>
            <w:tcBorders>
              <w:top w:val="single" w:sz="8" w:space="0" w:color="auto"/>
              <w:left w:val="nil"/>
              <w:bottom w:val="single" w:sz="8" w:space="0" w:color="auto"/>
              <w:right w:val="nil"/>
            </w:tcBorders>
            <w:shd w:val="clear" w:color="auto" w:fill="auto"/>
            <w:vAlign w:val="center"/>
            <w:hideMark/>
          </w:tcPr>
          <w:p w14:paraId="7F97FBAC" w14:textId="77777777" w:rsidR="003B23F9" w:rsidRPr="00DB1598" w:rsidRDefault="003B23F9" w:rsidP="00BD1E2C">
            <w:pPr>
              <w:pStyle w:val="Appendixtablecontent"/>
              <w:jc w:val="left"/>
            </w:pPr>
            <w:proofErr w:type="spellStart"/>
            <w:r w:rsidRPr="00DB1598">
              <w:t>Jämtland</w:t>
            </w:r>
            <w:proofErr w:type="spellEnd"/>
            <w:r w:rsidRPr="00DB1598">
              <w:t xml:space="preserve"> county</w:t>
            </w:r>
          </w:p>
        </w:tc>
        <w:tc>
          <w:tcPr>
            <w:tcW w:w="820" w:type="dxa"/>
            <w:tcBorders>
              <w:top w:val="single" w:sz="8" w:space="0" w:color="auto"/>
              <w:left w:val="nil"/>
              <w:bottom w:val="single" w:sz="8" w:space="0" w:color="auto"/>
              <w:right w:val="nil"/>
            </w:tcBorders>
            <w:shd w:val="clear" w:color="auto" w:fill="auto"/>
            <w:noWrap/>
            <w:vAlign w:val="center"/>
            <w:hideMark/>
          </w:tcPr>
          <w:p w14:paraId="049F04E7" w14:textId="77777777" w:rsidR="003B23F9" w:rsidRPr="00DB1598" w:rsidRDefault="003B23F9" w:rsidP="00BD1E2C">
            <w:pPr>
              <w:pStyle w:val="Appendixtablecontent"/>
            </w:pPr>
            <w:r w:rsidRPr="00DB1598">
              <w:t>56%</w:t>
            </w:r>
          </w:p>
        </w:tc>
        <w:tc>
          <w:tcPr>
            <w:tcW w:w="820" w:type="dxa"/>
            <w:tcBorders>
              <w:top w:val="single" w:sz="8" w:space="0" w:color="auto"/>
              <w:left w:val="nil"/>
              <w:bottom w:val="single" w:sz="8" w:space="0" w:color="auto"/>
              <w:right w:val="nil"/>
            </w:tcBorders>
            <w:shd w:val="clear" w:color="auto" w:fill="auto"/>
            <w:noWrap/>
            <w:vAlign w:val="center"/>
            <w:hideMark/>
          </w:tcPr>
          <w:p w14:paraId="638BB881" w14:textId="77777777" w:rsidR="003B23F9" w:rsidRPr="00DB1598" w:rsidRDefault="003B23F9" w:rsidP="00BD1E2C">
            <w:pPr>
              <w:pStyle w:val="Appendixtablecontent"/>
            </w:pPr>
            <w:r w:rsidRPr="00DB1598">
              <w:t>71%</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02321B9D" w14:textId="77777777" w:rsidR="003B23F9" w:rsidRPr="00DB1598" w:rsidRDefault="003B23F9" w:rsidP="00BD1E2C">
            <w:pPr>
              <w:pStyle w:val="Appendixtablecontent"/>
            </w:pPr>
            <w:r w:rsidRPr="00DB1598">
              <w:t>73%</w:t>
            </w:r>
          </w:p>
        </w:tc>
        <w:tc>
          <w:tcPr>
            <w:tcW w:w="820" w:type="dxa"/>
            <w:tcBorders>
              <w:top w:val="single" w:sz="8" w:space="0" w:color="auto"/>
              <w:left w:val="nil"/>
              <w:bottom w:val="single" w:sz="8" w:space="0" w:color="auto"/>
              <w:right w:val="nil"/>
            </w:tcBorders>
            <w:shd w:val="clear" w:color="auto" w:fill="auto"/>
            <w:noWrap/>
            <w:vAlign w:val="center"/>
            <w:hideMark/>
          </w:tcPr>
          <w:p w14:paraId="5759F4FB" w14:textId="77777777" w:rsidR="003B23F9" w:rsidRPr="00DB1598" w:rsidRDefault="003B23F9" w:rsidP="00BD1E2C">
            <w:pPr>
              <w:pStyle w:val="Appendixtablecontent"/>
            </w:pPr>
            <w:r w:rsidRPr="00DB1598">
              <w:t>6%</w:t>
            </w:r>
          </w:p>
        </w:tc>
        <w:tc>
          <w:tcPr>
            <w:tcW w:w="820" w:type="dxa"/>
            <w:tcBorders>
              <w:top w:val="single" w:sz="8" w:space="0" w:color="auto"/>
              <w:left w:val="nil"/>
              <w:bottom w:val="single" w:sz="8" w:space="0" w:color="auto"/>
              <w:right w:val="nil"/>
            </w:tcBorders>
            <w:shd w:val="clear" w:color="auto" w:fill="auto"/>
            <w:noWrap/>
            <w:vAlign w:val="center"/>
            <w:hideMark/>
          </w:tcPr>
          <w:p w14:paraId="31181BB3" w14:textId="77777777" w:rsidR="003B23F9" w:rsidRPr="00DB1598" w:rsidRDefault="003B23F9" w:rsidP="00BD1E2C">
            <w:pPr>
              <w:pStyle w:val="Appendixtablecontent"/>
            </w:pPr>
            <w:r w:rsidRPr="00DB1598">
              <w:t>8%</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04EB7CB2" w14:textId="77777777" w:rsidR="003B23F9" w:rsidRPr="00DB1598" w:rsidRDefault="003B23F9" w:rsidP="00BD1E2C">
            <w:pPr>
              <w:pStyle w:val="Appendixtablecontent"/>
            </w:pPr>
            <w:r w:rsidRPr="00DB1598">
              <w:t>7%</w:t>
            </w:r>
          </w:p>
        </w:tc>
        <w:tc>
          <w:tcPr>
            <w:tcW w:w="820" w:type="dxa"/>
            <w:tcBorders>
              <w:top w:val="single" w:sz="8" w:space="0" w:color="auto"/>
              <w:left w:val="nil"/>
              <w:bottom w:val="single" w:sz="8" w:space="0" w:color="auto"/>
              <w:right w:val="nil"/>
            </w:tcBorders>
            <w:shd w:val="clear" w:color="auto" w:fill="auto"/>
            <w:noWrap/>
            <w:vAlign w:val="center"/>
            <w:hideMark/>
          </w:tcPr>
          <w:p w14:paraId="591B63E6" w14:textId="77777777" w:rsidR="003B23F9" w:rsidRPr="00DB1598" w:rsidRDefault="003B23F9" w:rsidP="00BD1E2C">
            <w:pPr>
              <w:pStyle w:val="Appendixtablecontent"/>
            </w:pPr>
            <w:r w:rsidRPr="00DB1598">
              <w:t>38%</w:t>
            </w:r>
          </w:p>
        </w:tc>
        <w:tc>
          <w:tcPr>
            <w:tcW w:w="820" w:type="dxa"/>
            <w:tcBorders>
              <w:top w:val="single" w:sz="8" w:space="0" w:color="auto"/>
              <w:left w:val="nil"/>
              <w:bottom w:val="single" w:sz="8" w:space="0" w:color="auto"/>
              <w:right w:val="nil"/>
            </w:tcBorders>
            <w:shd w:val="clear" w:color="auto" w:fill="auto"/>
            <w:noWrap/>
            <w:vAlign w:val="center"/>
            <w:hideMark/>
          </w:tcPr>
          <w:p w14:paraId="0AD440FB" w14:textId="77777777" w:rsidR="003B23F9" w:rsidRPr="00DB1598" w:rsidRDefault="003B23F9" w:rsidP="00BD1E2C">
            <w:pPr>
              <w:pStyle w:val="Appendixtablecontent"/>
            </w:pPr>
            <w:r w:rsidRPr="00DB1598">
              <w:t>21%</w:t>
            </w:r>
          </w:p>
        </w:tc>
        <w:tc>
          <w:tcPr>
            <w:tcW w:w="820" w:type="dxa"/>
            <w:tcBorders>
              <w:top w:val="single" w:sz="8" w:space="0" w:color="auto"/>
              <w:left w:val="nil"/>
              <w:bottom w:val="single" w:sz="8" w:space="0" w:color="auto"/>
              <w:right w:val="nil"/>
            </w:tcBorders>
            <w:shd w:val="clear" w:color="auto" w:fill="auto"/>
            <w:noWrap/>
            <w:vAlign w:val="center"/>
            <w:hideMark/>
          </w:tcPr>
          <w:p w14:paraId="0BCD892C" w14:textId="77777777" w:rsidR="003B23F9" w:rsidRPr="00DB1598" w:rsidRDefault="003B23F9" w:rsidP="00BD1E2C">
            <w:pPr>
              <w:pStyle w:val="Appendixtablecontent"/>
            </w:pPr>
            <w:r w:rsidRPr="00DB1598">
              <w:t>20%</w:t>
            </w:r>
          </w:p>
        </w:tc>
      </w:tr>
      <w:tr w:rsidR="003B23F9" w:rsidRPr="00DB1598" w14:paraId="1494082D" w14:textId="77777777" w:rsidTr="00D733F3">
        <w:trPr>
          <w:trHeight w:val="560"/>
        </w:trPr>
        <w:tc>
          <w:tcPr>
            <w:tcW w:w="1880" w:type="dxa"/>
            <w:tcBorders>
              <w:top w:val="single" w:sz="8" w:space="0" w:color="auto"/>
              <w:left w:val="nil"/>
              <w:bottom w:val="single" w:sz="8" w:space="0" w:color="auto"/>
              <w:right w:val="nil"/>
            </w:tcBorders>
            <w:shd w:val="clear" w:color="auto" w:fill="auto"/>
            <w:vAlign w:val="center"/>
            <w:hideMark/>
          </w:tcPr>
          <w:p w14:paraId="059D8981" w14:textId="77777777" w:rsidR="003B23F9" w:rsidRPr="00DB1598" w:rsidRDefault="003B23F9" w:rsidP="00BD1E2C">
            <w:pPr>
              <w:pStyle w:val="Appendixtablecontent"/>
              <w:jc w:val="left"/>
            </w:pPr>
            <w:r w:rsidRPr="00DB1598">
              <w:t>Forest herding districts</w:t>
            </w:r>
          </w:p>
        </w:tc>
        <w:tc>
          <w:tcPr>
            <w:tcW w:w="820" w:type="dxa"/>
            <w:tcBorders>
              <w:top w:val="single" w:sz="8" w:space="0" w:color="auto"/>
              <w:left w:val="nil"/>
              <w:bottom w:val="single" w:sz="8" w:space="0" w:color="auto"/>
              <w:right w:val="nil"/>
            </w:tcBorders>
            <w:shd w:val="clear" w:color="auto" w:fill="auto"/>
            <w:noWrap/>
            <w:vAlign w:val="center"/>
            <w:hideMark/>
          </w:tcPr>
          <w:p w14:paraId="07B0C2A1" w14:textId="77777777" w:rsidR="003B23F9" w:rsidRPr="00DB1598" w:rsidRDefault="003B23F9" w:rsidP="00BD1E2C">
            <w:pPr>
              <w:pStyle w:val="Appendixtablecontent"/>
            </w:pPr>
            <w:r w:rsidRPr="00DB1598">
              <w:t>49%</w:t>
            </w:r>
          </w:p>
        </w:tc>
        <w:tc>
          <w:tcPr>
            <w:tcW w:w="820" w:type="dxa"/>
            <w:tcBorders>
              <w:top w:val="single" w:sz="8" w:space="0" w:color="auto"/>
              <w:left w:val="nil"/>
              <w:bottom w:val="single" w:sz="8" w:space="0" w:color="auto"/>
              <w:right w:val="nil"/>
            </w:tcBorders>
            <w:shd w:val="clear" w:color="auto" w:fill="auto"/>
            <w:noWrap/>
            <w:vAlign w:val="center"/>
            <w:hideMark/>
          </w:tcPr>
          <w:p w14:paraId="232746C6" w14:textId="77777777" w:rsidR="003B23F9" w:rsidRPr="00DB1598" w:rsidRDefault="003B23F9" w:rsidP="00BD1E2C">
            <w:pPr>
              <w:pStyle w:val="Appendixtablecontent"/>
            </w:pPr>
            <w:r w:rsidRPr="00DB1598">
              <w:t>68%</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34D2DAD2" w14:textId="77777777" w:rsidR="003B23F9" w:rsidRPr="00DB1598" w:rsidRDefault="003B23F9" w:rsidP="00BD1E2C">
            <w:pPr>
              <w:pStyle w:val="Appendixtablecontent"/>
            </w:pPr>
            <w:r w:rsidRPr="00DB1598">
              <w:t>70%</w:t>
            </w:r>
          </w:p>
        </w:tc>
        <w:tc>
          <w:tcPr>
            <w:tcW w:w="820" w:type="dxa"/>
            <w:tcBorders>
              <w:top w:val="single" w:sz="8" w:space="0" w:color="auto"/>
              <w:left w:val="nil"/>
              <w:bottom w:val="single" w:sz="8" w:space="0" w:color="auto"/>
              <w:right w:val="nil"/>
            </w:tcBorders>
            <w:shd w:val="clear" w:color="auto" w:fill="auto"/>
            <w:noWrap/>
            <w:vAlign w:val="center"/>
            <w:hideMark/>
          </w:tcPr>
          <w:p w14:paraId="1821694E" w14:textId="77777777" w:rsidR="003B23F9" w:rsidRPr="00DB1598" w:rsidRDefault="003B23F9" w:rsidP="00BD1E2C">
            <w:pPr>
              <w:pStyle w:val="Appendixtablecontent"/>
            </w:pPr>
            <w:r w:rsidRPr="00DB1598">
              <w:t>23%</w:t>
            </w:r>
          </w:p>
        </w:tc>
        <w:tc>
          <w:tcPr>
            <w:tcW w:w="820" w:type="dxa"/>
            <w:tcBorders>
              <w:top w:val="single" w:sz="8" w:space="0" w:color="auto"/>
              <w:left w:val="nil"/>
              <w:bottom w:val="single" w:sz="8" w:space="0" w:color="auto"/>
              <w:right w:val="nil"/>
            </w:tcBorders>
            <w:shd w:val="clear" w:color="auto" w:fill="auto"/>
            <w:noWrap/>
            <w:vAlign w:val="center"/>
            <w:hideMark/>
          </w:tcPr>
          <w:p w14:paraId="54D1A5F5" w14:textId="77777777" w:rsidR="003B23F9" w:rsidRPr="00DB1598" w:rsidRDefault="003B23F9" w:rsidP="00BD1E2C">
            <w:pPr>
              <w:pStyle w:val="Appendixtablecontent"/>
            </w:pPr>
            <w:r w:rsidRPr="00DB1598">
              <w:t>9%</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09D892EE" w14:textId="77777777" w:rsidR="003B23F9" w:rsidRPr="00DB1598" w:rsidRDefault="003B23F9" w:rsidP="00BD1E2C">
            <w:pPr>
              <w:pStyle w:val="Appendixtablecontent"/>
            </w:pPr>
            <w:r w:rsidRPr="00DB1598">
              <w:t>8%</w:t>
            </w:r>
          </w:p>
        </w:tc>
        <w:tc>
          <w:tcPr>
            <w:tcW w:w="820" w:type="dxa"/>
            <w:tcBorders>
              <w:top w:val="single" w:sz="8" w:space="0" w:color="auto"/>
              <w:left w:val="nil"/>
              <w:bottom w:val="single" w:sz="8" w:space="0" w:color="auto"/>
              <w:right w:val="nil"/>
            </w:tcBorders>
            <w:shd w:val="clear" w:color="auto" w:fill="auto"/>
            <w:noWrap/>
            <w:vAlign w:val="center"/>
            <w:hideMark/>
          </w:tcPr>
          <w:p w14:paraId="54896FA7" w14:textId="77777777" w:rsidR="003B23F9" w:rsidRPr="00DB1598" w:rsidRDefault="003B23F9" w:rsidP="00BD1E2C">
            <w:pPr>
              <w:pStyle w:val="Appendixtablecontent"/>
            </w:pPr>
            <w:r w:rsidRPr="00DB1598">
              <w:t>28%</w:t>
            </w:r>
          </w:p>
        </w:tc>
        <w:tc>
          <w:tcPr>
            <w:tcW w:w="820" w:type="dxa"/>
            <w:tcBorders>
              <w:top w:val="single" w:sz="8" w:space="0" w:color="auto"/>
              <w:left w:val="nil"/>
              <w:bottom w:val="single" w:sz="8" w:space="0" w:color="auto"/>
              <w:right w:val="nil"/>
            </w:tcBorders>
            <w:shd w:val="clear" w:color="auto" w:fill="auto"/>
            <w:noWrap/>
            <w:vAlign w:val="center"/>
            <w:hideMark/>
          </w:tcPr>
          <w:p w14:paraId="378D468A" w14:textId="77777777" w:rsidR="003B23F9" w:rsidRPr="00DB1598" w:rsidRDefault="003B23F9" w:rsidP="00BD1E2C">
            <w:pPr>
              <w:pStyle w:val="Appendixtablecontent"/>
            </w:pPr>
            <w:r w:rsidRPr="00DB1598">
              <w:t>22%</w:t>
            </w:r>
          </w:p>
        </w:tc>
        <w:tc>
          <w:tcPr>
            <w:tcW w:w="820" w:type="dxa"/>
            <w:tcBorders>
              <w:top w:val="single" w:sz="8" w:space="0" w:color="auto"/>
              <w:left w:val="nil"/>
              <w:bottom w:val="single" w:sz="8" w:space="0" w:color="auto"/>
              <w:right w:val="nil"/>
            </w:tcBorders>
            <w:shd w:val="clear" w:color="auto" w:fill="auto"/>
            <w:noWrap/>
            <w:vAlign w:val="center"/>
            <w:hideMark/>
          </w:tcPr>
          <w:p w14:paraId="41D7F30D" w14:textId="77777777" w:rsidR="003B23F9" w:rsidRPr="00DB1598" w:rsidRDefault="003B23F9" w:rsidP="00BD1E2C">
            <w:pPr>
              <w:pStyle w:val="Appendixtablecontent"/>
            </w:pPr>
            <w:r w:rsidRPr="00DB1598">
              <w:t>22%</w:t>
            </w:r>
          </w:p>
        </w:tc>
      </w:tr>
      <w:tr w:rsidR="003B23F9" w:rsidRPr="00DB1598" w14:paraId="0F20873D" w14:textId="77777777" w:rsidTr="005A2603">
        <w:trPr>
          <w:trHeight w:val="560"/>
        </w:trPr>
        <w:tc>
          <w:tcPr>
            <w:tcW w:w="1880" w:type="dxa"/>
            <w:tcBorders>
              <w:top w:val="single" w:sz="8" w:space="0" w:color="auto"/>
              <w:left w:val="nil"/>
              <w:bottom w:val="single" w:sz="8" w:space="0" w:color="auto"/>
              <w:right w:val="nil"/>
            </w:tcBorders>
            <w:shd w:val="clear" w:color="auto" w:fill="auto"/>
            <w:vAlign w:val="center"/>
            <w:hideMark/>
          </w:tcPr>
          <w:p w14:paraId="0E0A60A5" w14:textId="77777777" w:rsidR="003B23F9" w:rsidRPr="00DB1598" w:rsidRDefault="003B23F9" w:rsidP="00BD1E2C">
            <w:pPr>
              <w:pStyle w:val="Appendixtablecontent"/>
              <w:jc w:val="left"/>
            </w:pPr>
            <w:r w:rsidRPr="00DB1598">
              <w:t>Concession area</w:t>
            </w:r>
          </w:p>
        </w:tc>
        <w:tc>
          <w:tcPr>
            <w:tcW w:w="820" w:type="dxa"/>
            <w:tcBorders>
              <w:top w:val="single" w:sz="8" w:space="0" w:color="auto"/>
              <w:left w:val="nil"/>
              <w:bottom w:val="single" w:sz="8" w:space="0" w:color="auto"/>
              <w:right w:val="nil"/>
            </w:tcBorders>
            <w:shd w:val="clear" w:color="auto" w:fill="auto"/>
            <w:noWrap/>
            <w:vAlign w:val="center"/>
            <w:hideMark/>
          </w:tcPr>
          <w:p w14:paraId="3F2A598E" w14:textId="77777777" w:rsidR="003B23F9" w:rsidRPr="00DB1598" w:rsidRDefault="003B23F9" w:rsidP="00BD1E2C">
            <w:pPr>
              <w:pStyle w:val="Appendixtablecontent"/>
            </w:pPr>
            <w:r w:rsidRPr="00DB1598">
              <w:t>49%</w:t>
            </w:r>
          </w:p>
        </w:tc>
        <w:tc>
          <w:tcPr>
            <w:tcW w:w="820" w:type="dxa"/>
            <w:tcBorders>
              <w:top w:val="single" w:sz="8" w:space="0" w:color="auto"/>
              <w:left w:val="nil"/>
              <w:bottom w:val="single" w:sz="8" w:space="0" w:color="auto"/>
              <w:right w:val="nil"/>
            </w:tcBorders>
            <w:shd w:val="clear" w:color="auto" w:fill="auto"/>
            <w:noWrap/>
            <w:vAlign w:val="center"/>
            <w:hideMark/>
          </w:tcPr>
          <w:p w14:paraId="56BA7E97" w14:textId="77777777" w:rsidR="003B23F9" w:rsidRPr="00DB1598" w:rsidRDefault="003B23F9" w:rsidP="00BD1E2C">
            <w:pPr>
              <w:pStyle w:val="Appendixtablecontent"/>
            </w:pPr>
            <w:r w:rsidRPr="00DB1598">
              <w:t>68%</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4B97572C" w14:textId="77777777" w:rsidR="003B23F9" w:rsidRPr="00DB1598" w:rsidRDefault="003B23F9" w:rsidP="00BD1E2C">
            <w:pPr>
              <w:pStyle w:val="Appendixtablecontent"/>
            </w:pPr>
            <w:r w:rsidRPr="00DB1598">
              <w:t>69%</w:t>
            </w:r>
          </w:p>
        </w:tc>
        <w:tc>
          <w:tcPr>
            <w:tcW w:w="820" w:type="dxa"/>
            <w:tcBorders>
              <w:top w:val="single" w:sz="8" w:space="0" w:color="auto"/>
              <w:left w:val="nil"/>
              <w:bottom w:val="single" w:sz="8" w:space="0" w:color="auto"/>
              <w:right w:val="nil"/>
            </w:tcBorders>
            <w:shd w:val="clear" w:color="auto" w:fill="auto"/>
            <w:noWrap/>
            <w:vAlign w:val="center"/>
            <w:hideMark/>
          </w:tcPr>
          <w:p w14:paraId="07F8178B" w14:textId="77777777" w:rsidR="003B23F9" w:rsidRPr="00DB1598" w:rsidRDefault="003B23F9" w:rsidP="00BD1E2C">
            <w:pPr>
              <w:pStyle w:val="Appendixtablecontent"/>
            </w:pPr>
            <w:r w:rsidRPr="00DB1598">
              <w:t>18%</w:t>
            </w:r>
          </w:p>
        </w:tc>
        <w:tc>
          <w:tcPr>
            <w:tcW w:w="820" w:type="dxa"/>
            <w:tcBorders>
              <w:top w:val="single" w:sz="8" w:space="0" w:color="auto"/>
              <w:left w:val="nil"/>
              <w:bottom w:val="single" w:sz="8" w:space="0" w:color="auto"/>
              <w:right w:val="nil"/>
            </w:tcBorders>
            <w:shd w:val="clear" w:color="auto" w:fill="auto"/>
            <w:noWrap/>
            <w:vAlign w:val="center"/>
            <w:hideMark/>
          </w:tcPr>
          <w:p w14:paraId="53ABD9D4" w14:textId="77777777" w:rsidR="003B23F9" w:rsidRPr="00DB1598" w:rsidRDefault="003B23F9" w:rsidP="00BD1E2C">
            <w:pPr>
              <w:pStyle w:val="Appendixtablecontent"/>
            </w:pPr>
            <w:r w:rsidRPr="00DB1598">
              <w:t>9%</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14:paraId="02D08BE9" w14:textId="77777777" w:rsidR="003B23F9" w:rsidRPr="00DB1598" w:rsidRDefault="003B23F9" w:rsidP="00BD1E2C">
            <w:pPr>
              <w:pStyle w:val="Appendixtablecontent"/>
            </w:pPr>
            <w:r w:rsidRPr="00DB1598">
              <w:t>9%</w:t>
            </w:r>
          </w:p>
        </w:tc>
        <w:tc>
          <w:tcPr>
            <w:tcW w:w="820" w:type="dxa"/>
            <w:tcBorders>
              <w:top w:val="single" w:sz="8" w:space="0" w:color="auto"/>
              <w:left w:val="nil"/>
              <w:bottom w:val="single" w:sz="8" w:space="0" w:color="auto"/>
              <w:right w:val="nil"/>
            </w:tcBorders>
            <w:shd w:val="clear" w:color="auto" w:fill="auto"/>
            <w:noWrap/>
            <w:vAlign w:val="center"/>
            <w:hideMark/>
          </w:tcPr>
          <w:p w14:paraId="159420B8" w14:textId="77777777" w:rsidR="003B23F9" w:rsidRPr="00DB1598" w:rsidRDefault="003B23F9" w:rsidP="00BD1E2C">
            <w:pPr>
              <w:pStyle w:val="Appendixtablecontent"/>
            </w:pPr>
            <w:r w:rsidRPr="00DB1598">
              <w:t>33%</w:t>
            </w:r>
          </w:p>
        </w:tc>
        <w:tc>
          <w:tcPr>
            <w:tcW w:w="820" w:type="dxa"/>
            <w:tcBorders>
              <w:top w:val="single" w:sz="8" w:space="0" w:color="auto"/>
              <w:left w:val="nil"/>
              <w:bottom w:val="single" w:sz="8" w:space="0" w:color="auto"/>
              <w:right w:val="nil"/>
            </w:tcBorders>
            <w:shd w:val="clear" w:color="auto" w:fill="auto"/>
            <w:noWrap/>
            <w:vAlign w:val="center"/>
            <w:hideMark/>
          </w:tcPr>
          <w:p w14:paraId="6EB7F9BA" w14:textId="77777777" w:rsidR="003B23F9" w:rsidRPr="00DB1598" w:rsidRDefault="003B23F9" w:rsidP="00BD1E2C">
            <w:pPr>
              <w:pStyle w:val="Appendixtablecontent"/>
            </w:pPr>
            <w:r w:rsidRPr="00DB1598">
              <w:t>23%</w:t>
            </w:r>
          </w:p>
        </w:tc>
        <w:tc>
          <w:tcPr>
            <w:tcW w:w="820" w:type="dxa"/>
            <w:tcBorders>
              <w:top w:val="single" w:sz="8" w:space="0" w:color="auto"/>
              <w:left w:val="nil"/>
              <w:bottom w:val="single" w:sz="8" w:space="0" w:color="auto"/>
              <w:right w:val="nil"/>
            </w:tcBorders>
            <w:shd w:val="clear" w:color="auto" w:fill="auto"/>
            <w:noWrap/>
            <w:vAlign w:val="center"/>
            <w:hideMark/>
          </w:tcPr>
          <w:p w14:paraId="22F43EF8" w14:textId="77777777" w:rsidR="003B23F9" w:rsidRPr="00DB1598" w:rsidRDefault="003B23F9" w:rsidP="00BD1E2C">
            <w:pPr>
              <w:pStyle w:val="Appendixtablecontent"/>
            </w:pPr>
            <w:r w:rsidRPr="00DB1598">
              <w:t>22%</w:t>
            </w:r>
          </w:p>
        </w:tc>
      </w:tr>
      <w:tr w:rsidR="003B23F9" w:rsidRPr="00DB1598" w14:paraId="4970B502" w14:textId="77777777" w:rsidTr="005A2603">
        <w:trPr>
          <w:trHeight w:val="480"/>
        </w:trPr>
        <w:tc>
          <w:tcPr>
            <w:tcW w:w="1880" w:type="dxa"/>
            <w:tcBorders>
              <w:top w:val="single" w:sz="8" w:space="0" w:color="auto"/>
              <w:left w:val="nil"/>
              <w:bottom w:val="single" w:sz="12" w:space="0" w:color="auto"/>
              <w:right w:val="nil"/>
            </w:tcBorders>
            <w:shd w:val="clear" w:color="auto" w:fill="auto"/>
            <w:vAlign w:val="center"/>
            <w:hideMark/>
          </w:tcPr>
          <w:p w14:paraId="6DF0EC26" w14:textId="77777777" w:rsidR="003B23F9" w:rsidRPr="00DB1598" w:rsidRDefault="003B23F9" w:rsidP="00BD1E2C">
            <w:pPr>
              <w:pStyle w:val="Appendixtablecontent"/>
              <w:rPr>
                <w:b/>
              </w:rPr>
            </w:pPr>
            <w:r w:rsidRPr="00DB1598">
              <w:rPr>
                <w:b/>
              </w:rPr>
              <w:t>Average</w:t>
            </w:r>
          </w:p>
        </w:tc>
        <w:tc>
          <w:tcPr>
            <w:tcW w:w="820" w:type="dxa"/>
            <w:tcBorders>
              <w:top w:val="single" w:sz="8" w:space="0" w:color="auto"/>
              <w:left w:val="nil"/>
              <w:bottom w:val="single" w:sz="12" w:space="0" w:color="auto"/>
              <w:right w:val="nil"/>
            </w:tcBorders>
            <w:shd w:val="clear" w:color="auto" w:fill="auto"/>
            <w:noWrap/>
            <w:vAlign w:val="center"/>
            <w:hideMark/>
          </w:tcPr>
          <w:p w14:paraId="4EA06876" w14:textId="77777777" w:rsidR="003B23F9" w:rsidRPr="00DB1598" w:rsidRDefault="003B23F9" w:rsidP="00BD1E2C">
            <w:pPr>
              <w:pStyle w:val="Appendixtablecontent"/>
              <w:rPr>
                <w:b/>
              </w:rPr>
            </w:pPr>
            <w:r w:rsidRPr="00DB1598">
              <w:rPr>
                <w:b/>
              </w:rPr>
              <w:t>51%</w:t>
            </w:r>
          </w:p>
        </w:tc>
        <w:tc>
          <w:tcPr>
            <w:tcW w:w="820" w:type="dxa"/>
            <w:tcBorders>
              <w:top w:val="single" w:sz="8" w:space="0" w:color="auto"/>
              <w:left w:val="nil"/>
              <w:bottom w:val="single" w:sz="12" w:space="0" w:color="auto"/>
              <w:right w:val="nil"/>
            </w:tcBorders>
            <w:shd w:val="clear" w:color="auto" w:fill="auto"/>
            <w:noWrap/>
            <w:vAlign w:val="center"/>
            <w:hideMark/>
          </w:tcPr>
          <w:p w14:paraId="7AD45E0A" w14:textId="77777777" w:rsidR="003B23F9" w:rsidRPr="00DB1598" w:rsidRDefault="003B23F9" w:rsidP="00BD1E2C">
            <w:pPr>
              <w:pStyle w:val="Appendixtablecontent"/>
              <w:rPr>
                <w:b/>
              </w:rPr>
            </w:pPr>
            <w:r w:rsidRPr="00DB1598">
              <w:rPr>
                <w:b/>
              </w:rPr>
              <w:t>66%</w:t>
            </w:r>
          </w:p>
        </w:tc>
        <w:tc>
          <w:tcPr>
            <w:tcW w:w="820" w:type="dxa"/>
            <w:tcBorders>
              <w:top w:val="single" w:sz="8" w:space="0" w:color="auto"/>
              <w:left w:val="nil"/>
              <w:bottom w:val="single" w:sz="12" w:space="0" w:color="auto"/>
              <w:right w:val="single" w:sz="4" w:space="0" w:color="auto"/>
            </w:tcBorders>
            <w:shd w:val="clear" w:color="auto" w:fill="auto"/>
            <w:noWrap/>
            <w:vAlign w:val="center"/>
            <w:hideMark/>
          </w:tcPr>
          <w:p w14:paraId="4028AA68" w14:textId="77777777" w:rsidR="003B23F9" w:rsidRPr="00DB1598" w:rsidRDefault="003B23F9" w:rsidP="00BD1E2C">
            <w:pPr>
              <w:pStyle w:val="Appendixtablecontent"/>
              <w:rPr>
                <w:b/>
              </w:rPr>
            </w:pPr>
            <w:r w:rsidRPr="00DB1598">
              <w:rPr>
                <w:b/>
              </w:rPr>
              <w:t>67%</w:t>
            </w:r>
          </w:p>
        </w:tc>
        <w:tc>
          <w:tcPr>
            <w:tcW w:w="820" w:type="dxa"/>
            <w:tcBorders>
              <w:top w:val="single" w:sz="8" w:space="0" w:color="auto"/>
              <w:left w:val="nil"/>
              <w:bottom w:val="single" w:sz="12" w:space="0" w:color="auto"/>
              <w:right w:val="nil"/>
            </w:tcBorders>
            <w:shd w:val="clear" w:color="auto" w:fill="auto"/>
            <w:noWrap/>
            <w:vAlign w:val="center"/>
            <w:hideMark/>
          </w:tcPr>
          <w:p w14:paraId="731E2C86" w14:textId="77777777" w:rsidR="003B23F9" w:rsidRPr="00DB1598" w:rsidRDefault="003B23F9" w:rsidP="00BD1E2C">
            <w:pPr>
              <w:pStyle w:val="Appendixtablecontent"/>
              <w:rPr>
                <w:b/>
              </w:rPr>
            </w:pPr>
            <w:r w:rsidRPr="00DB1598">
              <w:rPr>
                <w:b/>
              </w:rPr>
              <w:t>19%</w:t>
            </w:r>
          </w:p>
        </w:tc>
        <w:tc>
          <w:tcPr>
            <w:tcW w:w="820" w:type="dxa"/>
            <w:tcBorders>
              <w:top w:val="single" w:sz="8" w:space="0" w:color="auto"/>
              <w:left w:val="nil"/>
              <w:bottom w:val="single" w:sz="12" w:space="0" w:color="auto"/>
              <w:right w:val="nil"/>
            </w:tcBorders>
            <w:shd w:val="clear" w:color="auto" w:fill="auto"/>
            <w:noWrap/>
            <w:vAlign w:val="center"/>
            <w:hideMark/>
          </w:tcPr>
          <w:p w14:paraId="679EFB3A" w14:textId="77777777" w:rsidR="003B23F9" w:rsidRPr="00DB1598" w:rsidRDefault="003B23F9" w:rsidP="00BD1E2C">
            <w:pPr>
              <w:pStyle w:val="Appendixtablecontent"/>
              <w:rPr>
                <w:b/>
              </w:rPr>
            </w:pPr>
            <w:r w:rsidRPr="00DB1598">
              <w:rPr>
                <w:b/>
              </w:rPr>
              <w:t>10%</w:t>
            </w:r>
          </w:p>
        </w:tc>
        <w:tc>
          <w:tcPr>
            <w:tcW w:w="820" w:type="dxa"/>
            <w:tcBorders>
              <w:top w:val="single" w:sz="8" w:space="0" w:color="auto"/>
              <w:left w:val="nil"/>
              <w:bottom w:val="single" w:sz="12" w:space="0" w:color="auto"/>
              <w:right w:val="single" w:sz="4" w:space="0" w:color="auto"/>
            </w:tcBorders>
            <w:shd w:val="clear" w:color="auto" w:fill="auto"/>
            <w:noWrap/>
            <w:vAlign w:val="center"/>
            <w:hideMark/>
          </w:tcPr>
          <w:p w14:paraId="5918C54C" w14:textId="77777777" w:rsidR="003B23F9" w:rsidRPr="00DB1598" w:rsidRDefault="003B23F9" w:rsidP="00BD1E2C">
            <w:pPr>
              <w:pStyle w:val="Appendixtablecontent"/>
              <w:rPr>
                <w:b/>
              </w:rPr>
            </w:pPr>
            <w:r w:rsidRPr="00DB1598">
              <w:rPr>
                <w:b/>
              </w:rPr>
              <w:t>9%</w:t>
            </w:r>
          </w:p>
        </w:tc>
        <w:tc>
          <w:tcPr>
            <w:tcW w:w="820" w:type="dxa"/>
            <w:tcBorders>
              <w:top w:val="single" w:sz="8" w:space="0" w:color="auto"/>
              <w:left w:val="nil"/>
              <w:bottom w:val="single" w:sz="12" w:space="0" w:color="auto"/>
              <w:right w:val="nil"/>
            </w:tcBorders>
            <w:shd w:val="clear" w:color="auto" w:fill="auto"/>
            <w:noWrap/>
            <w:vAlign w:val="center"/>
            <w:hideMark/>
          </w:tcPr>
          <w:p w14:paraId="2655DDA9" w14:textId="77777777" w:rsidR="003B23F9" w:rsidRPr="00DB1598" w:rsidRDefault="003B23F9" w:rsidP="00BD1E2C">
            <w:pPr>
              <w:pStyle w:val="Appendixtablecontent"/>
              <w:rPr>
                <w:b/>
              </w:rPr>
            </w:pPr>
            <w:r w:rsidRPr="00DB1598">
              <w:rPr>
                <w:b/>
              </w:rPr>
              <w:t>30%</w:t>
            </w:r>
          </w:p>
        </w:tc>
        <w:tc>
          <w:tcPr>
            <w:tcW w:w="820" w:type="dxa"/>
            <w:tcBorders>
              <w:top w:val="single" w:sz="8" w:space="0" w:color="auto"/>
              <w:left w:val="nil"/>
              <w:bottom w:val="single" w:sz="12" w:space="0" w:color="auto"/>
              <w:right w:val="nil"/>
            </w:tcBorders>
            <w:shd w:val="clear" w:color="auto" w:fill="auto"/>
            <w:noWrap/>
            <w:vAlign w:val="center"/>
            <w:hideMark/>
          </w:tcPr>
          <w:p w14:paraId="47256932" w14:textId="77777777" w:rsidR="003B23F9" w:rsidRPr="00DB1598" w:rsidRDefault="003B23F9" w:rsidP="00BD1E2C">
            <w:pPr>
              <w:pStyle w:val="Appendixtablecontent"/>
              <w:rPr>
                <w:b/>
              </w:rPr>
            </w:pPr>
            <w:r w:rsidRPr="00DB1598">
              <w:rPr>
                <w:b/>
              </w:rPr>
              <w:t>24%</w:t>
            </w:r>
          </w:p>
        </w:tc>
        <w:tc>
          <w:tcPr>
            <w:tcW w:w="820" w:type="dxa"/>
            <w:tcBorders>
              <w:top w:val="single" w:sz="8" w:space="0" w:color="auto"/>
              <w:left w:val="nil"/>
              <w:bottom w:val="single" w:sz="12" w:space="0" w:color="auto"/>
              <w:right w:val="nil"/>
            </w:tcBorders>
            <w:shd w:val="clear" w:color="auto" w:fill="auto"/>
            <w:noWrap/>
            <w:vAlign w:val="center"/>
            <w:hideMark/>
          </w:tcPr>
          <w:p w14:paraId="014183FA" w14:textId="77777777" w:rsidR="003B23F9" w:rsidRPr="00DB1598" w:rsidRDefault="003B23F9" w:rsidP="00BD1E2C">
            <w:pPr>
              <w:pStyle w:val="Appendixtablecontent"/>
              <w:rPr>
                <w:b/>
              </w:rPr>
            </w:pPr>
            <w:r w:rsidRPr="00DB1598">
              <w:rPr>
                <w:b/>
              </w:rPr>
              <w:t>24%</w:t>
            </w:r>
          </w:p>
        </w:tc>
      </w:tr>
    </w:tbl>
    <w:p w14:paraId="03DCE77F" w14:textId="707C5014" w:rsidR="003B23F9" w:rsidRPr="005A2603" w:rsidRDefault="003B23F9" w:rsidP="005A2603">
      <w:pPr>
        <w:pStyle w:val="Appendixtablenote"/>
        <w:rPr>
          <w:lang w:val="en-US"/>
        </w:rPr>
      </w:pPr>
      <w:r w:rsidRPr="001C4ED7">
        <w:rPr>
          <w:vertAlign w:val="superscript"/>
        </w:rPr>
        <w:t>a</w:t>
      </w:r>
      <w:r w:rsidRPr="001C4ED7">
        <w:t xml:space="preserve"> </w:t>
      </w:r>
      <w:r w:rsidR="00661351" w:rsidRPr="001C4ED7">
        <w:t xml:space="preserve">Source: </w:t>
      </w:r>
      <w:r w:rsidRPr="001C4ED7">
        <w:t xml:space="preserve">Kungliga utrikesdepartementet (1967), p.274. </w:t>
      </w:r>
      <w:proofErr w:type="gramStart"/>
      <w:r w:rsidRPr="005A2603">
        <w:rPr>
          <w:lang w:val="en-US"/>
        </w:rPr>
        <w:t>Different years for different herding districts.</w:t>
      </w:r>
      <w:proofErr w:type="gramEnd"/>
      <w:r w:rsidRPr="005A2603">
        <w:rPr>
          <w:lang w:val="en-US"/>
        </w:rPr>
        <w:t xml:space="preserve"> For </w:t>
      </w:r>
      <w:proofErr w:type="spellStart"/>
      <w:r w:rsidRPr="005A2603">
        <w:rPr>
          <w:lang w:val="en-US"/>
        </w:rPr>
        <w:t>Jämtland</w:t>
      </w:r>
      <w:proofErr w:type="spellEnd"/>
      <w:r w:rsidRPr="005A2603">
        <w:rPr>
          <w:lang w:val="en-US"/>
        </w:rPr>
        <w:t xml:space="preserve"> County, only one district (</w:t>
      </w:r>
      <w:proofErr w:type="spellStart"/>
      <w:r w:rsidRPr="005A2603">
        <w:rPr>
          <w:lang w:val="en-US"/>
        </w:rPr>
        <w:t>Tännäs</w:t>
      </w:r>
      <w:proofErr w:type="spellEnd"/>
      <w:r w:rsidRPr="005A2603">
        <w:rPr>
          <w:lang w:val="en-US"/>
        </w:rPr>
        <w:t>) was included in 1964, but assumed to be representative for the county.</w:t>
      </w:r>
    </w:p>
    <w:p w14:paraId="4CA9A2F1" w14:textId="77777777" w:rsidR="003B23F9" w:rsidRPr="005A2603" w:rsidRDefault="003B23F9" w:rsidP="005A2603">
      <w:pPr>
        <w:pStyle w:val="Appendixtablenote"/>
        <w:rPr>
          <w:lang w:val="en-US"/>
        </w:rPr>
      </w:pPr>
      <w:proofErr w:type="gramStart"/>
      <w:r w:rsidRPr="005A2603">
        <w:rPr>
          <w:vertAlign w:val="superscript"/>
          <w:lang w:val="en-US"/>
        </w:rPr>
        <w:t>b</w:t>
      </w:r>
      <w:proofErr w:type="gramEnd"/>
      <w:r w:rsidRPr="005A2603">
        <w:rPr>
          <w:lang w:val="en-US"/>
        </w:rPr>
        <w:t xml:space="preserve"> Calculated from original data from the Swedish Sami Parliament (obtained in January 2016).</w:t>
      </w:r>
    </w:p>
    <w:p w14:paraId="0BB30281" w14:textId="77777777" w:rsidR="003B23F9" w:rsidRDefault="003B23F9" w:rsidP="00E86E6B">
      <w:pPr>
        <w:pStyle w:val="Appendixtext"/>
      </w:pPr>
      <w:r w:rsidRPr="00102B16">
        <w:br w:type="page"/>
      </w:r>
    </w:p>
    <w:p w14:paraId="6D73CABB" w14:textId="77777777" w:rsidR="003B23F9" w:rsidRDefault="003B23F9" w:rsidP="00E86E6B">
      <w:pPr>
        <w:pStyle w:val="Appendixsubtitle1"/>
      </w:pPr>
      <w:r>
        <w:lastRenderedPageBreak/>
        <w:t>Slaughter strategy</w:t>
      </w:r>
    </w:p>
    <w:p w14:paraId="2CE9B217" w14:textId="77777777" w:rsidR="003B23F9" w:rsidRDefault="003B23F9" w:rsidP="00E86E6B">
      <w:pPr>
        <w:pStyle w:val="Appendixtext"/>
      </w:pPr>
    </w:p>
    <w:p w14:paraId="1C61D5C1" w14:textId="77777777" w:rsidR="003B23F9" w:rsidRPr="00102B16" w:rsidRDefault="003B23F9" w:rsidP="00BD1E2C">
      <w:pPr>
        <w:jc w:val="center"/>
        <w:rPr>
          <w:rFonts w:ascii="Times New Roman" w:hAnsi="Times New Roman" w:cs="Times New Roman"/>
          <w:b/>
          <w:lang w:val="en-US"/>
        </w:rPr>
      </w:pPr>
      <w:r w:rsidRPr="00102B16">
        <w:rPr>
          <w:noProof/>
          <w:lang w:val="en-PH" w:eastAsia="en-PH"/>
        </w:rPr>
        <w:drawing>
          <wp:inline distT="0" distB="0" distL="0" distR="0" wp14:anchorId="4541FE42" wp14:editId="0FC41102">
            <wp:extent cx="5566498" cy="332763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94956" cy="3344643"/>
                    </a:xfrm>
                    <a:prstGeom prst="rect">
                      <a:avLst/>
                    </a:prstGeom>
                  </pic:spPr>
                </pic:pic>
              </a:graphicData>
            </a:graphic>
          </wp:inline>
        </w:drawing>
      </w:r>
    </w:p>
    <w:p w14:paraId="705205D5" w14:textId="6C18FEAE" w:rsidR="003B23F9" w:rsidRPr="007D4381" w:rsidRDefault="003B23F9" w:rsidP="00BD1E2C">
      <w:pPr>
        <w:pStyle w:val="Appendixcaption"/>
      </w:pPr>
      <w:r w:rsidRPr="007D4381">
        <w:rPr>
          <w:b/>
        </w:rPr>
        <w:t xml:space="preserve">Figure A2.1. </w:t>
      </w:r>
      <w:proofErr w:type="gramStart"/>
      <w:r w:rsidRPr="007D4381">
        <w:t>Number of harvested reindeer (divided into females, males and calves) during the slaughter seasons 1996/97 - 2014/15.</w:t>
      </w:r>
      <w:proofErr w:type="gramEnd"/>
      <w:r w:rsidRPr="007D4381">
        <w:t xml:space="preserve"> The percentage of harvested calves is indicated on top of each year’s column. Values were calculated from original data from the Swedish Sami Parliament (obtained in January 2016). Number of harvested female reindeer did not undergo any significant trend (Linear regression model: </w:t>
      </w:r>
      <w:r w:rsidR="00B74781" w:rsidRPr="007D4381">
        <w:t xml:space="preserve">p-value </w:t>
      </w:r>
      <w:r w:rsidR="00B74781">
        <w:t xml:space="preserve">of the </w:t>
      </w:r>
      <w:r w:rsidRPr="007D4381">
        <w:t>coefficient estimate β &gt; 0.05), while number of harvested males significantly decreased (β = -317.90, SE = 103.22, p-value = 0.0068) and number of harvested calves significantly increased (β = 654.61, SE = 208.80, p-value = 0.0060). The regression models did not violate any regression assumption.</w:t>
      </w:r>
    </w:p>
    <w:p w14:paraId="15B6A97A" w14:textId="77777777" w:rsidR="003B23F9" w:rsidRDefault="003B23F9" w:rsidP="00E86E6B">
      <w:pPr>
        <w:pStyle w:val="Appendixtext"/>
        <w:rPr>
          <w:szCs w:val="22"/>
        </w:rPr>
      </w:pPr>
      <w:r w:rsidRPr="00BD1E2C">
        <w:br w:type="page"/>
      </w:r>
    </w:p>
    <w:p w14:paraId="1B9072C8" w14:textId="15EF5D50" w:rsidR="003B23F9" w:rsidRDefault="002E46DD" w:rsidP="00E86E6B">
      <w:pPr>
        <w:pStyle w:val="Appendixsubtitle1"/>
      </w:pPr>
      <w:r>
        <w:lastRenderedPageBreak/>
        <w:t>B</w:t>
      </w:r>
      <w:r w:rsidR="003B23F9">
        <w:t xml:space="preserve">ody condition, as reflected </w:t>
      </w:r>
      <w:r w:rsidR="00555753">
        <w:t xml:space="preserve">by </w:t>
      </w:r>
      <w:r w:rsidR="003B23F9">
        <w:t>carcass weight of calves harvested in autumn</w:t>
      </w:r>
    </w:p>
    <w:p w14:paraId="27DE6ECF" w14:textId="77777777" w:rsidR="0087286E" w:rsidRDefault="0087286E" w:rsidP="00E86E6B">
      <w:pPr>
        <w:pStyle w:val="Appendixtext"/>
      </w:pPr>
    </w:p>
    <w:p w14:paraId="1B4DB040" w14:textId="63D4EF8E" w:rsidR="003B23F9" w:rsidRDefault="00154EB0" w:rsidP="0061150B">
      <w:pPr>
        <w:pStyle w:val="Appendixcaption"/>
      </w:pPr>
      <w:r>
        <w:rPr>
          <w:noProof/>
          <w:lang w:val="en-PH" w:eastAsia="en-PH"/>
        </w:rPr>
        <w:drawing>
          <wp:inline distT="0" distB="0" distL="0" distR="0" wp14:anchorId="7AF6F805" wp14:editId="7C46A149">
            <wp:extent cx="5589364" cy="3362960"/>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9678" cy="3369166"/>
                    </a:xfrm>
                    <a:prstGeom prst="rect">
                      <a:avLst/>
                    </a:prstGeom>
                  </pic:spPr>
                </pic:pic>
              </a:graphicData>
            </a:graphic>
          </wp:inline>
        </w:drawing>
      </w:r>
    </w:p>
    <w:p w14:paraId="0E6F51CF" w14:textId="1ADB8288" w:rsidR="003B23F9" w:rsidRPr="007D4381" w:rsidRDefault="003B23F9" w:rsidP="00DB1598">
      <w:pPr>
        <w:pStyle w:val="Appendixcaption"/>
      </w:pPr>
      <w:r w:rsidRPr="007D4381">
        <w:rPr>
          <w:b/>
        </w:rPr>
        <w:t xml:space="preserve">Figure A2.2. </w:t>
      </w:r>
      <w:r w:rsidRPr="007D4381">
        <w:t xml:space="preserve">Average carcass weight (kg) of calves harvested in October-December (±standard deviation), in Sweden during the slaughter seasons 1996/97 - 2014/15. Values were calculated from original data from the Swedish Sami Parliament (obtained in January 2016, outliers &lt;10 kg or &gt;33 kg </w:t>
      </w:r>
      <w:r w:rsidR="00555753">
        <w:t>were</w:t>
      </w:r>
      <w:r w:rsidRPr="007D4381">
        <w:t xml:space="preserve"> removed from the data</w:t>
      </w:r>
      <w:r w:rsidR="00555753">
        <w:t>set</w:t>
      </w:r>
      <w:r w:rsidRPr="007D4381">
        <w:t>). Average calf carcass weight showed a slight statistically significant increase (Linear regression model: β = 0.04, SE = 0.02, p-value = 0.0403).</w:t>
      </w:r>
    </w:p>
    <w:p w14:paraId="5FA21B68" w14:textId="77777777" w:rsidR="003B23F9" w:rsidRDefault="003B23F9" w:rsidP="007D4381">
      <w:pPr>
        <w:pStyle w:val="Appendixtext"/>
      </w:pPr>
      <w:r>
        <w:br w:type="page"/>
      </w:r>
    </w:p>
    <w:p w14:paraId="440013FC" w14:textId="77777777" w:rsidR="003937F8" w:rsidRPr="0031038A" w:rsidRDefault="003937F8" w:rsidP="00E86E6B">
      <w:pPr>
        <w:pStyle w:val="Appendixsubtitle1"/>
      </w:pPr>
      <w:r w:rsidRPr="0031038A">
        <w:lastRenderedPageBreak/>
        <w:t>Governmental support</w:t>
      </w:r>
      <w:r>
        <w:t xml:space="preserve"> for </w:t>
      </w:r>
      <w:r w:rsidR="002F6927">
        <w:t>rationalization and technical development</w:t>
      </w:r>
      <w:r>
        <w:t xml:space="preserve"> </w:t>
      </w:r>
    </w:p>
    <w:p w14:paraId="1BFA1D22" w14:textId="77777777" w:rsidR="003937F8" w:rsidRDefault="003937F8" w:rsidP="00E86E6B">
      <w:pPr>
        <w:pStyle w:val="Appendixtext"/>
      </w:pPr>
    </w:p>
    <w:p w14:paraId="653C73EC" w14:textId="683CECAE" w:rsidR="003B23F9" w:rsidRPr="00A52CD4" w:rsidRDefault="003B23F9" w:rsidP="003A1248">
      <w:pPr>
        <w:pStyle w:val="Appendixcaption"/>
        <w:ind w:right="1695"/>
      </w:pPr>
      <w:r w:rsidRPr="007D4381">
        <w:rPr>
          <w:b/>
        </w:rPr>
        <w:t>Table A2.</w:t>
      </w:r>
      <w:r w:rsidR="001C4ED7">
        <w:rPr>
          <w:b/>
        </w:rPr>
        <w:t>3</w:t>
      </w:r>
      <w:r w:rsidRPr="007D4381">
        <w:rPr>
          <w:b/>
        </w:rPr>
        <w:t xml:space="preserve">. </w:t>
      </w:r>
      <w:r>
        <w:t>Governmental</w:t>
      </w:r>
      <w:r w:rsidRPr="007D4381">
        <w:t xml:space="preserve"> support distributed from 197</w:t>
      </w:r>
      <w:r>
        <w:t>7</w:t>
      </w:r>
      <w:r w:rsidRPr="007D4381">
        <w:t xml:space="preserve"> to </w:t>
      </w:r>
      <w:r>
        <w:t>1993</w:t>
      </w:r>
      <w:r w:rsidRPr="007D4381">
        <w:t xml:space="preserve"> for the promotion of </w:t>
      </w:r>
      <w:r>
        <w:t xml:space="preserve">development of </w:t>
      </w:r>
      <w:r w:rsidRPr="007D4381">
        <w:t xml:space="preserve">reindeer husbandry divided into: Rationalization support, Operational support, Tool support. Data are presented in million Swedish crowns (SEK), standardized to the year 2015 using the historical Cost-of-Living Index (CLI, retrieved on September 4, 2017 at </w:t>
      </w:r>
      <w:hyperlink r:id="rId9" w:history="1">
        <w:r w:rsidRPr="007D4381">
          <w:rPr>
            <w:rStyle w:val="Hyperlink"/>
          </w:rPr>
          <w:t>www.scb.se</w:t>
        </w:r>
      </w:hyperlink>
      <w:r w:rsidR="00D733F3">
        <w:t>).</w:t>
      </w:r>
    </w:p>
    <w:tbl>
      <w:tblPr>
        <w:tblW w:w="7797" w:type="dxa"/>
        <w:tblLayout w:type="fixed"/>
        <w:tblCellMar>
          <w:left w:w="70" w:type="dxa"/>
          <w:right w:w="70" w:type="dxa"/>
        </w:tblCellMar>
        <w:tblLook w:val="04A0" w:firstRow="1" w:lastRow="0" w:firstColumn="1" w:lastColumn="0" w:noHBand="0" w:noVBand="1"/>
      </w:tblPr>
      <w:tblGrid>
        <w:gridCol w:w="1134"/>
        <w:gridCol w:w="1843"/>
        <w:gridCol w:w="1701"/>
        <w:gridCol w:w="1559"/>
        <w:gridCol w:w="1560"/>
      </w:tblGrid>
      <w:tr w:rsidR="008F0C88" w:rsidRPr="00102B16" w14:paraId="3E60A372" w14:textId="57D4F3AE" w:rsidTr="008F0C88">
        <w:trPr>
          <w:trHeight w:val="762"/>
        </w:trPr>
        <w:tc>
          <w:tcPr>
            <w:tcW w:w="1134" w:type="dxa"/>
            <w:tcBorders>
              <w:top w:val="double" w:sz="12" w:space="0" w:color="auto"/>
              <w:left w:val="nil"/>
              <w:bottom w:val="single" w:sz="12" w:space="0" w:color="auto"/>
              <w:right w:val="nil"/>
            </w:tcBorders>
            <w:shd w:val="clear" w:color="auto" w:fill="auto"/>
            <w:noWrap/>
            <w:vAlign w:val="center"/>
            <w:hideMark/>
          </w:tcPr>
          <w:p w14:paraId="5B380504" w14:textId="77777777" w:rsidR="008F0C88" w:rsidRPr="00102B16" w:rsidRDefault="008F0C88" w:rsidP="00AF3110">
            <w:pPr>
              <w:pStyle w:val="Appendixtableheader"/>
            </w:pPr>
            <w:r w:rsidRPr="00102B16">
              <w:t>Year</w:t>
            </w:r>
          </w:p>
        </w:tc>
        <w:tc>
          <w:tcPr>
            <w:tcW w:w="1843" w:type="dxa"/>
            <w:tcBorders>
              <w:top w:val="double" w:sz="12" w:space="0" w:color="auto"/>
              <w:left w:val="nil"/>
              <w:bottom w:val="single" w:sz="12" w:space="0" w:color="auto"/>
              <w:right w:val="nil"/>
            </w:tcBorders>
            <w:shd w:val="clear" w:color="auto" w:fill="auto"/>
            <w:vAlign w:val="center"/>
            <w:hideMark/>
          </w:tcPr>
          <w:p w14:paraId="0F2553F5" w14:textId="77777777" w:rsidR="008F0C88" w:rsidRPr="00102B16" w:rsidRDefault="008F0C88" w:rsidP="008F0C88">
            <w:pPr>
              <w:pStyle w:val="Appendixtableheader"/>
            </w:pPr>
            <w:r w:rsidRPr="00102B16">
              <w:t>Rationalization support</w:t>
            </w:r>
          </w:p>
        </w:tc>
        <w:tc>
          <w:tcPr>
            <w:tcW w:w="1701" w:type="dxa"/>
            <w:tcBorders>
              <w:top w:val="double" w:sz="12" w:space="0" w:color="auto"/>
              <w:left w:val="nil"/>
              <w:bottom w:val="single" w:sz="12" w:space="0" w:color="auto"/>
              <w:right w:val="nil"/>
            </w:tcBorders>
            <w:shd w:val="clear" w:color="auto" w:fill="auto"/>
            <w:vAlign w:val="center"/>
            <w:hideMark/>
          </w:tcPr>
          <w:p w14:paraId="261287E4" w14:textId="77777777" w:rsidR="008F0C88" w:rsidRPr="00102B16" w:rsidRDefault="008F0C88" w:rsidP="008F0C88">
            <w:pPr>
              <w:pStyle w:val="Appendixtableheader"/>
            </w:pPr>
            <w:r w:rsidRPr="00102B16">
              <w:t>Operational support</w:t>
            </w:r>
          </w:p>
        </w:tc>
        <w:tc>
          <w:tcPr>
            <w:tcW w:w="1559" w:type="dxa"/>
            <w:tcBorders>
              <w:top w:val="double" w:sz="12" w:space="0" w:color="auto"/>
              <w:left w:val="nil"/>
              <w:bottom w:val="single" w:sz="12" w:space="0" w:color="auto"/>
              <w:right w:val="nil"/>
            </w:tcBorders>
            <w:shd w:val="clear" w:color="auto" w:fill="auto"/>
            <w:vAlign w:val="center"/>
            <w:hideMark/>
          </w:tcPr>
          <w:p w14:paraId="2FF3FDE9" w14:textId="77777777" w:rsidR="008F0C88" w:rsidRPr="00102B16" w:rsidRDefault="008F0C88" w:rsidP="008F0C88">
            <w:pPr>
              <w:pStyle w:val="Appendixtableheader"/>
            </w:pPr>
            <w:r w:rsidRPr="00102B16">
              <w:t>Tool support</w:t>
            </w:r>
          </w:p>
        </w:tc>
        <w:tc>
          <w:tcPr>
            <w:tcW w:w="1560" w:type="dxa"/>
            <w:tcBorders>
              <w:top w:val="double" w:sz="12" w:space="0" w:color="auto"/>
              <w:left w:val="nil"/>
              <w:bottom w:val="single" w:sz="12" w:space="0" w:color="auto"/>
              <w:right w:val="nil"/>
            </w:tcBorders>
          </w:tcPr>
          <w:p w14:paraId="1F954A28" w14:textId="310B20DF" w:rsidR="008F0C88" w:rsidRPr="00102B16" w:rsidRDefault="009948A6" w:rsidP="008F0C88">
            <w:pPr>
              <w:pStyle w:val="Appendixtableheader"/>
            </w:pPr>
            <w:r>
              <w:t>Project support</w:t>
            </w:r>
          </w:p>
        </w:tc>
      </w:tr>
      <w:tr w:rsidR="008F0C88" w:rsidRPr="00102B16" w14:paraId="1D049B57" w14:textId="3D4AA23E" w:rsidTr="0059425E">
        <w:trPr>
          <w:trHeight w:val="255"/>
        </w:trPr>
        <w:tc>
          <w:tcPr>
            <w:tcW w:w="1134" w:type="dxa"/>
            <w:tcBorders>
              <w:top w:val="single" w:sz="12" w:space="0" w:color="auto"/>
              <w:left w:val="nil"/>
              <w:bottom w:val="nil"/>
              <w:right w:val="nil"/>
            </w:tcBorders>
            <w:shd w:val="clear" w:color="auto" w:fill="auto"/>
            <w:noWrap/>
            <w:vAlign w:val="center"/>
            <w:hideMark/>
          </w:tcPr>
          <w:p w14:paraId="1C6B110D" w14:textId="77777777" w:rsidR="008F0C88" w:rsidRPr="00102B16" w:rsidRDefault="008F0C88" w:rsidP="008F0C88">
            <w:pPr>
              <w:pStyle w:val="Appendixtablecontent"/>
              <w:spacing w:line="240" w:lineRule="auto"/>
            </w:pPr>
            <w:r w:rsidRPr="00102B16">
              <w:t>1977</w:t>
            </w:r>
          </w:p>
        </w:tc>
        <w:tc>
          <w:tcPr>
            <w:tcW w:w="1843" w:type="dxa"/>
            <w:tcBorders>
              <w:top w:val="single" w:sz="12" w:space="0" w:color="auto"/>
              <w:left w:val="nil"/>
              <w:bottom w:val="nil"/>
              <w:right w:val="nil"/>
            </w:tcBorders>
            <w:shd w:val="clear" w:color="auto" w:fill="auto"/>
            <w:noWrap/>
            <w:vAlign w:val="center"/>
            <w:hideMark/>
          </w:tcPr>
          <w:p w14:paraId="5279E1E2" w14:textId="77777777" w:rsidR="008F0C88" w:rsidRPr="00102B16" w:rsidRDefault="008F0C88" w:rsidP="008F0C88">
            <w:pPr>
              <w:pStyle w:val="Appendixtablecontent"/>
              <w:spacing w:line="240" w:lineRule="auto"/>
            </w:pPr>
            <w:r w:rsidRPr="00102B16">
              <w:t>0.53</w:t>
            </w:r>
          </w:p>
        </w:tc>
        <w:tc>
          <w:tcPr>
            <w:tcW w:w="1701" w:type="dxa"/>
            <w:tcBorders>
              <w:top w:val="single" w:sz="12" w:space="0" w:color="auto"/>
              <w:left w:val="nil"/>
              <w:bottom w:val="nil"/>
              <w:right w:val="nil"/>
            </w:tcBorders>
            <w:shd w:val="clear" w:color="auto" w:fill="auto"/>
            <w:noWrap/>
            <w:vAlign w:val="center"/>
            <w:hideMark/>
          </w:tcPr>
          <w:p w14:paraId="28DB83DA" w14:textId="77777777" w:rsidR="008F0C88" w:rsidRPr="00102B16" w:rsidRDefault="008F0C88" w:rsidP="008F0C88">
            <w:pPr>
              <w:pStyle w:val="Appendixtablecontent"/>
              <w:spacing w:line="240" w:lineRule="auto"/>
            </w:pPr>
            <w:r w:rsidRPr="00102B16">
              <w:t>1.02</w:t>
            </w:r>
          </w:p>
        </w:tc>
        <w:tc>
          <w:tcPr>
            <w:tcW w:w="1559" w:type="dxa"/>
            <w:tcBorders>
              <w:top w:val="single" w:sz="12" w:space="0" w:color="auto"/>
              <w:left w:val="nil"/>
              <w:bottom w:val="nil"/>
              <w:right w:val="nil"/>
            </w:tcBorders>
            <w:shd w:val="clear" w:color="auto" w:fill="auto"/>
            <w:noWrap/>
            <w:vAlign w:val="center"/>
            <w:hideMark/>
          </w:tcPr>
          <w:p w14:paraId="085E197E" w14:textId="77777777" w:rsidR="008F0C88" w:rsidRPr="00102B16" w:rsidRDefault="008F0C88" w:rsidP="008F0C88">
            <w:pPr>
              <w:pStyle w:val="Appendixtablecontent"/>
              <w:spacing w:line="240" w:lineRule="auto"/>
            </w:pPr>
            <w:r w:rsidRPr="00102B16">
              <w:t>0.70</w:t>
            </w:r>
          </w:p>
        </w:tc>
        <w:tc>
          <w:tcPr>
            <w:tcW w:w="1560" w:type="dxa"/>
            <w:tcBorders>
              <w:top w:val="single" w:sz="12" w:space="0" w:color="auto"/>
              <w:left w:val="nil"/>
              <w:bottom w:val="nil"/>
              <w:right w:val="nil"/>
            </w:tcBorders>
            <w:vAlign w:val="center"/>
          </w:tcPr>
          <w:p w14:paraId="733F09D3" w14:textId="77777777" w:rsidR="008F0C88" w:rsidRPr="00102B16" w:rsidRDefault="008F0C88" w:rsidP="008F0C88">
            <w:pPr>
              <w:pStyle w:val="Appendixtablecontent"/>
              <w:spacing w:line="240" w:lineRule="auto"/>
            </w:pPr>
          </w:p>
        </w:tc>
      </w:tr>
      <w:tr w:rsidR="008F0C88" w:rsidRPr="00102B16" w14:paraId="57B68FDF" w14:textId="5468D3AB" w:rsidTr="0059425E">
        <w:trPr>
          <w:trHeight w:val="255"/>
        </w:trPr>
        <w:tc>
          <w:tcPr>
            <w:tcW w:w="1134" w:type="dxa"/>
            <w:tcBorders>
              <w:top w:val="nil"/>
              <w:left w:val="nil"/>
              <w:bottom w:val="nil"/>
              <w:right w:val="nil"/>
            </w:tcBorders>
            <w:shd w:val="clear" w:color="auto" w:fill="auto"/>
            <w:noWrap/>
            <w:vAlign w:val="center"/>
            <w:hideMark/>
          </w:tcPr>
          <w:p w14:paraId="54C824A8" w14:textId="77777777" w:rsidR="008F0C88" w:rsidRPr="00102B16" w:rsidRDefault="008F0C88" w:rsidP="008F0C88">
            <w:pPr>
              <w:pStyle w:val="Appendixtablecontent"/>
              <w:spacing w:line="240" w:lineRule="auto"/>
            </w:pPr>
            <w:r w:rsidRPr="00102B16">
              <w:t>1978</w:t>
            </w:r>
          </w:p>
        </w:tc>
        <w:tc>
          <w:tcPr>
            <w:tcW w:w="1843" w:type="dxa"/>
            <w:tcBorders>
              <w:top w:val="nil"/>
              <w:left w:val="nil"/>
              <w:bottom w:val="nil"/>
              <w:right w:val="nil"/>
            </w:tcBorders>
            <w:shd w:val="clear" w:color="auto" w:fill="auto"/>
            <w:noWrap/>
            <w:vAlign w:val="center"/>
            <w:hideMark/>
          </w:tcPr>
          <w:p w14:paraId="1D3328E2" w14:textId="77777777" w:rsidR="008F0C88" w:rsidRPr="00102B16" w:rsidRDefault="008F0C88" w:rsidP="008F0C88">
            <w:pPr>
              <w:pStyle w:val="Appendixtablecontent"/>
              <w:spacing w:line="240" w:lineRule="auto"/>
            </w:pPr>
            <w:r w:rsidRPr="00102B16">
              <w:t>0.35</w:t>
            </w:r>
          </w:p>
        </w:tc>
        <w:tc>
          <w:tcPr>
            <w:tcW w:w="1701" w:type="dxa"/>
            <w:tcBorders>
              <w:top w:val="nil"/>
              <w:left w:val="nil"/>
              <w:bottom w:val="nil"/>
              <w:right w:val="nil"/>
            </w:tcBorders>
            <w:shd w:val="clear" w:color="auto" w:fill="auto"/>
            <w:noWrap/>
            <w:vAlign w:val="center"/>
            <w:hideMark/>
          </w:tcPr>
          <w:p w14:paraId="4EB43680" w14:textId="77777777" w:rsidR="008F0C88" w:rsidRPr="00102B16" w:rsidRDefault="008F0C88" w:rsidP="008F0C88">
            <w:pPr>
              <w:pStyle w:val="Appendixtablecontent"/>
              <w:spacing w:line="240" w:lineRule="auto"/>
            </w:pPr>
            <w:r w:rsidRPr="00102B16">
              <w:t>0.75</w:t>
            </w:r>
          </w:p>
        </w:tc>
        <w:tc>
          <w:tcPr>
            <w:tcW w:w="1559" w:type="dxa"/>
            <w:tcBorders>
              <w:top w:val="nil"/>
              <w:left w:val="nil"/>
              <w:bottom w:val="nil"/>
              <w:right w:val="nil"/>
            </w:tcBorders>
            <w:shd w:val="clear" w:color="auto" w:fill="auto"/>
            <w:noWrap/>
            <w:vAlign w:val="center"/>
            <w:hideMark/>
          </w:tcPr>
          <w:p w14:paraId="729BA284" w14:textId="77777777" w:rsidR="008F0C88" w:rsidRPr="00102B16" w:rsidRDefault="008F0C88" w:rsidP="008F0C88">
            <w:pPr>
              <w:pStyle w:val="Appendixtablecontent"/>
              <w:spacing w:line="240" w:lineRule="auto"/>
            </w:pPr>
            <w:r w:rsidRPr="00102B16">
              <w:t>0.63</w:t>
            </w:r>
          </w:p>
        </w:tc>
        <w:tc>
          <w:tcPr>
            <w:tcW w:w="1560" w:type="dxa"/>
            <w:tcBorders>
              <w:top w:val="nil"/>
              <w:left w:val="nil"/>
              <w:bottom w:val="nil"/>
              <w:right w:val="nil"/>
            </w:tcBorders>
            <w:vAlign w:val="center"/>
          </w:tcPr>
          <w:p w14:paraId="548D363D" w14:textId="77777777" w:rsidR="008F0C88" w:rsidRPr="00102B16" w:rsidRDefault="008F0C88" w:rsidP="008F0C88">
            <w:pPr>
              <w:pStyle w:val="Appendixtablecontent"/>
              <w:spacing w:line="240" w:lineRule="auto"/>
            </w:pPr>
          </w:p>
        </w:tc>
      </w:tr>
      <w:tr w:rsidR="008F0C88" w:rsidRPr="00102B16" w14:paraId="14DE863C" w14:textId="4866AA4F" w:rsidTr="0059425E">
        <w:trPr>
          <w:trHeight w:val="255"/>
        </w:trPr>
        <w:tc>
          <w:tcPr>
            <w:tcW w:w="1134" w:type="dxa"/>
            <w:tcBorders>
              <w:top w:val="nil"/>
              <w:left w:val="nil"/>
              <w:bottom w:val="nil"/>
              <w:right w:val="nil"/>
            </w:tcBorders>
            <w:shd w:val="clear" w:color="auto" w:fill="auto"/>
            <w:noWrap/>
            <w:vAlign w:val="center"/>
            <w:hideMark/>
          </w:tcPr>
          <w:p w14:paraId="11BA49D6" w14:textId="77777777" w:rsidR="008F0C88" w:rsidRPr="00102B16" w:rsidRDefault="008F0C88" w:rsidP="008F0C88">
            <w:pPr>
              <w:pStyle w:val="Appendixtablecontent"/>
              <w:spacing w:line="240" w:lineRule="auto"/>
            </w:pPr>
            <w:r w:rsidRPr="00102B16">
              <w:t>1979</w:t>
            </w:r>
          </w:p>
        </w:tc>
        <w:tc>
          <w:tcPr>
            <w:tcW w:w="1843" w:type="dxa"/>
            <w:tcBorders>
              <w:top w:val="nil"/>
              <w:left w:val="nil"/>
              <w:bottom w:val="nil"/>
              <w:right w:val="nil"/>
            </w:tcBorders>
            <w:shd w:val="clear" w:color="auto" w:fill="auto"/>
            <w:noWrap/>
            <w:vAlign w:val="center"/>
            <w:hideMark/>
          </w:tcPr>
          <w:p w14:paraId="32AF58D5" w14:textId="77777777" w:rsidR="008F0C88" w:rsidRPr="00102B16" w:rsidRDefault="008F0C88" w:rsidP="008F0C88">
            <w:pPr>
              <w:pStyle w:val="Appendixtablecontent"/>
              <w:spacing w:line="240" w:lineRule="auto"/>
            </w:pPr>
            <w:r w:rsidRPr="00102B16">
              <w:t>0.57</w:t>
            </w:r>
          </w:p>
        </w:tc>
        <w:tc>
          <w:tcPr>
            <w:tcW w:w="1701" w:type="dxa"/>
            <w:tcBorders>
              <w:top w:val="nil"/>
              <w:left w:val="nil"/>
              <w:bottom w:val="nil"/>
              <w:right w:val="nil"/>
            </w:tcBorders>
            <w:shd w:val="clear" w:color="auto" w:fill="auto"/>
            <w:noWrap/>
            <w:vAlign w:val="center"/>
            <w:hideMark/>
          </w:tcPr>
          <w:p w14:paraId="0BEF9ECD" w14:textId="77777777" w:rsidR="008F0C88" w:rsidRPr="00102B16" w:rsidRDefault="008F0C88" w:rsidP="008F0C88">
            <w:pPr>
              <w:pStyle w:val="Appendixtablecontent"/>
              <w:spacing w:line="240" w:lineRule="auto"/>
            </w:pPr>
            <w:r w:rsidRPr="00102B16">
              <w:t>0.43</w:t>
            </w:r>
          </w:p>
        </w:tc>
        <w:tc>
          <w:tcPr>
            <w:tcW w:w="1559" w:type="dxa"/>
            <w:tcBorders>
              <w:top w:val="nil"/>
              <w:left w:val="nil"/>
              <w:bottom w:val="nil"/>
              <w:right w:val="nil"/>
            </w:tcBorders>
            <w:shd w:val="clear" w:color="auto" w:fill="auto"/>
            <w:noWrap/>
            <w:vAlign w:val="center"/>
            <w:hideMark/>
          </w:tcPr>
          <w:p w14:paraId="02ABD387" w14:textId="77777777" w:rsidR="008F0C88" w:rsidRPr="00102B16" w:rsidRDefault="008F0C88" w:rsidP="008F0C88">
            <w:pPr>
              <w:pStyle w:val="Appendixtablecontent"/>
              <w:spacing w:line="240" w:lineRule="auto"/>
            </w:pPr>
            <w:r w:rsidRPr="00102B16">
              <w:t>0.42</w:t>
            </w:r>
          </w:p>
        </w:tc>
        <w:tc>
          <w:tcPr>
            <w:tcW w:w="1560" w:type="dxa"/>
            <w:tcBorders>
              <w:top w:val="nil"/>
              <w:left w:val="nil"/>
              <w:bottom w:val="nil"/>
              <w:right w:val="nil"/>
            </w:tcBorders>
            <w:vAlign w:val="center"/>
          </w:tcPr>
          <w:p w14:paraId="25A084F9" w14:textId="77777777" w:rsidR="008F0C88" w:rsidRPr="00102B16" w:rsidRDefault="008F0C88" w:rsidP="008F0C88">
            <w:pPr>
              <w:pStyle w:val="Appendixtablecontent"/>
              <w:spacing w:line="240" w:lineRule="auto"/>
            </w:pPr>
          </w:p>
        </w:tc>
      </w:tr>
      <w:tr w:rsidR="008F0C88" w:rsidRPr="00102B16" w14:paraId="4DA6EA9E" w14:textId="1A1A09FE" w:rsidTr="0059425E">
        <w:trPr>
          <w:trHeight w:val="255"/>
        </w:trPr>
        <w:tc>
          <w:tcPr>
            <w:tcW w:w="1134" w:type="dxa"/>
            <w:tcBorders>
              <w:top w:val="nil"/>
              <w:left w:val="nil"/>
              <w:bottom w:val="nil"/>
              <w:right w:val="nil"/>
            </w:tcBorders>
            <w:shd w:val="clear" w:color="auto" w:fill="auto"/>
            <w:noWrap/>
            <w:vAlign w:val="center"/>
            <w:hideMark/>
          </w:tcPr>
          <w:p w14:paraId="37D07B60" w14:textId="77777777" w:rsidR="008F0C88" w:rsidRPr="00102B16" w:rsidRDefault="008F0C88" w:rsidP="008F0C88">
            <w:pPr>
              <w:pStyle w:val="Appendixtablecontent"/>
              <w:spacing w:line="240" w:lineRule="auto"/>
            </w:pPr>
            <w:r w:rsidRPr="00102B16">
              <w:t>1980</w:t>
            </w:r>
          </w:p>
        </w:tc>
        <w:tc>
          <w:tcPr>
            <w:tcW w:w="1843" w:type="dxa"/>
            <w:tcBorders>
              <w:top w:val="nil"/>
              <w:left w:val="nil"/>
              <w:bottom w:val="nil"/>
              <w:right w:val="nil"/>
            </w:tcBorders>
            <w:shd w:val="clear" w:color="auto" w:fill="auto"/>
            <w:noWrap/>
            <w:vAlign w:val="center"/>
            <w:hideMark/>
          </w:tcPr>
          <w:p w14:paraId="5419D89B" w14:textId="77777777" w:rsidR="008F0C88" w:rsidRPr="00102B16" w:rsidRDefault="008F0C88" w:rsidP="008F0C88">
            <w:pPr>
              <w:pStyle w:val="Appendixtablecontent"/>
              <w:spacing w:line="240" w:lineRule="auto"/>
            </w:pPr>
            <w:r w:rsidRPr="00102B16">
              <w:t>0.42</w:t>
            </w:r>
          </w:p>
        </w:tc>
        <w:tc>
          <w:tcPr>
            <w:tcW w:w="1701" w:type="dxa"/>
            <w:tcBorders>
              <w:top w:val="nil"/>
              <w:left w:val="nil"/>
              <w:bottom w:val="nil"/>
              <w:right w:val="nil"/>
            </w:tcBorders>
            <w:shd w:val="clear" w:color="auto" w:fill="auto"/>
            <w:noWrap/>
            <w:vAlign w:val="center"/>
            <w:hideMark/>
          </w:tcPr>
          <w:p w14:paraId="7E979E20" w14:textId="77777777" w:rsidR="008F0C88" w:rsidRPr="00102B16" w:rsidRDefault="008F0C88" w:rsidP="008F0C88">
            <w:pPr>
              <w:pStyle w:val="Appendixtablecontent"/>
              <w:spacing w:line="240" w:lineRule="auto"/>
            </w:pPr>
            <w:r w:rsidRPr="00102B16">
              <w:t>0.19</w:t>
            </w:r>
          </w:p>
        </w:tc>
        <w:tc>
          <w:tcPr>
            <w:tcW w:w="1559" w:type="dxa"/>
            <w:tcBorders>
              <w:top w:val="nil"/>
              <w:left w:val="nil"/>
              <w:bottom w:val="nil"/>
              <w:right w:val="nil"/>
            </w:tcBorders>
            <w:shd w:val="clear" w:color="auto" w:fill="auto"/>
            <w:noWrap/>
            <w:vAlign w:val="center"/>
            <w:hideMark/>
          </w:tcPr>
          <w:p w14:paraId="199A4071" w14:textId="77777777" w:rsidR="008F0C88" w:rsidRPr="00102B16" w:rsidRDefault="008F0C88" w:rsidP="008F0C88">
            <w:pPr>
              <w:pStyle w:val="Appendixtablecontent"/>
              <w:spacing w:line="240" w:lineRule="auto"/>
            </w:pPr>
            <w:r w:rsidRPr="00102B16">
              <w:t>0.66</w:t>
            </w:r>
          </w:p>
        </w:tc>
        <w:tc>
          <w:tcPr>
            <w:tcW w:w="1560" w:type="dxa"/>
            <w:tcBorders>
              <w:top w:val="nil"/>
              <w:left w:val="nil"/>
              <w:bottom w:val="nil"/>
              <w:right w:val="nil"/>
            </w:tcBorders>
            <w:vAlign w:val="center"/>
          </w:tcPr>
          <w:p w14:paraId="73FE1E53" w14:textId="77777777" w:rsidR="008F0C88" w:rsidRPr="00102B16" w:rsidRDefault="008F0C88" w:rsidP="008F0C88">
            <w:pPr>
              <w:pStyle w:val="Appendixtablecontent"/>
              <w:spacing w:line="240" w:lineRule="auto"/>
            </w:pPr>
          </w:p>
        </w:tc>
      </w:tr>
      <w:tr w:rsidR="008F0C88" w:rsidRPr="00102B16" w14:paraId="191D09E2" w14:textId="76DE5A2C" w:rsidTr="0059425E">
        <w:trPr>
          <w:trHeight w:val="255"/>
        </w:trPr>
        <w:tc>
          <w:tcPr>
            <w:tcW w:w="1134" w:type="dxa"/>
            <w:tcBorders>
              <w:top w:val="nil"/>
              <w:left w:val="nil"/>
              <w:bottom w:val="nil"/>
              <w:right w:val="nil"/>
            </w:tcBorders>
            <w:shd w:val="clear" w:color="auto" w:fill="auto"/>
            <w:noWrap/>
            <w:vAlign w:val="center"/>
            <w:hideMark/>
          </w:tcPr>
          <w:p w14:paraId="178398C0" w14:textId="77777777" w:rsidR="008F0C88" w:rsidRPr="00102B16" w:rsidRDefault="008F0C88" w:rsidP="008F0C88">
            <w:pPr>
              <w:pStyle w:val="Appendixtablecontent"/>
              <w:spacing w:line="240" w:lineRule="auto"/>
            </w:pPr>
            <w:r w:rsidRPr="00102B16">
              <w:t>1981</w:t>
            </w:r>
          </w:p>
        </w:tc>
        <w:tc>
          <w:tcPr>
            <w:tcW w:w="1843" w:type="dxa"/>
            <w:tcBorders>
              <w:top w:val="nil"/>
              <w:left w:val="nil"/>
              <w:bottom w:val="nil"/>
              <w:right w:val="nil"/>
            </w:tcBorders>
            <w:shd w:val="clear" w:color="auto" w:fill="auto"/>
            <w:noWrap/>
            <w:vAlign w:val="center"/>
            <w:hideMark/>
          </w:tcPr>
          <w:p w14:paraId="2E87C010" w14:textId="77777777" w:rsidR="008F0C88" w:rsidRPr="00102B16" w:rsidRDefault="008F0C88" w:rsidP="008F0C88">
            <w:pPr>
              <w:pStyle w:val="Appendixtablecontent"/>
              <w:spacing w:line="240" w:lineRule="auto"/>
            </w:pPr>
            <w:r w:rsidRPr="00102B16">
              <w:t>1.02</w:t>
            </w:r>
          </w:p>
        </w:tc>
        <w:tc>
          <w:tcPr>
            <w:tcW w:w="1701" w:type="dxa"/>
            <w:tcBorders>
              <w:top w:val="nil"/>
              <w:left w:val="nil"/>
              <w:bottom w:val="nil"/>
              <w:right w:val="nil"/>
            </w:tcBorders>
            <w:shd w:val="clear" w:color="auto" w:fill="auto"/>
            <w:noWrap/>
            <w:vAlign w:val="center"/>
            <w:hideMark/>
          </w:tcPr>
          <w:p w14:paraId="28DFF623" w14:textId="77777777" w:rsidR="008F0C88" w:rsidRPr="00102B16" w:rsidRDefault="008F0C88" w:rsidP="008F0C88">
            <w:pPr>
              <w:pStyle w:val="Appendixtablecontent"/>
              <w:spacing w:line="240" w:lineRule="auto"/>
            </w:pPr>
            <w:r w:rsidRPr="00102B16">
              <w:t>0.63</w:t>
            </w:r>
          </w:p>
        </w:tc>
        <w:tc>
          <w:tcPr>
            <w:tcW w:w="1559" w:type="dxa"/>
            <w:tcBorders>
              <w:top w:val="nil"/>
              <w:left w:val="nil"/>
              <w:bottom w:val="nil"/>
              <w:right w:val="nil"/>
            </w:tcBorders>
            <w:shd w:val="clear" w:color="auto" w:fill="auto"/>
            <w:noWrap/>
            <w:vAlign w:val="center"/>
            <w:hideMark/>
          </w:tcPr>
          <w:p w14:paraId="32F26BC4" w14:textId="77777777" w:rsidR="008F0C88" w:rsidRPr="00102B16" w:rsidRDefault="008F0C88" w:rsidP="008F0C88">
            <w:pPr>
              <w:pStyle w:val="Appendixtablecontent"/>
              <w:spacing w:line="240" w:lineRule="auto"/>
            </w:pPr>
            <w:r w:rsidRPr="00102B16">
              <w:t>0.38</w:t>
            </w:r>
          </w:p>
        </w:tc>
        <w:tc>
          <w:tcPr>
            <w:tcW w:w="1560" w:type="dxa"/>
            <w:tcBorders>
              <w:top w:val="nil"/>
              <w:left w:val="nil"/>
              <w:bottom w:val="nil"/>
              <w:right w:val="nil"/>
            </w:tcBorders>
            <w:vAlign w:val="center"/>
          </w:tcPr>
          <w:p w14:paraId="4B364C49" w14:textId="77777777" w:rsidR="008F0C88" w:rsidRPr="00102B16" w:rsidRDefault="008F0C88" w:rsidP="008F0C88">
            <w:pPr>
              <w:pStyle w:val="Appendixtablecontent"/>
              <w:spacing w:line="240" w:lineRule="auto"/>
            </w:pPr>
          </w:p>
        </w:tc>
      </w:tr>
      <w:tr w:rsidR="008F0C88" w:rsidRPr="00102B16" w14:paraId="29EDE606" w14:textId="7D19618F" w:rsidTr="0059425E">
        <w:trPr>
          <w:trHeight w:val="255"/>
        </w:trPr>
        <w:tc>
          <w:tcPr>
            <w:tcW w:w="1134" w:type="dxa"/>
            <w:tcBorders>
              <w:top w:val="nil"/>
              <w:left w:val="nil"/>
              <w:bottom w:val="nil"/>
              <w:right w:val="nil"/>
            </w:tcBorders>
            <w:shd w:val="clear" w:color="auto" w:fill="auto"/>
            <w:noWrap/>
            <w:vAlign w:val="center"/>
            <w:hideMark/>
          </w:tcPr>
          <w:p w14:paraId="0A10E81D" w14:textId="77777777" w:rsidR="008F0C88" w:rsidRPr="00102B16" w:rsidRDefault="008F0C88" w:rsidP="008F0C88">
            <w:pPr>
              <w:pStyle w:val="Appendixtablecontent"/>
              <w:spacing w:line="240" w:lineRule="auto"/>
            </w:pPr>
            <w:r w:rsidRPr="00102B16">
              <w:t>1982</w:t>
            </w:r>
          </w:p>
        </w:tc>
        <w:tc>
          <w:tcPr>
            <w:tcW w:w="1843" w:type="dxa"/>
            <w:tcBorders>
              <w:top w:val="nil"/>
              <w:left w:val="nil"/>
              <w:bottom w:val="nil"/>
              <w:right w:val="nil"/>
            </w:tcBorders>
            <w:shd w:val="clear" w:color="auto" w:fill="auto"/>
            <w:noWrap/>
            <w:vAlign w:val="center"/>
            <w:hideMark/>
          </w:tcPr>
          <w:p w14:paraId="45A55F2D" w14:textId="77777777" w:rsidR="008F0C88" w:rsidRPr="00102B16" w:rsidRDefault="008F0C88" w:rsidP="008F0C88">
            <w:pPr>
              <w:pStyle w:val="Appendixtablecontent"/>
              <w:spacing w:line="240" w:lineRule="auto"/>
            </w:pPr>
            <w:r w:rsidRPr="00102B16">
              <w:t>0.90</w:t>
            </w:r>
          </w:p>
        </w:tc>
        <w:tc>
          <w:tcPr>
            <w:tcW w:w="1701" w:type="dxa"/>
            <w:tcBorders>
              <w:top w:val="nil"/>
              <w:left w:val="nil"/>
              <w:bottom w:val="nil"/>
              <w:right w:val="nil"/>
            </w:tcBorders>
            <w:shd w:val="clear" w:color="auto" w:fill="auto"/>
            <w:noWrap/>
            <w:vAlign w:val="center"/>
            <w:hideMark/>
          </w:tcPr>
          <w:p w14:paraId="7441157D" w14:textId="77777777" w:rsidR="008F0C88" w:rsidRPr="00102B16" w:rsidRDefault="008F0C88" w:rsidP="008F0C88">
            <w:pPr>
              <w:pStyle w:val="Appendixtablecontent"/>
              <w:spacing w:line="240" w:lineRule="auto"/>
            </w:pPr>
            <w:r w:rsidRPr="00102B16">
              <w:t>0.44</w:t>
            </w:r>
          </w:p>
        </w:tc>
        <w:tc>
          <w:tcPr>
            <w:tcW w:w="1559" w:type="dxa"/>
            <w:tcBorders>
              <w:top w:val="nil"/>
              <w:left w:val="nil"/>
              <w:bottom w:val="nil"/>
              <w:right w:val="nil"/>
            </w:tcBorders>
            <w:shd w:val="clear" w:color="auto" w:fill="auto"/>
            <w:noWrap/>
            <w:vAlign w:val="center"/>
            <w:hideMark/>
          </w:tcPr>
          <w:p w14:paraId="7FE25BEF" w14:textId="77777777" w:rsidR="008F0C88" w:rsidRPr="00102B16" w:rsidRDefault="008F0C88" w:rsidP="008F0C88">
            <w:pPr>
              <w:pStyle w:val="Appendixtablecontent"/>
              <w:spacing w:line="240" w:lineRule="auto"/>
            </w:pPr>
            <w:r w:rsidRPr="00102B16">
              <w:t>0.72</w:t>
            </w:r>
          </w:p>
        </w:tc>
        <w:tc>
          <w:tcPr>
            <w:tcW w:w="1560" w:type="dxa"/>
            <w:tcBorders>
              <w:top w:val="nil"/>
              <w:left w:val="nil"/>
              <w:bottom w:val="nil"/>
              <w:right w:val="nil"/>
            </w:tcBorders>
            <w:vAlign w:val="center"/>
          </w:tcPr>
          <w:p w14:paraId="51C0B15F" w14:textId="77777777" w:rsidR="008F0C88" w:rsidRPr="00102B16" w:rsidRDefault="008F0C88" w:rsidP="008F0C88">
            <w:pPr>
              <w:pStyle w:val="Appendixtablecontent"/>
              <w:spacing w:line="240" w:lineRule="auto"/>
            </w:pPr>
          </w:p>
        </w:tc>
      </w:tr>
      <w:tr w:rsidR="008F0C88" w:rsidRPr="00102B16" w14:paraId="11713F5F" w14:textId="68615E41" w:rsidTr="0059425E">
        <w:trPr>
          <w:trHeight w:val="255"/>
        </w:trPr>
        <w:tc>
          <w:tcPr>
            <w:tcW w:w="1134" w:type="dxa"/>
            <w:tcBorders>
              <w:top w:val="nil"/>
              <w:left w:val="nil"/>
              <w:bottom w:val="nil"/>
              <w:right w:val="nil"/>
            </w:tcBorders>
            <w:shd w:val="clear" w:color="auto" w:fill="auto"/>
            <w:noWrap/>
            <w:vAlign w:val="center"/>
            <w:hideMark/>
          </w:tcPr>
          <w:p w14:paraId="269E33F2" w14:textId="77777777" w:rsidR="008F0C88" w:rsidRPr="00102B16" w:rsidRDefault="008F0C88" w:rsidP="008F0C88">
            <w:pPr>
              <w:pStyle w:val="Appendixtablecontent"/>
              <w:spacing w:line="240" w:lineRule="auto"/>
            </w:pPr>
            <w:r w:rsidRPr="00102B16">
              <w:t>1983</w:t>
            </w:r>
          </w:p>
        </w:tc>
        <w:tc>
          <w:tcPr>
            <w:tcW w:w="1843" w:type="dxa"/>
            <w:tcBorders>
              <w:top w:val="nil"/>
              <w:left w:val="nil"/>
              <w:bottom w:val="nil"/>
              <w:right w:val="nil"/>
            </w:tcBorders>
            <w:shd w:val="clear" w:color="auto" w:fill="auto"/>
            <w:noWrap/>
            <w:vAlign w:val="center"/>
            <w:hideMark/>
          </w:tcPr>
          <w:p w14:paraId="1E3B947F" w14:textId="77777777" w:rsidR="008F0C88" w:rsidRPr="00102B16" w:rsidRDefault="008F0C88" w:rsidP="008F0C88">
            <w:pPr>
              <w:pStyle w:val="Appendixtablecontent"/>
              <w:spacing w:line="240" w:lineRule="auto"/>
            </w:pPr>
            <w:r w:rsidRPr="00102B16">
              <w:t>1.88</w:t>
            </w:r>
          </w:p>
        </w:tc>
        <w:tc>
          <w:tcPr>
            <w:tcW w:w="1701" w:type="dxa"/>
            <w:tcBorders>
              <w:top w:val="nil"/>
              <w:left w:val="nil"/>
              <w:bottom w:val="nil"/>
              <w:right w:val="nil"/>
            </w:tcBorders>
            <w:shd w:val="clear" w:color="auto" w:fill="auto"/>
            <w:noWrap/>
            <w:vAlign w:val="center"/>
            <w:hideMark/>
          </w:tcPr>
          <w:p w14:paraId="6EBC8DD9" w14:textId="77777777" w:rsidR="008F0C88" w:rsidRPr="00102B16" w:rsidRDefault="008F0C88" w:rsidP="008F0C88">
            <w:pPr>
              <w:pStyle w:val="Appendixtablecontent"/>
              <w:spacing w:line="240" w:lineRule="auto"/>
            </w:pPr>
            <w:r w:rsidRPr="00102B16">
              <w:t>0.37</w:t>
            </w:r>
          </w:p>
        </w:tc>
        <w:tc>
          <w:tcPr>
            <w:tcW w:w="1559" w:type="dxa"/>
            <w:tcBorders>
              <w:top w:val="nil"/>
              <w:left w:val="nil"/>
              <w:bottom w:val="nil"/>
              <w:right w:val="nil"/>
            </w:tcBorders>
            <w:shd w:val="clear" w:color="auto" w:fill="auto"/>
            <w:noWrap/>
            <w:vAlign w:val="center"/>
            <w:hideMark/>
          </w:tcPr>
          <w:p w14:paraId="529AA322" w14:textId="77777777" w:rsidR="008F0C88" w:rsidRPr="00102B16" w:rsidRDefault="008F0C88" w:rsidP="008F0C88">
            <w:pPr>
              <w:pStyle w:val="Appendixtablecontent"/>
              <w:spacing w:line="240" w:lineRule="auto"/>
            </w:pPr>
            <w:r w:rsidRPr="00102B16">
              <w:t>0.35</w:t>
            </w:r>
          </w:p>
        </w:tc>
        <w:tc>
          <w:tcPr>
            <w:tcW w:w="1560" w:type="dxa"/>
            <w:tcBorders>
              <w:top w:val="nil"/>
              <w:left w:val="nil"/>
              <w:bottom w:val="nil"/>
              <w:right w:val="nil"/>
            </w:tcBorders>
            <w:vAlign w:val="center"/>
          </w:tcPr>
          <w:p w14:paraId="7A69CE28" w14:textId="77777777" w:rsidR="008F0C88" w:rsidRPr="00102B16" w:rsidRDefault="008F0C88" w:rsidP="008F0C88">
            <w:pPr>
              <w:pStyle w:val="Appendixtablecontent"/>
              <w:spacing w:line="240" w:lineRule="auto"/>
            </w:pPr>
          </w:p>
        </w:tc>
      </w:tr>
      <w:tr w:rsidR="008F0C88" w:rsidRPr="00102B16" w14:paraId="43EA6FAD" w14:textId="4816DFF9" w:rsidTr="0059425E">
        <w:trPr>
          <w:trHeight w:val="255"/>
        </w:trPr>
        <w:tc>
          <w:tcPr>
            <w:tcW w:w="1134" w:type="dxa"/>
            <w:tcBorders>
              <w:top w:val="nil"/>
              <w:left w:val="nil"/>
              <w:bottom w:val="nil"/>
              <w:right w:val="nil"/>
            </w:tcBorders>
            <w:shd w:val="clear" w:color="auto" w:fill="auto"/>
            <w:noWrap/>
            <w:vAlign w:val="center"/>
            <w:hideMark/>
          </w:tcPr>
          <w:p w14:paraId="4098E831" w14:textId="77777777" w:rsidR="008F0C88" w:rsidRPr="00102B16" w:rsidRDefault="008F0C88" w:rsidP="008F0C88">
            <w:pPr>
              <w:pStyle w:val="Appendixtablecontent"/>
              <w:spacing w:line="240" w:lineRule="auto"/>
            </w:pPr>
            <w:r w:rsidRPr="00102B16">
              <w:t>1984</w:t>
            </w:r>
          </w:p>
        </w:tc>
        <w:tc>
          <w:tcPr>
            <w:tcW w:w="1843" w:type="dxa"/>
            <w:tcBorders>
              <w:top w:val="nil"/>
              <w:left w:val="nil"/>
              <w:bottom w:val="nil"/>
              <w:right w:val="nil"/>
            </w:tcBorders>
            <w:shd w:val="clear" w:color="auto" w:fill="auto"/>
            <w:noWrap/>
            <w:vAlign w:val="center"/>
            <w:hideMark/>
          </w:tcPr>
          <w:p w14:paraId="451080FC" w14:textId="77777777" w:rsidR="008F0C88" w:rsidRPr="00102B16" w:rsidRDefault="008F0C88" w:rsidP="008F0C88">
            <w:pPr>
              <w:pStyle w:val="Appendixtablecontent"/>
              <w:spacing w:line="240" w:lineRule="auto"/>
            </w:pPr>
            <w:r w:rsidRPr="00102B16">
              <w:t>1.22</w:t>
            </w:r>
          </w:p>
        </w:tc>
        <w:tc>
          <w:tcPr>
            <w:tcW w:w="1701" w:type="dxa"/>
            <w:tcBorders>
              <w:top w:val="nil"/>
              <w:left w:val="nil"/>
              <w:bottom w:val="nil"/>
              <w:right w:val="nil"/>
            </w:tcBorders>
            <w:shd w:val="clear" w:color="auto" w:fill="auto"/>
            <w:noWrap/>
            <w:vAlign w:val="center"/>
            <w:hideMark/>
          </w:tcPr>
          <w:p w14:paraId="25310D94" w14:textId="77777777" w:rsidR="008F0C88" w:rsidRPr="00102B16" w:rsidRDefault="008F0C88" w:rsidP="008F0C88">
            <w:pPr>
              <w:pStyle w:val="Appendixtablecontent"/>
              <w:spacing w:line="240" w:lineRule="auto"/>
            </w:pPr>
            <w:r w:rsidRPr="00102B16">
              <w:t>1.59</w:t>
            </w:r>
          </w:p>
        </w:tc>
        <w:tc>
          <w:tcPr>
            <w:tcW w:w="1559" w:type="dxa"/>
            <w:tcBorders>
              <w:top w:val="nil"/>
              <w:left w:val="nil"/>
              <w:bottom w:val="nil"/>
              <w:right w:val="nil"/>
            </w:tcBorders>
            <w:shd w:val="clear" w:color="auto" w:fill="auto"/>
            <w:noWrap/>
            <w:vAlign w:val="center"/>
            <w:hideMark/>
          </w:tcPr>
          <w:p w14:paraId="65E2ABEC" w14:textId="77777777" w:rsidR="008F0C88" w:rsidRPr="00102B16" w:rsidRDefault="008F0C88" w:rsidP="008F0C88">
            <w:pPr>
              <w:pStyle w:val="Appendixtablecontent"/>
              <w:spacing w:line="240" w:lineRule="auto"/>
            </w:pPr>
            <w:r w:rsidRPr="00102B16">
              <w:t>0.50</w:t>
            </w:r>
          </w:p>
        </w:tc>
        <w:tc>
          <w:tcPr>
            <w:tcW w:w="1560" w:type="dxa"/>
            <w:tcBorders>
              <w:top w:val="nil"/>
              <w:left w:val="nil"/>
              <w:bottom w:val="nil"/>
              <w:right w:val="nil"/>
            </w:tcBorders>
            <w:vAlign w:val="center"/>
          </w:tcPr>
          <w:p w14:paraId="309B2EA5" w14:textId="77777777" w:rsidR="008F0C88" w:rsidRPr="00102B16" w:rsidRDefault="008F0C88" w:rsidP="008F0C88">
            <w:pPr>
              <w:pStyle w:val="Appendixtablecontent"/>
              <w:spacing w:line="240" w:lineRule="auto"/>
            </w:pPr>
          </w:p>
        </w:tc>
      </w:tr>
      <w:tr w:rsidR="008F0C88" w:rsidRPr="00102B16" w14:paraId="3DA07CA0" w14:textId="4C594BF4" w:rsidTr="0059425E">
        <w:trPr>
          <w:trHeight w:val="255"/>
        </w:trPr>
        <w:tc>
          <w:tcPr>
            <w:tcW w:w="1134" w:type="dxa"/>
            <w:tcBorders>
              <w:top w:val="nil"/>
              <w:left w:val="nil"/>
              <w:bottom w:val="nil"/>
              <w:right w:val="nil"/>
            </w:tcBorders>
            <w:shd w:val="clear" w:color="auto" w:fill="auto"/>
            <w:noWrap/>
            <w:vAlign w:val="center"/>
            <w:hideMark/>
          </w:tcPr>
          <w:p w14:paraId="13CB0BC1" w14:textId="77777777" w:rsidR="008F0C88" w:rsidRPr="00102B16" w:rsidRDefault="008F0C88" w:rsidP="008F0C88">
            <w:pPr>
              <w:pStyle w:val="Appendixtablecontent"/>
              <w:spacing w:line="240" w:lineRule="auto"/>
            </w:pPr>
            <w:r w:rsidRPr="00102B16">
              <w:t>1985</w:t>
            </w:r>
          </w:p>
        </w:tc>
        <w:tc>
          <w:tcPr>
            <w:tcW w:w="1843" w:type="dxa"/>
            <w:tcBorders>
              <w:top w:val="nil"/>
              <w:left w:val="nil"/>
              <w:bottom w:val="nil"/>
              <w:right w:val="nil"/>
            </w:tcBorders>
            <w:shd w:val="clear" w:color="auto" w:fill="auto"/>
            <w:noWrap/>
            <w:vAlign w:val="center"/>
            <w:hideMark/>
          </w:tcPr>
          <w:p w14:paraId="6F8E9EA9" w14:textId="77777777" w:rsidR="008F0C88" w:rsidRPr="00102B16" w:rsidRDefault="008F0C88" w:rsidP="008F0C88">
            <w:pPr>
              <w:pStyle w:val="Appendixtablecontent"/>
              <w:spacing w:line="240" w:lineRule="auto"/>
            </w:pPr>
            <w:r w:rsidRPr="00102B16">
              <w:t>1.64</w:t>
            </w:r>
          </w:p>
        </w:tc>
        <w:tc>
          <w:tcPr>
            <w:tcW w:w="1701" w:type="dxa"/>
            <w:tcBorders>
              <w:top w:val="nil"/>
              <w:left w:val="nil"/>
              <w:bottom w:val="nil"/>
              <w:right w:val="nil"/>
            </w:tcBorders>
            <w:shd w:val="clear" w:color="auto" w:fill="auto"/>
            <w:noWrap/>
            <w:vAlign w:val="center"/>
            <w:hideMark/>
          </w:tcPr>
          <w:p w14:paraId="4D69B866" w14:textId="77777777" w:rsidR="008F0C88" w:rsidRPr="00102B16" w:rsidRDefault="008F0C88" w:rsidP="008F0C88">
            <w:pPr>
              <w:pStyle w:val="Appendixtablecontent"/>
              <w:spacing w:line="240" w:lineRule="auto"/>
            </w:pPr>
            <w:r w:rsidRPr="00102B16">
              <w:t>0.45</w:t>
            </w:r>
          </w:p>
        </w:tc>
        <w:tc>
          <w:tcPr>
            <w:tcW w:w="1559" w:type="dxa"/>
            <w:tcBorders>
              <w:top w:val="nil"/>
              <w:left w:val="nil"/>
              <w:bottom w:val="nil"/>
              <w:right w:val="nil"/>
            </w:tcBorders>
            <w:shd w:val="clear" w:color="auto" w:fill="auto"/>
            <w:noWrap/>
            <w:vAlign w:val="center"/>
            <w:hideMark/>
          </w:tcPr>
          <w:p w14:paraId="6BD3F665" w14:textId="77777777" w:rsidR="008F0C88" w:rsidRPr="00102B16" w:rsidRDefault="008F0C88" w:rsidP="008F0C88">
            <w:pPr>
              <w:pStyle w:val="Appendixtablecontent"/>
              <w:spacing w:line="240" w:lineRule="auto"/>
            </w:pPr>
            <w:r w:rsidRPr="00102B16">
              <w:t>0.87</w:t>
            </w:r>
          </w:p>
        </w:tc>
        <w:tc>
          <w:tcPr>
            <w:tcW w:w="1560" w:type="dxa"/>
            <w:tcBorders>
              <w:top w:val="nil"/>
              <w:left w:val="nil"/>
              <w:bottom w:val="nil"/>
              <w:right w:val="nil"/>
            </w:tcBorders>
            <w:vAlign w:val="center"/>
          </w:tcPr>
          <w:p w14:paraId="18C3AB95" w14:textId="77777777" w:rsidR="008F0C88" w:rsidRPr="00102B16" w:rsidRDefault="008F0C88" w:rsidP="008F0C88">
            <w:pPr>
              <w:pStyle w:val="Appendixtablecontent"/>
              <w:spacing w:line="240" w:lineRule="auto"/>
            </w:pPr>
          </w:p>
        </w:tc>
      </w:tr>
      <w:tr w:rsidR="008F0C88" w:rsidRPr="00102B16" w14:paraId="78BE3E14" w14:textId="259A21BC" w:rsidTr="0059425E">
        <w:trPr>
          <w:trHeight w:val="255"/>
        </w:trPr>
        <w:tc>
          <w:tcPr>
            <w:tcW w:w="1134" w:type="dxa"/>
            <w:tcBorders>
              <w:top w:val="nil"/>
              <w:left w:val="nil"/>
              <w:bottom w:val="nil"/>
              <w:right w:val="nil"/>
            </w:tcBorders>
            <w:shd w:val="clear" w:color="auto" w:fill="auto"/>
            <w:noWrap/>
            <w:vAlign w:val="center"/>
            <w:hideMark/>
          </w:tcPr>
          <w:p w14:paraId="50D9CA62" w14:textId="77777777" w:rsidR="008F0C88" w:rsidRPr="00102B16" w:rsidRDefault="008F0C88" w:rsidP="008F0C88">
            <w:pPr>
              <w:pStyle w:val="Appendixtablecontent"/>
              <w:spacing w:line="240" w:lineRule="auto"/>
            </w:pPr>
            <w:r w:rsidRPr="00102B16">
              <w:t>1986</w:t>
            </w:r>
          </w:p>
        </w:tc>
        <w:tc>
          <w:tcPr>
            <w:tcW w:w="1843" w:type="dxa"/>
            <w:tcBorders>
              <w:top w:val="nil"/>
              <w:left w:val="nil"/>
              <w:bottom w:val="nil"/>
              <w:right w:val="nil"/>
            </w:tcBorders>
            <w:shd w:val="clear" w:color="auto" w:fill="auto"/>
            <w:noWrap/>
            <w:vAlign w:val="center"/>
            <w:hideMark/>
          </w:tcPr>
          <w:p w14:paraId="4E35FDA6" w14:textId="77777777" w:rsidR="008F0C88" w:rsidRPr="00102B16" w:rsidRDefault="008F0C88" w:rsidP="008F0C88">
            <w:pPr>
              <w:pStyle w:val="Appendixtablecontent"/>
              <w:spacing w:line="240" w:lineRule="auto"/>
            </w:pPr>
            <w:r w:rsidRPr="00102B16">
              <w:t>0.73</w:t>
            </w:r>
          </w:p>
        </w:tc>
        <w:tc>
          <w:tcPr>
            <w:tcW w:w="1701" w:type="dxa"/>
            <w:tcBorders>
              <w:top w:val="nil"/>
              <w:left w:val="nil"/>
              <w:bottom w:val="nil"/>
              <w:right w:val="nil"/>
            </w:tcBorders>
            <w:shd w:val="clear" w:color="auto" w:fill="auto"/>
            <w:noWrap/>
            <w:vAlign w:val="center"/>
            <w:hideMark/>
          </w:tcPr>
          <w:p w14:paraId="0850A04D" w14:textId="77777777" w:rsidR="008F0C88" w:rsidRPr="00102B16" w:rsidRDefault="008F0C88" w:rsidP="008F0C88">
            <w:pPr>
              <w:pStyle w:val="Appendixtablecontent"/>
              <w:spacing w:line="240" w:lineRule="auto"/>
            </w:pPr>
            <w:r w:rsidRPr="00102B16">
              <w:t>0.41</w:t>
            </w:r>
          </w:p>
        </w:tc>
        <w:tc>
          <w:tcPr>
            <w:tcW w:w="1559" w:type="dxa"/>
            <w:tcBorders>
              <w:top w:val="nil"/>
              <w:left w:val="nil"/>
              <w:bottom w:val="nil"/>
              <w:right w:val="nil"/>
            </w:tcBorders>
            <w:shd w:val="clear" w:color="auto" w:fill="auto"/>
            <w:noWrap/>
            <w:vAlign w:val="center"/>
            <w:hideMark/>
          </w:tcPr>
          <w:p w14:paraId="18225908" w14:textId="77777777" w:rsidR="008F0C88" w:rsidRPr="00102B16" w:rsidRDefault="008F0C88" w:rsidP="008F0C88">
            <w:pPr>
              <w:pStyle w:val="Appendixtablecontent"/>
              <w:spacing w:line="240" w:lineRule="auto"/>
            </w:pPr>
            <w:r w:rsidRPr="00102B16">
              <w:t>0.70</w:t>
            </w:r>
          </w:p>
        </w:tc>
        <w:tc>
          <w:tcPr>
            <w:tcW w:w="1560" w:type="dxa"/>
            <w:tcBorders>
              <w:top w:val="nil"/>
              <w:left w:val="nil"/>
              <w:bottom w:val="nil"/>
              <w:right w:val="nil"/>
            </w:tcBorders>
            <w:vAlign w:val="center"/>
          </w:tcPr>
          <w:p w14:paraId="250D0263" w14:textId="77777777" w:rsidR="008F0C88" w:rsidRPr="00102B16" w:rsidRDefault="008F0C88" w:rsidP="008F0C88">
            <w:pPr>
              <w:pStyle w:val="Appendixtablecontent"/>
              <w:spacing w:line="240" w:lineRule="auto"/>
            </w:pPr>
          </w:p>
        </w:tc>
      </w:tr>
      <w:tr w:rsidR="008F0C88" w:rsidRPr="00102B16" w14:paraId="4CAAEFC5" w14:textId="7F2168AD" w:rsidTr="0059425E">
        <w:trPr>
          <w:trHeight w:val="255"/>
        </w:trPr>
        <w:tc>
          <w:tcPr>
            <w:tcW w:w="1134" w:type="dxa"/>
            <w:tcBorders>
              <w:top w:val="nil"/>
              <w:left w:val="nil"/>
              <w:bottom w:val="nil"/>
              <w:right w:val="nil"/>
            </w:tcBorders>
            <w:shd w:val="clear" w:color="auto" w:fill="auto"/>
            <w:noWrap/>
            <w:vAlign w:val="center"/>
            <w:hideMark/>
          </w:tcPr>
          <w:p w14:paraId="35606B9E" w14:textId="77777777" w:rsidR="008F0C88" w:rsidRPr="00102B16" w:rsidRDefault="008F0C88" w:rsidP="008F0C88">
            <w:pPr>
              <w:pStyle w:val="Appendixtablecontent"/>
              <w:spacing w:line="240" w:lineRule="auto"/>
            </w:pPr>
            <w:r w:rsidRPr="00102B16">
              <w:t>1987</w:t>
            </w:r>
          </w:p>
        </w:tc>
        <w:tc>
          <w:tcPr>
            <w:tcW w:w="1843" w:type="dxa"/>
            <w:tcBorders>
              <w:top w:val="nil"/>
              <w:left w:val="nil"/>
              <w:bottom w:val="nil"/>
              <w:right w:val="nil"/>
            </w:tcBorders>
            <w:shd w:val="clear" w:color="auto" w:fill="auto"/>
            <w:noWrap/>
            <w:vAlign w:val="center"/>
            <w:hideMark/>
          </w:tcPr>
          <w:p w14:paraId="4F0D6B08" w14:textId="77777777" w:rsidR="008F0C88" w:rsidRPr="00102B16" w:rsidRDefault="008F0C88" w:rsidP="008F0C88">
            <w:pPr>
              <w:pStyle w:val="Appendixtablecontent"/>
              <w:spacing w:line="240" w:lineRule="auto"/>
            </w:pPr>
            <w:r w:rsidRPr="00102B16">
              <w:t>0.90</w:t>
            </w:r>
          </w:p>
        </w:tc>
        <w:tc>
          <w:tcPr>
            <w:tcW w:w="1701" w:type="dxa"/>
            <w:tcBorders>
              <w:top w:val="nil"/>
              <w:left w:val="nil"/>
              <w:bottom w:val="nil"/>
              <w:right w:val="nil"/>
            </w:tcBorders>
            <w:shd w:val="clear" w:color="auto" w:fill="auto"/>
            <w:noWrap/>
            <w:vAlign w:val="center"/>
            <w:hideMark/>
          </w:tcPr>
          <w:p w14:paraId="50CFFB8E" w14:textId="77777777" w:rsidR="008F0C88" w:rsidRPr="00102B16" w:rsidRDefault="008F0C88" w:rsidP="008F0C88">
            <w:pPr>
              <w:pStyle w:val="Appendixtablecontent"/>
              <w:spacing w:line="240" w:lineRule="auto"/>
            </w:pPr>
            <w:r w:rsidRPr="00102B16">
              <w:t>0.28</w:t>
            </w:r>
          </w:p>
        </w:tc>
        <w:tc>
          <w:tcPr>
            <w:tcW w:w="1559" w:type="dxa"/>
            <w:tcBorders>
              <w:top w:val="nil"/>
              <w:left w:val="nil"/>
              <w:bottom w:val="nil"/>
              <w:right w:val="nil"/>
            </w:tcBorders>
            <w:shd w:val="clear" w:color="auto" w:fill="auto"/>
            <w:noWrap/>
            <w:vAlign w:val="center"/>
            <w:hideMark/>
          </w:tcPr>
          <w:p w14:paraId="55F254C5" w14:textId="77777777" w:rsidR="008F0C88" w:rsidRPr="00102B16" w:rsidRDefault="008F0C88" w:rsidP="008F0C88">
            <w:pPr>
              <w:pStyle w:val="Appendixtablecontent"/>
              <w:spacing w:line="240" w:lineRule="auto"/>
            </w:pPr>
            <w:r w:rsidRPr="00102B16">
              <w:t>0.65</w:t>
            </w:r>
          </w:p>
        </w:tc>
        <w:tc>
          <w:tcPr>
            <w:tcW w:w="1560" w:type="dxa"/>
            <w:tcBorders>
              <w:top w:val="nil"/>
              <w:left w:val="nil"/>
              <w:bottom w:val="nil"/>
              <w:right w:val="nil"/>
            </w:tcBorders>
            <w:vAlign w:val="center"/>
          </w:tcPr>
          <w:p w14:paraId="3FB9B773" w14:textId="77777777" w:rsidR="008F0C88" w:rsidRPr="00102B16" w:rsidRDefault="008F0C88" w:rsidP="008F0C88">
            <w:pPr>
              <w:pStyle w:val="Appendixtablecontent"/>
              <w:spacing w:line="240" w:lineRule="auto"/>
            </w:pPr>
          </w:p>
        </w:tc>
      </w:tr>
      <w:tr w:rsidR="008F0C88" w:rsidRPr="00102B16" w14:paraId="792CDBB7" w14:textId="52BF8155" w:rsidTr="0059425E">
        <w:trPr>
          <w:trHeight w:val="255"/>
        </w:trPr>
        <w:tc>
          <w:tcPr>
            <w:tcW w:w="1134" w:type="dxa"/>
            <w:tcBorders>
              <w:top w:val="nil"/>
              <w:left w:val="nil"/>
              <w:bottom w:val="nil"/>
              <w:right w:val="nil"/>
            </w:tcBorders>
            <w:shd w:val="clear" w:color="auto" w:fill="auto"/>
            <w:noWrap/>
            <w:vAlign w:val="center"/>
            <w:hideMark/>
          </w:tcPr>
          <w:p w14:paraId="54BD291D" w14:textId="77777777" w:rsidR="008F0C88" w:rsidRPr="00102B16" w:rsidRDefault="008F0C88" w:rsidP="008F0C88">
            <w:pPr>
              <w:pStyle w:val="Appendixtablecontent"/>
              <w:spacing w:line="240" w:lineRule="auto"/>
            </w:pPr>
            <w:r w:rsidRPr="00102B16">
              <w:t>1988</w:t>
            </w:r>
          </w:p>
        </w:tc>
        <w:tc>
          <w:tcPr>
            <w:tcW w:w="1843" w:type="dxa"/>
            <w:tcBorders>
              <w:top w:val="nil"/>
              <w:left w:val="nil"/>
              <w:bottom w:val="nil"/>
              <w:right w:val="nil"/>
            </w:tcBorders>
            <w:shd w:val="clear" w:color="auto" w:fill="auto"/>
            <w:noWrap/>
            <w:vAlign w:val="center"/>
            <w:hideMark/>
          </w:tcPr>
          <w:p w14:paraId="77DF217D" w14:textId="77777777" w:rsidR="008F0C88" w:rsidRPr="00102B16" w:rsidRDefault="008F0C88" w:rsidP="008F0C88">
            <w:pPr>
              <w:pStyle w:val="Appendixtablecontent"/>
              <w:spacing w:line="240" w:lineRule="auto"/>
            </w:pPr>
            <w:r w:rsidRPr="00102B16">
              <w:t>0.52</w:t>
            </w:r>
          </w:p>
        </w:tc>
        <w:tc>
          <w:tcPr>
            <w:tcW w:w="1701" w:type="dxa"/>
            <w:tcBorders>
              <w:top w:val="nil"/>
              <w:left w:val="nil"/>
              <w:bottom w:val="nil"/>
              <w:right w:val="nil"/>
            </w:tcBorders>
            <w:shd w:val="clear" w:color="auto" w:fill="auto"/>
            <w:noWrap/>
            <w:vAlign w:val="center"/>
            <w:hideMark/>
          </w:tcPr>
          <w:p w14:paraId="46149E16" w14:textId="77777777" w:rsidR="008F0C88" w:rsidRPr="00102B16" w:rsidRDefault="008F0C88" w:rsidP="008F0C88">
            <w:pPr>
              <w:pStyle w:val="Appendixtablecontent"/>
              <w:spacing w:line="240" w:lineRule="auto"/>
            </w:pPr>
            <w:r w:rsidRPr="00102B16">
              <w:t>0.78</w:t>
            </w:r>
          </w:p>
        </w:tc>
        <w:tc>
          <w:tcPr>
            <w:tcW w:w="1559" w:type="dxa"/>
            <w:tcBorders>
              <w:top w:val="nil"/>
              <w:left w:val="nil"/>
              <w:bottom w:val="nil"/>
              <w:right w:val="nil"/>
            </w:tcBorders>
            <w:shd w:val="clear" w:color="auto" w:fill="auto"/>
            <w:noWrap/>
            <w:vAlign w:val="center"/>
            <w:hideMark/>
          </w:tcPr>
          <w:p w14:paraId="20019E91" w14:textId="77777777" w:rsidR="008F0C88" w:rsidRPr="00102B16" w:rsidRDefault="008F0C88" w:rsidP="008F0C88">
            <w:pPr>
              <w:pStyle w:val="Appendixtablecontent"/>
              <w:spacing w:line="240" w:lineRule="auto"/>
            </w:pPr>
            <w:r w:rsidRPr="00102B16">
              <w:t>0.65</w:t>
            </w:r>
          </w:p>
        </w:tc>
        <w:tc>
          <w:tcPr>
            <w:tcW w:w="1560" w:type="dxa"/>
            <w:tcBorders>
              <w:top w:val="nil"/>
              <w:left w:val="nil"/>
              <w:bottom w:val="nil"/>
              <w:right w:val="nil"/>
            </w:tcBorders>
            <w:vAlign w:val="center"/>
          </w:tcPr>
          <w:p w14:paraId="17D16975" w14:textId="77777777" w:rsidR="008F0C88" w:rsidRPr="00102B16" w:rsidRDefault="008F0C88" w:rsidP="008F0C88">
            <w:pPr>
              <w:pStyle w:val="Appendixtablecontent"/>
              <w:spacing w:line="240" w:lineRule="auto"/>
            </w:pPr>
          </w:p>
        </w:tc>
      </w:tr>
      <w:tr w:rsidR="008F0C88" w:rsidRPr="00102B16" w14:paraId="24CFB6DE" w14:textId="57C75D3B" w:rsidTr="0059425E">
        <w:trPr>
          <w:trHeight w:val="255"/>
        </w:trPr>
        <w:tc>
          <w:tcPr>
            <w:tcW w:w="1134" w:type="dxa"/>
            <w:tcBorders>
              <w:top w:val="nil"/>
              <w:left w:val="nil"/>
              <w:bottom w:val="nil"/>
              <w:right w:val="nil"/>
            </w:tcBorders>
            <w:shd w:val="clear" w:color="auto" w:fill="auto"/>
            <w:noWrap/>
            <w:vAlign w:val="center"/>
            <w:hideMark/>
          </w:tcPr>
          <w:p w14:paraId="48F600C7" w14:textId="77777777" w:rsidR="008F0C88" w:rsidRPr="00102B16" w:rsidRDefault="008F0C88" w:rsidP="008F0C88">
            <w:pPr>
              <w:pStyle w:val="Appendixtablecontent"/>
              <w:spacing w:line="240" w:lineRule="auto"/>
            </w:pPr>
            <w:r w:rsidRPr="00102B16">
              <w:t>1989</w:t>
            </w:r>
          </w:p>
        </w:tc>
        <w:tc>
          <w:tcPr>
            <w:tcW w:w="1843" w:type="dxa"/>
            <w:tcBorders>
              <w:top w:val="nil"/>
              <w:left w:val="nil"/>
              <w:bottom w:val="nil"/>
              <w:right w:val="nil"/>
            </w:tcBorders>
            <w:shd w:val="clear" w:color="auto" w:fill="auto"/>
            <w:noWrap/>
            <w:vAlign w:val="center"/>
            <w:hideMark/>
          </w:tcPr>
          <w:p w14:paraId="2088B187" w14:textId="77777777" w:rsidR="008F0C88" w:rsidRPr="00102B16" w:rsidRDefault="008F0C88" w:rsidP="008F0C88">
            <w:pPr>
              <w:pStyle w:val="Appendixtablecontent"/>
              <w:spacing w:line="240" w:lineRule="auto"/>
            </w:pPr>
            <w:r w:rsidRPr="00102B16">
              <w:t>1.29</w:t>
            </w:r>
          </w:p>
        </w:tc>
        <w:tc>
          <w:tcPr>
            <w:tcW w:w="1701" w:type="dxa"/>
            <w:tcBorders>
              <w:top w:val="nil"/>
              <w:left w:val="nil"/>
              <w:bottom w:val="nil"/>
              <w:right w:val="nil"/>
            </w:tcBorders>
            <w:shd w:val="clear" w:color="auto" w:fill="auto"/>
            <w:noWrap/>
            <w:vAlign w:val="center"/>
            <w:hideMark/>
          </w:tcPr>
          <w:p w14:paraId="370F5CB6" w14:textId="77777777" w:rsidR="008F0C88" w:rsidRPr="00102B16" w:rsidRDefault="008F0C88" w:rsidP="008F0C88">
            <w:pPr>
              <w:pStyle w:val="Appendixtablecontent"/>
              <w:spacing w:line="240" w:lineRule="auto"/>
            </w:pPr>
            <w:r w:rsidRPr="00102B16">
              <w:t>0.99</w:t>
            </w:r>
          </w:p>
        </w:tc>
        <w:tc>
          <w:tcPr>
            <w:tcW w:w="1559" w:type="dxa"/>
            <w:tcBorders>
              <w:top w:val="nil"/>
              <w:left w:val="nil"/>
              <w:bottom w:val="nil"/>
              <w:right w:val="nil"/>
            </w:tcBorders>
            <w:shd w:val="clear" w:color="auto" w:fill="auto"/>
            <w:noWrap/>
            <w:vAlign w:val="center"/>
            <w:hideMark/>
          </w:tcPr>
          <w:p w14:paraId="636495B2" w14:textId="77777777" w:rsidR="008F0C88" w:rsidRPr="00102B16" w:rsidRDefault="008F0C88" w:rsidP="008F0C88">
            <w:pPr>
              <w:pStyle w:val="Appendixtablecontent"/>
              <w:spacing w:line="240" w:lineRule="auto"/>
            </w:pPr>
            <w:r w:rsidRPr="00102B16">
              <w:t>0.47</w:t>
            </w:r>
          </w:p>
        </w:tc>
        <w:tc>
          <w:tcPr>
            <w:tcW w:w="1560" w:type="dxa"/>
            <w:tcBorders>
              <w:top w:val="nil"/>
              <w:left w:val="nil"/>
              <w:bottom w:val="nil"/>
              <w:right w:val="nil"/>
            </w:tcBorders>
            <w:vAlign w:val="center"/>
          </w:tcPr>
          <w:p w14:paraId="16509553" w14:textId="77777777" w:rsidR="008F0C88" w:rsidRPr="00102B16" w:rsidRDefault="008F0C88" w:rsidP="008F0C88">
            <w:pPr>
              <w:pStyle w:val="Appendixtablecontent"/>
              <w:spacing w:line="240" w:lineRule="auto"/>
            </w:pPr>
          </w:p>
        </w:tc>
      </w:tr>
      <w:tr w:rsidR="008F0C88" w:rsidRPr="00102B16" w14:paraId="052E5741" w14:textId="2C7D526B" w:rsidTr="0059425E">
        <w:trPr>
          <w:trHeight w:val="255"/>
        </w:trPr>
        <w:tc>
          <w:tcPr>
            <w:tcW w:w="1134" w:type="dxa"/>
            <w:tcBorders>
              <w:top w:val="nil"/>
              <w:left w:val="nil"/>
              <w:bottom w:val="nil"/>
              <w:right w:val="nil"/>
            </w:tcBorders>
            <w:shd w:val="clear" w:color="auto" w:fill="auto"/>
            <w:noWrap/>
            <w:vAlign w:val="center"/>
            <w:hideMark/>
          </w:tcPr>
          <w:p w14:paraId="4FA71706" w14:textId="77777777" w:rsidR="008F0C88" w:rsidRPr="00102B16" w:rsidRDefault="008F0C88" w:rsidP="008F0C88">
            <w:pPr>
              <w:pStyle w:val="Appendixtablecontent"/>
              <w:spacing w:line="240" w:lineRule="auto"/>
            </w:pPr>
            <w:r w:rsidRPr="00102B16">
              <w:t>1990</w:t>
            </w:r>
          </w:p>
        </w:tc>
        <w:tc>
          <w:tcPr>
            <w:tcW w:w="1843" w:type="dxa"/>
            <w:tcBorders>
              <w:top w:val="nil"/>
              <w:left w:val="nil"/>
              <w:bottom w:val="nil"/>
              <w:right w:val="nil"/>
            </w:tcBorders>
            <w:shd w:val="clear" w:color="auto" w:fill="auto"/>
            <w:noWrap/>
            <w:vAlign w:val="center"/>
            <w:hideMark/>
          </w:tcPr>
          <w:p w14:paraId="582B19BE" w14:textId="77777777" w:rsidR="008F0C88" w:rsidRPr="00102B16" w:rsidRDefault="008F0C88" w:rsidP="008F0C88">
            <w:pPr>
              <w:pStyle w:val="Appendixtablecontent"/>
              <w:spacing w:line="240" w:lineRule="auto"/>
            </w:pPr>
            <w:r w:rsidRPr="00102B16">
              <w:t>1.55</w:t>
            </w:r>
          </w:p>
        </w:tc>
        <w:tc>
          <w:tcPr>
            <w:tcW w:w="1701" w:type="dxa"/>
            <w:tcBorders>
              <w:top w:val="nil"/>
              <w:left w:val="nil"/>
              <w:bottom w:val="nil"/>
              <w:right w:val="nil"/>
            </w:tcBorders>
            <w:shd w:val="clear" w:color="auto" w:fill="auto"/>
            <w:noWrap/>
            <w:vAlign w:val="center"/>
            <w:hideMark/>
          </w:tcPr>
          <w:p w14:paraId="088782B1" w14:textId="77777777" w:rsidR="008F0C88" w:rsidRPr="00102B16" w:rsidRDefault="008F0C88" w:rsidP="008F0C88">
            <w:pPr>
              <w:pStyle w:val="Appendixtablecontent"/>
              <w:spacing w:line="240" w:lineRule="auto"/>
            </w:pPr>
            <w:r w:rsidRPr="00102B16">
              <w:t>0.75</w:t>
            </w:r>
          </w:p>
        </w:tc>
        <w:tc>
          <w:tcPr>
            <w:tcW w:w="1559" w:type="dxa"/>
            <w:tcBorders>
              <w:top w:val="nil"/>
              <w:left w:val="nil"/>
              <w:bottom w:val="nil"/>
              <w:right w:val="nil"/>
            </w:tcBorders>
            <w:shd w:val="clear" w:color="auto" w:fill="auto"/>
            <w:noWrap/>
            <w:vAlign w:val="center"/>
            <w:hideMark/>
          </w:tcPr>
          <w:p w14:paraId="51AD6CA8" w14:textId="77777777" w:rsidR="008F0C88" w:rsidRPr="00102B16" w:rsidRDefault="008F0C88" w:rsidP="008F0C88">
            <w:pPr>
              <w:pStyle w:val="Appendixtablecontent"/>
              <w:spacing w:line="240" w:lineRule="auto"/>
            </w:pPr>
            <w:r w:rsidRPr="00102B16">
              <w:t>0.46</w:t>
            </w:r>
          </w:p>
        </w:tc>
        <w:tc>
          <w:tcPr>
            <w:tcW w:w="1560" w:type="dxa"/>
            <w:tcBorders>
              <w:top w:val="nil"/>
              <w:left w:val="nil"/>
              <w:bottom w:val="nil"/>
              <w:right w:val="nil"/>
            </w:tcBorders>
            <w:vAlign w:val="center"/>
          </w:tcPr>
          <w:p w14:paraId="5ECF8E5D" w14:textId="77777777" w:rsidR="008F0C88" w:rsidRPr="00102B16" w:rsidRDefault="008F0C88" w:rsidP="008F0C88">
            <w:pPr>
              <w:pStyle w:val="Appendixtablecontent"/>
              <w:spacing w:line="240" w:lineRule="auto"/>
            </w:pPr>
          </w:p>
        </w:tc>
      </w:tr>
      <w:tr w:rsidR="008F0C88" w:rsidRPr="00102B16" w14:paraId="2184B802" w14:textId="5B95682A" w:rsidTr="0059425E">
        <w:trPr>
          <w:trHeight w:val="255"/>
        </w:trPr>
        <w:tc>
          <w:tcPr>
            <w:tcW w:w="1134" w:type="dxa"/>
            <w:tcBorders>
              <w:top w:val="nil"/>
              <w:left w:val="nil"/>
              <w:bottom w:val="nil"/>
              <w:right w:val="nil"/>
            </w:tcBorders>
            <w:shd w:val="clear" w:color="auto" w:fill="auto"/>
            <w:noWrap/>
            <w:vAlign w:val="center"/>
            <w:hideMark/>
          </w:tcPr>
          <w:p w14:paraId="5DD61381" w14:textId="77777777" w:rsidR="008F0C88" w:rsidRPr="00102B16" w:rsidRDefault="008F0C88" w:rsidP="008F0C88">
            <w:pPr>
              <w:pStyle w:val="Appendixtablecontent"/>
              <w:spacing w:line="240" w:lineRule="auto"/>
            </w:pPr>
            <w:r w:rsidRPr="00102B16">
              <w:t>1991</w:t>
            </w:r>
          </w:p>
        </w:tc>
        <w:tc>
          <w:tcPr>
            <w:tcW w:w="1843" w:type="dxa"/>
            <w:tcBorders>
              <w:top w:val="nil"/>
              <w:left w:val="nil"/>
              <w:bottom w:val="nil"/>
              <w:right w:val="nil"/>
            </w:tcBorders>
            <w:shd w:val="clear" w:color="auto" w:fill="auto"/>
            <w:noWrap/>
            <w:vAlign w:val="center"/>
            <w:hideMark/>
          </w:tcPr>
          <w:p w14:paraId="78B73339" w14:textId="77777777" w:rsidR="008F0C88" w:rsidRPr="00102B16" w:rsidRDefault="008F0C88" w:rsidP="008F0C88">
            <w:pPr>
              <w:pStyle w:val="Appendixtablecontent"/>
              <w:spacing w:line="240" w:lineRule="auto"/>
            </w:pPr>
            <w:r w:rsidRPr="00102B16">
              <w:t>1.50</w:t>
            </w:r>
          </w:p>
        </w:tc>
        <w:tc>
          <w:tcPr>
            <w:tcW w:w="1701" w:type="dxa"/>
            <w:tcBorders>
              <w:top w:val="nil"/>
              <w:left w:val="nil"/>
              <w:bottom w:val="nil"/>
              <w:right w:val="nil"/>
            </w:tcBorders>
            <w:shd w:val="clear" w:color="auto" w:fill="auto"/>
            <w:noWrap/>
            <w:vAlign w:val="center"/>
            <w:hideMark/>
          </w:tcPr>
          <w:p w14:paraId="2734F91C" w14:textId="77777777" w:rsidR="008F0C88" w:rsidRPr="00102B16" w:rsidRDefault="008F0C88" w:rsidP="008F0C88">
            <w:pPr>
              <w:pStyle w:val="Appendixtablecontent"/>
              <w:spacing w:line="240" w:lineRule="auto"/>
            </w:pPr>
            <w:r w:rsidRPr="00102B16">
              <w:t>0.81</w:t>
            </w:r>
          </w:p>
        </w:tc>
        <w:tc>
          <w:tcPr>
            <w:tcW w:w="1559" w:type="dxa"/>
            <w:tcBorders>
              <w:top w:val="nil"/>
              <w:left w:val="nil"/>
              <w:bottom w:val="nil"/>
              <w:right w:val="nil"/>
            </w:tcBorders>
            <w:shd w:val="clear" w:color="auto" w:fill="auto"/>
            <w:noWrap/>
            <w:vAlign w:val="center"/>
            <w:hideMark/>
          </w:tcPr>
          <w:p w14:paraId="36457420" w14:textId="77777777" w:rsidR="008F0C88" w:rsidRPr="00102B16" w:rsidRDefault="008F0C88" w:rsidP="008F0C88">
            <w:pPr>
              <w:pStyle w:val="Appendixtablecontent"/>
              <w:spacing w:line="240" w:lineRule="auto"/>
            </w:pPr>
            <w:r w:rsidRPr="00102B16">
              <w:t>0.52</w:t>
            </w:r>
          </w:p>
        </w:tc>
        <w:tc>
          <w:tcPr>
            <w:tcW w:w="1560" w:type="dxa"/>
            <w:tcBorders>
              <w:top w:val="nil"/>
              <w:left w:val="nil"/>
              <w:bottom w:val="nil"/>
              <w:right w:val="nil"/>
            </w:tcBorders>
            <w:vAlign w:val="center"/>
          </w:tcPr>
          <w:p w14:paraId="0DCA000F" w14:textId="77777777" w:rsidR="008F0C88" w:rsidRPr="00102B16" w:rsidRDefault="008F0C88" w:rsidP="008F0C88">
            <w:pPr>
              <w:pStyle w:val="Appendixtablecontent"/>
              <w:spacing w:line="240" w:lineRule="auto"/>
            </w:pPr>
          </w:p>
        </w:tc>
      </w:tr>
      <w:tr w:rsidR="008F0C88" w:rsidRPr="00102B16" w14:paraId="2A0FD6D8" w14:textId="1970E909" w:rsidTr="0059425E">
        <w:trPr>
          <w:trHeight w:val="255"/>
        </w:trPr>
        <w:tc>
          <w:tcPr>
            <w:tcW w:w="1134" w:type="dxa"/>
            <w:tcBorders>
              <w:top w:val="nil"/>
              <w:left w:val="nil"/>
              <w:right w:val="nil"/>
            </w:tcBorders>
            <w:shd w:val="clear" w:color="auto" w:fill="auto"/>
            <w:noWrap/>
            <w:vAlign w:val="center"/>
            <w:hideMark/>
          </w:tcPr>
          <w:p w14:paraId="7B93EA08" w14:textId="77777777" w:rsidR="008F0C88" w:rsidRPr="00102B16" w:rsidRDefault="008F0C88" w:rsidP="008F0C88">
            <w:pPr>
              <w:pStyle w:val="Appendixtablecontent"/>
              <w:spacing w:line="240" w:lineRule="auto"/>
            </w:pPr>
            <w:r w:rsidRPr="00102B16">
              <w:t>1992</w:t>
            </w:r>
          </w:p>
        </w:tc>
        <w:tc>
          <w:tcPr>
            <w:tcW w:w="1843" w:type="dxa"/>
            <w:tcBorders>
              <w:top w:val="nil"/>
              <w:left w:val="nil"/>
              <w:right w:val="nil"/>
            </w:tcBorders>
            <w:shd w:val="clear" w:color="auto" w:fill="auto"/>
            <w:noWrap/>
            <w:vAlign w:val="center"/>
            <w:hideMark/>
          </w:tcPr>
          <w:p w14:paraId="748635C8" w14:textId="77777777" w:rsidR="008F0C88" w:rsidRPr="00102B16" w:rsidRDefault="008F0C88" w:rsidP="008F0C88">
            <w:pPr>
              <w:pStyle w:val="Appendixtablecontent"/>
              <w:spacing w:line="240" w:lineRule="auto"/>
            </w:pPr>
            <w:r w:rsidRPr="00102B16">
              <w:t>1.21</w:t>
            </w:r>
          </w:p>
        </w:tc>
        <w:tc>
          <w:tcPr>
            <w:tcW w:w="1701" w:type="dxa"/>
            <w:tcBorders>
              <w:top w:val="nil"/>
              <w:left w:val="nil"/>
              <w:right w:val="nil"/>
            </w:tcBorders>
            <w:shd w:val="clear" w:color="auto" w:fill="auto"/>
            <w:noWrap/>
            <w:vAlign w:val="center"/>
            <w:hideMark/>
          </w:tcPr>
          <w:p w14:paraId="5BCA23AE" w14:textId="77777777" w:rsidR="008F0C88" w:rsidRPr="00102B16" w:rsidRDefault="008F0C88" w:rsidP="008F0C88">
            <w:pPr>
              <w:pStyle w:val="Appendixtablecontent"/>
              <w:spacing w:line="240" w:lineRule="auto"/>
            </w:pPr>
            <w:r w:rsidRPr="00102B16">
              <w:t>0.56</w:t>
            </w:r>
          </w:p>
        </w:tc>
        <w:tc>
          <w:tcPr>
            <w:tcW w:w="1559" w:type="dxa"/>
            <w:tcBorders>
              <w:top w:val="nil"/>
              <w:left w:val="nil"/>
              <w:right w:val="nil"/>
            </w:tcBorders>
            <w:shd w:val="clear" w:color="auto" w:fill="auto"/>
            <w:noWrap/>
            <w:vAlign w:val="center"/>
            <w:hideMark/>
          </w:tcPr>
          <w:p w14:paraId="74C7A4F2" w14:textId="77777777" w:rsidR="008F0C88" w:rsidRPr="00102B16" w:rsidRDefault="008F0C88" w:rsidP="008F0C88">
            <w:pPr>
              <w:pStyle w:val="Appendixtablecontent"/>
              <w:spacing w:line="240" w:lineRule="auto"/>
            </w:pPr>
            <w:r w:rsidRPr="00102B16">
              <w:t>0.33</w:t>
            </w:r>
          </w:p>
        </w:tc>
        <w:tc>
          <w:tcPr>
            <w:tcW w:w="1560" w:type="dxa"/>
            <w:tcBorders>
              <w:top w:val="nil"/>
              <w:left w:val="nil"/>
              <w:right w:val="nil"/>
            </w:tcBorders>
            <w:vAlign w:val="center"/>
          </w:tcPr>
          <w:p w14:paraId="1BA8D0D8" w14:textId="77777777" w:rsidR="008F0C88" w:rsidRPr="00102B16" w:rsidRDefault="008F0C88" w:rsidP="008F0C88">
            <w:pPr>
              <w:pStyle w:val="Appendixtablecontent"/>
              <w:spacing w:line="240" w:lineRule="auto"/>
            </w:pPr>
          </w:p>
        </w:tc>
      </w:tr>
      <w:tr w:rsidR="008F0C88" w:rsidRPr="00102B16" w14:paraId="31984E1C" w14:textId="3660A864" w:rsidTr="0059425E">
        <w:trPr>
          <w:trHeight w:val="255"/>
        </w:trPr>
        <w:tc>
          <w:tcPr>
            <w:tcW w:w="1134" w:type="dxa"/>
            <w:tcBorders>
              <w:top w:val="nil"/>
              <w:left w:val="nil"/>
              <w:bottom w:val="nil"/>
              <w:right w:val="nil"/>
            </w:tcBorders>
            <w:shd w:val="clear" w:color="auto" w:fill="auto"/>
            <w:noWrap/>
            <w:vAlign w:val="center"/>
            <w:hideMark/>
          </w:tcPr>
          <w:p w14:paraId="3CB1EAEB" w14:textId="77777777" w:rsidR="008F0C88" w:rsidRPr="00102B16" w:rsidRDefault="008F0C88" w:rsidP="008F0C88">
            <w:pPr>
              <w:pStyle w:val="Appendixtablecontent"/>
              <w:spacing w:line="240" w:lineRule="auto"/>
            </w:pPr>
            <w:r w:rsidRPr="00102B16">
              <w:t>1993</w:t>
            </w:r>
          </w:p>
        </w:tc>
        <w:tc>
          <w:tcPr>
            <w:tcW w:w="1843" w:type="dxa"/>
            <w:tcBorders>
              <w:top w:val="nil"/>
              <w:left w:val="nil"/>
              <w:bottom w:val="nil"/>
              <w:right w:val="nil"/>
            </w:tcBorders>
            <w:shd w:val="clear" w:color="auto" w:fill="auto"/>
            <w:noWrap/>
            <w:vAlign w:val="center"/>
            <w:hideMark/>
          </w:tcPr>
          <w:p w14:paraId="108E1A08" w14:textId="77777777" w:rsidR="008F0C88" w:rsidRPr="00102B16" w:rsidRDefault="008F0C88" w:rsidP="008F0C88">
            <w:pPr>
              <w:pStyle w:val="Appendixtablecontent"/>
              <w:spacing w:line="240" w:lineRule="auto"/>
            </w:pPr>
            <w:r w:rsidRPr="00102B16">
              <w:t>0.19</w:t>
            </w:r>
          </w:p>
        </w:tc>
        <w:tc>
          <w:tcPr>
            <w:tcW w:w="1701" w:type="dxa"/>
            <w:tcBorders>
              <w:top w:val="nil"/>
              <w:left w:val="nil"/>
              <w:bottom w:val="nil"/>
              <w:right w:val="nil"/>
            </w:tcBorders>
            <w:shd w:val="clear" w:color="auto" w:fill="auto"/>
            <w:noWrap/>
            <w:vAlign w:val="center"/>
            <w:hideMark/>
          </w:tcPr>
          <w:p w14:paraId="36896485" w14:textId="77777777" w:rsidR="008F0C88" w:rsidRPr="00102B16" w:rsidRDefault="008F0C88" w:rsidP="008F0C88">
            <w:pPr>
              <w:pStyle w:val="Appendixtablecontent"/>
              <w:spacing w:line="240" w:lineRule="auto"/>
            </w:pPr>
            <w:r w:rsidRPr="00102B16">
              <w:t>0.24</w:t>
            </w:r>
          </w:p>
        </w:tc>
        <w:tc>
          <w:tcPr>
            <w:tcW w:w="1559" w:type="dxa"/>
            <w:tcBorders>
              <w:top w:val="nil"/>
              <w:left w:val="nil"/>
              <w:bottom w:val="nil"/>
              <w:right w:val="nil"/>
            </w:tcBorders>
            <w:shd w:val="clear" w:color="auto" w:fill="auto"/>
            <w:noWrap/>
            <w:vAlign w:val="center"/>
            <w:hideMark/>
          </w:tcPr>
          <w:p w14:paraId="4FE22452" w14:textId="77777777" w:rsidR="008F0C88" w:rsidRPr="00102B16" w:rsidRDefault="008F0C88" w:rsidP="008F0C88">
            <w:pPr>
              <w:pStyle w:val="Appendixtablecontent"/>
              <w:spacing w:line="240" w:lineRule="auto"/>
            </w:pPr>
            <w:r w:rsidRPr="00102B16">
              <w:t>0.09</w:t>
            </w:r>
          </w:p>
        </w:tc>
        <w:tc>
          <w:tcPr>
            <w:tcW w:w="1560" w:type="dxa"/>
            <w:tcBorders>
              <w:top w:val="nil"/>
              <w:left w:val="nil"/>
              <w:bottom w:val="nil"/>
              <w:right w:val="nil"/>
            </w:tcBorders>
            <w:vAlign w:val="center"/>
          </w:tcPr>
          <w:p w14:paraId="3528C777" w14:textId="77777777" w:rsidR="008F0C88" w:rsidRPr="00102B16" w:rsidRDefault="008F0C88" w:rsidP="008F0C88">
            <w:pPr>
              <w:pStyle w:val="Appendixtablecontent"/>
              <w:spacing w:line="240" w:lineRule="auto"/>
            </w:pPr>
          </w:p>
        </w:tc>
      </w:tr>
      <w:tr w:rsidR="008F0C88" w:rsidRPr="00102B16" w14:paraId="151E5C16" w14:textId="77777777" w:rsidTr="0059425E">
        <w:trPr>
          <w:trHeight w:val="255"/>
        </w:trPr>
        <w:tc>
          <w:tcPr>
            <w:tcW w:w="1134" w:type="dxa"/>
            <w:tcBorders>
              <w:top w:val="nil"/>
              <w:left w:val="nil"/>
              <w:right w:val="nil"/>
            </w:tcBorders>
            <w:shd w:val="clear" w:color="auto" w:fill="auto"/>
            <w:noWrap/>
            <w:vAlign w:val="center"/>
          </w:tcPr>
          <w:p w14:paraId="25C20810" w14:textId="77777777" w:rsidR="008F0C88" w:rsidRPr="00102B16" w:rsidRDefault="008F0C88" w:rsidP="008F0C88">
            <w:pPr>
              <w:pStyle w:val="Appendixtablecontent"/>
              <w:spacing w:line="240" w:lineRule="auto"/>
            </w:pPr>
          </w:p>
        </w:tc>
        <w:tc>
          <w:tcPr>
            <w:tcW w:w="1843" w:type="dxa"/>
            <w:tcBorders>
              <w:top w:val="nil"/>
              <w:left w:val="nil"/>
              <w:right w:val="nil"/>
            </w:tcBorders>
            <w:shd w:val="clear" w:color="auto" w:fill="auto"/>
            <w:noWrap/>
            <w:vAlign w:val="center"/>
          </w:tcPr>
          <w:p w14:paraId="1FBC1320" w14:textId="77777777" w:rsidR="008F0C88" w:rsidRPr="00102B16" w:rsidRDefault="008F0C88" w:rsidP="008F0C88">
            <w:pPr>
              <w:pStyle w:val="Appendixtablecontent"/>
              <w:spacing w:line="240" w:lineRule="auto"/>
            </w:pPr>
          </w:p>
        </w:tc>
        <w:tc>
          <w:tcPr>
            <w:tcW w:w="1701" w:type="dxa"/>
            <w:tcBorders>
              <w:top w:val="nil"/>
              <w:left w:val="nil"/>
              <w:right w:val="nil"/>
            </w:tcBorders>
            <w:shd w:val="clear" w:color="auto" w:fill="auto"/>
            <w:noWrap/>
            <w:vAlign w:val="center"/>
          </w:tcPr>
          <w:p w14:paraId="0D3666C7" w14:textId="77777777" w:rsidR="008F0C88" w:rsidRPr="00102B16" w:rsidRDefault="008F0C88" w:rsidP="008F0C88">
            <w:pPr>
              <w:pStyle w:val="Appendixtablecontent"/>
              <w:spacing w:line="240" w:lineRule="auto"/>
            </w:pPr>
          </w:p>
        </w:tc>
        <w:tc>
          <w:tcPr>
            <w:tcW w:w="1559" w:type="dxa"/>
            <w:tcBorders>
              <w:top w:val="nil"/>
              <w:left w:val="nil"/>
              <w:right w:val="nil"/>
            </w:tcBorders>
            <w:shd w:val="clear" w:color="auto" w:fill="auto"/>
            <w:noWrap/>
            <w:vAlign w:val="center"/>
          </w:tcPr>
          <w:p w14:paraId="7B11A3F3" w14:textId="77777777" w:rsidR="008F0C88" w:rsidRPr="00102B16" w:rsidRDefault="008F0C88" w:rsidP="008F0C88">
            <w:pPr>
              <w:pStyle w:val="Appendixtablecontent"/>
              <w:spacing w:line="240" w:lineRule="auto"/>
            </w:pPr>
          </w:p>
        </w:tc>
        <w:tc>
          <w:tcPr>
            <w:tcW w:w="1560" w:type="dxa"/>
            <w:tcBorders>
              <w:top w:val="nil"/>
              <w:left w:val="nil"/>
              <w:right w:val="nil"/>
            </w:tcBorders>
            <w:vAlign w:val="center"/>
          </w:tcPr>
          <w:p w14:paraId="6ECBA24D" w14:textId="22BAE3E4" w:rsidR="008F0C88" w:rsidRPr="00102B16" w:rsidRDefault="008F0C88" w:rsidP="008F0C88">
            <w:pPr>
              <w:pStyle w:val="Appendixtablecontent"/>
              <w:spacing w:line="240" w:lineRule="auto"/>
            </w:pPr>
          </w:p>
        </w:tc>
      </w:tr>
      <w:tr w:rsidR="009948A6" w:rsidRPr="00102B16" w14:paraId="51EC4FB2" w14:textId="77777777" w:rsidTr="00C85689">
        <w:trPr>
          <w:trHeight w:val="255"/>
        </w:trPr>
        <w:tc>
          <w:tcPr>
            <w:tcW w:w="1134" w:type="dxa"/>
            <w:tcBorders>
              <w:top w:val="nil"/>
              <w:left w:val="nil"/>
              <w:right w:val="nil"/>
            </w:tcBorders>
            <w:shd w:val="clear" w:color="auto" w:fill="auto"/>
            <w:noWrap/>
            <w:vAlign w:val="center"/>
          </w:tcPr>
          <w:p w14:paraId="7836E824" w14:textId="77777777" w:rsidR="009948A6" w:rsidRPr="00102B16" w:rsidRDefault="009948A6" w:rsidP="00C85689">
            <w:pPr>
              <w:pStyle w:val="Appendixtablecontent"/>
              <w:spacing w:line="240" w:lineRule="auto"/>
            </w:pPr>
          </w:p>
        </w:tc>
        <w:tc>
          <w:tcPr>
            <w:tcW w:w="1843" w:type="dxa"/>
            <w:tcBorders>
              <w:top w:val="nil"/>
              <w:left w:val="nil"/>
              <w:right w:val="nil"/>
            </w:tcBorders>
            <w:shd w:val="clear" w:color="auto" w:fill="auto"/>
            <w:noWrap/>
            <w:vAlign w:val="center"/>
          </w:tcPr>
          <w:p w14:paraId="6D74A8A2"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2F763CEC"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660BFD21"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74FABB31" w14:textId="77777777" w:rsidR="009948A6" w:rsidRPr="00102B16" w:rsidRDefault="009948A6" w:rsidP="00C85689">
            <w:pPr>
              <w:pStyle w:val="Appendixtablecontent"/>
              <w:spacing w:line="240" w:lineRule="auto"/>
            </w:pPr>
          </w:p>
        </w:tc>
      </w:tr>
      <w:tr w:rsidR="009948A6" w:rsidRPr="00102B16" w14:paraId="6981BC92" w14:textId="77777777" w:rsidTr="00C85689">
        <w:trPr>
          <w:trHeight w:val="255"/>
        </w:trPr>
        <w:tc>
          <w:tcPr>
            <w:tcW w:w="1134" w:type="dxa"/>
            <w:tcBorders>
              <w:top w:val="nil"/>
              <w:left w:val="nil"/>
              <w:right w:val="nil"/>
            </w:tcBorders>
            <w:shd w:val="clear" w:color="auto" w:fill="auto"/>
            <w:noWrap/>
            <w:vAlign w:val="center"/>
          </w:tcPr>
          <w:p w14:paraId="71BA341B"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1997</w:t>
            </w:r>
          </w:p>
        </w:tc>
        <w:tc>
          <w:tcPr>
            <w:tcW w:w="1843" w:type="dxa"/>
            <w:tcBorders>
              <w:top w:val="nil"/>
              <w:left w:val="nil"/>
              <w:right w:val="nil"/>
            </w:tcBorders>
            <w:shd w:val="clear" w:color="auto" w:fill="auto"/>
            <w:noWrap/>
            <w:vAlign w:val="center"/>
          </w:tcPr>
          <w:p w14:paraId="0F6DE4DA"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05F1282F"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0F9F5444"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6E70693A"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0.91</w:t>
            </w:r>
          </w:p>
        </w:tc>
      </w:tr>
      <w:tr w:rsidR="009948A6" w:rsidRPr="00102B16" w14:paraId="292A601B" w14:textId="77777777" w:rsidTr="00C85689">
        <w:trPr>
          <w:trHeight w:val="255"/>
        </w:trPr>
        <w:tc>
          <w:tcPr>
            <w:tcW w:w="1134" w:type="dxa"/>
            <w:tcBorders>
              <w:top w:val="nil"/>
              <w:left w:val="nil"/>
              <w:right w:val="nil"/>
            </w:tcBorders>
            <w:shd w:val="clear" w:color="auto" w:fill="auto"/>
            <w:noWrap/>
            <w:vAlign w:val="center"/>
          </w:tcPr>
          <w:p w14:paraId="312C1976"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1998</w:t>
            </w:r>
          </w:p>
        </w:tc>
        <w:tc>
          <w:tcPr>
            <w:tcW w:w="1843" w:type="dxa"/>
            <w:tcBorders>
              <w:top w:val="nil"/>
              <w:left w:val="nil"/>
              <w:right w:val="nil"/>
            </w:tcBorders>
            <w:shd w:val="clear" w:color="auto" w:fill="auto"/>
            <w:noWrap/>
            <w:vAlign w:val="center"/>
          </w:tcPr>
          <w:p w14:paraId="03D99757"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4D8FA56B"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1AC9D849"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4C7B16E6"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2.32</w:t>
            </w:r>
          </w:p>
        </w:tc>
      </w:tr>
      <w:tr w:rsidR="009948A6" w:rsidRPr="00102B16" w14:paraId="04033B8F" w14:textId="77777777" w:rsidTr="00C85689">
        <w:trPr>
          <w:trHeight w:val="255"/>
        </w:trPr>
        <w:tc>
          <w:tcPr>
            <w:tcW w:w="1134" w:type="dxa"/>
            <w:tcBorders>
              <w:top w:val="nil"/>
              <w:left w:val="nil"/>
              <w:right w:val="nil"/>
            </w:tcBorders>
            <w:shd w:val="clear" w:color="auto" w:fill="auto"/>
            <w:noWrap/>
            <w:vAlign w:val="center"/>
          </w:tcPr>
          <w:p w14:paraId="59B5AA86"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1999</w:t>
            </w:r>
          </w:p>
        </w:tc>
        <w:tc>
          <w:tcPr>
            <w:tcW w:w="1843" w:type="dxa"/>
            <w:tcBorders>
              <w:top w:val="nil"/>
              <w:left w:val="nil"/>
              <w:right w:val="nil"/>
            </w:tcBorders>
            <w:shd w:val="clear" w:color="auto" w:fill="auto"/>
            <w:noWrap/>
            <w:vAlign w:val="center"/>
          </w:tcPr>
          <w:p w14:paraId="295BB1CB"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3DC08DCA"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1F0C5E71"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388FE9A5"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5.41</w:t>
            </w:r>
          </w:p>
        </w:tc>
      </w:tr>
      <w:tr w:rsidR="009948A6" w:rsidRPr="00102B16" w14:paraId="582DD97E" w14:textId="77777777" w:rsidTr="00C85689">
        <w:trPr>
          <w:trHeight w:val="255"/>
        </w:trPr>
        <w:tc>
          <w:tcPr>
            <w:tcW w:w="1134" w:type="dxa"/>
            <w:tcBorders>
              <w:top w:val="nil"/>
              <w:left w:val="nil"/>
              <w:right w:val="nil"/>
            </w:tcBorders>
            <w:shd w:val="clear" w:color="auto" w:fill="auto"/>
            <w:noWrap/>
            <w:vAlign w:val="center"/>
          </w:tcPr>
          <w:p w14:paraId="0B107D8C"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2000</w:t>
            </w:r>
          </w:p>
        </w:tc>
        <w:tc>
          <w:tcPr>
            <w:tcW w:w="1843" w:type="dxa"/>
            <w:tcBorders>
              <w:top w:val="nil"/>
              <w:left w:val="nil"/>
              <w:right w:val="nil"/>
            </w:tcBorders>
            <w:shd w:val="clear" w:color="auto" w:fill="auto"/>
            <w:noWrap/>
            <w:vAlign w:val="center"/>
          </w:tcPr>
          <w:p w14:paraId="12AD17DD"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15792F03"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650D42A1"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48C211B3"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7.46</w:t>
            </w:r>
          </w:p>
        </w:tc>
      </w:tr>
      <w:tr w:rsidR="009948A6" w:rsidRPr="00102B16" w14:paraId="3A3FEE27" w14:textId="77777777" w:rsidTr="00C85689">
        <w:trPr>
          <w:trHeight w:val="255"/>
        </w:trPr>
        <w:tc>
          <w:tcPr>
            <w:tcW w:w="1134" w:type="dxa"/>
            <w:tcBorders>
              <w:top w:val="nil"/>
              <w:left w:val="nil"/>
              <w:right w:val="nil"/>
            </w:tcBorders>
            <w:shd w:val="clear" w:color="auto" w:fill="auto"/>
            <w:noWrap/>
            <w:vAlign w:val="center"/>
          </w:tcPr>
          <w:p w14:paraId="71FD8BF7"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2001</w:t>
            </w:r>
          </w:p>
        </w:tc>
        <w:tc>
          <w:tcPr>
            <w:tcW w:w="1843" w:type="dxa"/>
            <w:tcBorders>
              <w:top w:val="nil"/>
              <w:left w:val="nil"/>
              <w:right w:val="nil"/>
            </w:tcBorders>
            <w:shd w:val="clear" w:color="auto" w:fill="auto"/>
            <w:noWrap/>
            <w:vAlign w:val="center"/>
          </w:tcPr>
          <w:p w14:paraId="26EF70BA"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4AC45BEC"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6A074A18"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34B260FF"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4.97</w:t>
            </w:r>
          </w:p>
        </w:tc>
      </w:tr>
      <w:tr w:rsidR="009948A6" w:rsidRPr="00102B16" w14:paraId="0F535F60" w14:textId="77777777" w:rsidTr="00C85689">
        <w:trPr>
          <w:trHeight w:val="255"/>
        </w:trPr>
        <w:tc>
          <w:tcPr>
            <w:tcW w:w="1134" w:type="dxa"/>
            <w:tcBorders>
              <w:top w:val="nil"/>
              <w:left w:val="nil"/>
              <w:right w:val="nil"/>
            </w:tcBorders>
            <w:shd w:val="clear" w:color="auto" w:fill="auto"/>
            <w:noWrap/>
            <w:vAlign w:val="center"/>
          </w:tcPr>
          <w:p w14:paraId="41A02E00"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2002</w:t>
            </w:r>
          </w:p>
        </w:tc>
        <w:tc>
          <w:tcPr>
            <w:tcW w:w="1843" w:type="dxa"/>
            <w:tcBorders>
              <w:top w:val="nil"/>
              <w:left w:val="nil"/>
              <w:right w:val="nil"/>
            </w:tcBorders>
            <w:shd w:val="clear" w:color="auto" w:fill="auto"/>
            <w:noWrap/>
            <w:vAlign w:val="center"/>
          </w:tcPr>
          <w:p w14:paraId="39119C0E"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739C87B2"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570EA3DC"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67B113D9"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5.46</w:t>
            </w:r>
          </w:p>
        </w:tc>
      </w:tr>
      <w:tr w:rsidR="009948A6" w:rsidRPr="00102B16" w14:paraId="6D0074E9" w14:textId="77777777" w:rsidTr="00C85689">
        <w:trPr>
          <w:trHeight w:val="255"/>
        </w:trPr>
        <w:tc>
          <w:tcPr>
            <w:tcW w:w="1134" w:type="dxa"/>
            <w:tcBorders>
              <w:top w:val="nil"/>
              <w:left w:val="nil"/>
              <w:right w:val="nil"/>
            </w:tcBorders>
            <w:shd w:val="clear" w:color="auto" w:fill="auto"/>
            <w:noWrap/>
            <w:vAlign w:val="center"/>
          </w:tcPr>
          <w:p w14:paraId="0C7E9CCD"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2003</w:t>
            </w:r>
          </w:p>
        </w:tc>
        <w:tc>
          <w:tcPr>
            <w:tcW w:w="1843" w:type="dxa"/>
            <w:tcBorders>
              <w:top w:val="nil"/>
              <w:left w:val="nil"/>
              <w:right w:val="nil"/>
            </w:tcBorders>
            <w:shd w:val="clear" w:color="auto" w:fill="auto"/>
            <w:noWrap/>
            <w:vAlign w:val="center"/>
          </w:tcPr>
          <w:p w14:paraId="70521D6A"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193F6D83"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3158F3C3"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3C8C4A05"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3.27</w:t>
            </w:r>
          </w:p>
        </w:tc>
      </w:tr>
      <w:tr w:rsidR="009948A6" w:rsidRPr="00102B16" w14:paraId="0E56EDA0" w14:textId="77777777" w:rsidTr="00C85689">
        <w:trPr>
          <w:trHeight w:val="255"/>
        </w:trPr>
        <w:tc>
          <w:tcPr>
            <w:tcW w:w="1134" w:type="dxa"/>
            <w:tcBorders>
              <w:top w:val="nil"/>
              <w:left w:val="nil"/>
              <w:right w:val="nil"/>
            </w:tcBorders>
            <w:shd w:val="clear" w:color="auto" w:fill="auto"/>
            <w:noWrap/>
            <w:vAlign w:val="center"/>
          </w:tcPr>
          <w:p w14:paraId="4591F958"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2004</w:t>
            </w:r>
          </w:p>
        </w:tc>
        <w:tc>
          <w:tcPr>
            <w:tcW w:w="1843" w:type="dxa"/>
            <w:tcBorders>
              <w:top w:val="nil"/>
              <w:left w:val="nil"/>
              <w:right w:val="nil"/>
            </w:tcBorders>
            <w:shd w:val="clear" w:color="auto" w:fill="auto"/>
            <w:noWrap/>
            <w:vAlign w:val="center"/>
          </w:tcPr>
          <w:p w14:paraId="0C1771A0"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7A6EB3A1"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03EE23A6"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61DA4A08"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0.97</w:t>
            </w:r>
          </w:p>
        </w:tc>
      </w:tr>
      <w:tr w:rsidR="009948A6" w:rsidRPr="00102B16" w14:paraId="3B4F4695" w14:textId="77777777" w:rsidTr="00C85689">
        <w:trPr>
          <w:trHeight w:val="255"/>
        </w:trPr>
        <w:tc>
          <w:tcPr>
            <w:tcW w:w="1134" w:type="dxa"/>
            <w:tcBorders>
              <w:top w:val="nil"/>
              <w:left w:val="nil"/>
              <w:right w:val="nil"/>
            </w:tcBorders>
            <w:shd w:val="clear" w:color="auto" w:fill="auto"/>
            <w:noWrap/>
            <w:vAlign w:val="center"/>
          </w:tcPr>
          <w:p w14:paraId="37E6C900"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2005</w:t>
            </w:r>
          </w:p>
        </w:tc>
        <w:tc>
          <w:tcPr>
            <w:tcW w:w="1843" w:type="dxa"/>
            <w:tcBorders>
              <w:top w:val="nil"/>
              <w:left w:val="nil"/>
              <w:right w:val="nil"/>
            </w:tcBorders>
            <w:shd w:val="clear" w:color="auto" w:fill="auto"/>
            <w:noWrap/>
            <w:vAlign w:val="center"/>
          </w:tcPr>
          <w:p w14:paraId="2BB9CF7B"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12596A4B"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0B4F731A"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01FF543D"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3.60</w:t>
            </w:r>
          </w:p>
        </w:tc>
      </w:tr>
      <w:tr w:rsidR="009948A6" w:rsidRPr="00102B16" w14:paraId="4F454577" w14:textId="77777777" w:rsidTr="00C85689">
        <w:trPr>
          <w:trHeight w:val="255"/>
        </w:trPr>
        <w:tc>
          <w:tcPr>
            <w:tcW w:w="1134" w:type="dxa"/>
            <w:tcBorders>
              <w:top w:val="nil"/>
              <w:left w:val="nil"/>
              <w:right w:val="nil"/>
            </w:tcBorders>
            <w:shd w:val="clear" w:color="auto" w:fill="auto"/>
            <w:noWrap/>
            <w:vAlign w:val="center"/>
          </w:tcPr>
          <w:p w14:paraId="6B53923A"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2006</w:t>
            </w:r>
          </w:p>
        </w:tc>
        <w:tc>
          <w:tcPr>
            <w:tcW w:w="1843" w:type="dxa"/>
            <w:tcBorders>
              <w:top w:val="nil"/>
              <w:left w:val="nil"/>
              <w:right w:val="nil"/>
            </w:tcBorders>
            <w:shd w:val="clear" w:color="auto" w:fill="auto"/>
            <w:noWrap/>
            <w:vAlign w:val="center"/>
          </w:tcPr>
          <w:p w14:paraId="001DB296"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0E58CD2E"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7FC42963"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2374B4B5"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4.32</w:t>
            </w:r>
          </w:p>
        </w:tc>
      </w:tr>
      <w:tr w:rsidR="009948A6" w:rsidRPr="00102B16" w14:paraId="3582FA5B" w14:textId="77777777" w:rsidTr="00C85689">
        <w:trPr>
          <w:trHeight w:val="255"/>
        </w:trPr>
        <w:tc>
          <w:tcPr>
            <w:tcW w:w="1134" w:type="dxa"/>
            <w:tcBorders>
              <w:top w:val="nil"/>
              <w:left w:val="nil"/>
              <w:right w:val="nil"/>
            </w:tcBorders>
            <w:shd w:val="clear" w:color="auto" w:fill="auto"/>
            <w:noWrap/>
            <w:vAlign w:val="center"/>
          </w:tcPr>
          <w:p w14:paraId="2F86CB89"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2007</w:t>
            </w:r>
          </w:p>
        </w:tc>
        <w:tc>
          <w:tcPr>
            <w:tcW w:w="1843" w:type="dxa"/>
            <w:tcBorders>
              <w:top w:val="nil"/>
              <w:left w:val="nil"/>
              <w:right w:val="nil"/>
            </w:tcBorders>
            <w:shd w:val="clear" w:color="auto" w:fill="auto"/>
            <w:noWrap/>
            <w:vAlign w:val="center"/>
          </w:tcPr>
          <w:p w14:paraId="613B106C"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31F1EE47"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294EFAFA"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55FF12D9"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4.64</w:t>
            </w:r>
          </w:p>
        </w:tc>
      </w:tr>
      <w:tr w:rsidR="009948A6" w:rsidRPr="00102B16" w14:paraId="2E70F5B3" w14:textId="77777777" w:rsidTr="00C85689">
        <w:trPr>
          <w:trHeight w:val="255"/>
        </w:trPr>
        <w:tc>
          <w:tcPr>
            <w:tcW w:w="1134" w:type="dxa"/>
            <w:tcBorders>
              <w:top w:val="nil"/>
              <w:left w:val="nil"/>
              <w:right w:val="nil"/>
            </w:tcBorders>
            <w:shd w:val="clear" w:color="auto" w:fill="auto"/>
            <w:noWrap/>
            <w:vAlign w:val="center"/>
          </w:tcPr>
          <w:p w14:paraId="7CCB41A2"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2008</w:t>
            </w:r>
          </w:p>
        </w:tc>
        <w:tc>
          <w:tcPr>
            <w:tcW w:w="1843" w:type="dxa"/>
            <w:tcBorders>
              <w:top w:val="nil"/>
              <w:left w:val="nil"/>
              <w:right w:val="nil"/>
            </w:tcBorders>
            <w:shd w:val="clear" w:color="auto" w:fill="auto"/>
            <w:noWrap/>
            <w:vAlign w:val="center"/>
          </w:tcPr>
          <w:p w14:paraId="1CA1D61F"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07A016E4"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239AE213"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07DFC40E"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4.39</w:t>
            </w:r>
          </w:p>
        </w:tc>
      </w:tr>
      <w:tr w:rsidR="009948A6" w:rsidRPr="00102B16" w14:paraId="47A6A9CD" w14:textId="77777777" w:rsidTr="00C85689">
        <w:trPr>
          <w:trHeight w:val="255"/>
        </w:trPr>
        <w:tc>
          <w:tcPr>
            <w:tcW w:w="1134" w:type="dxa"/>
            <w:tcBorders>
              <w:top w:val="nil"/>
              <w:left w:val="nil"/>
              <w:right w:val="nil"/>
            </w:tcBorders>
            <w:shd w:val="clear" w:color="auto" w:fill="auto"/>
            <w:noWrap/>
            <w:vAlign w:val="center"/>
          </w:tcPr>
          <w:p w14:paraId="3E8E98BD"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2009</w:t>
            </w:r>
          </w:p>
        </w:tc>
        <w:tc>
          <w:tcPr>
            <w:tcW w:w="1843" w:type="dxa"/>
            <w:tcBorders>
              <w:top w:val="nil"/>
              <w:left w:val="nil"/>
              <w:right w:val="nil"/>
            </w:tcBorders>
            <w:shd w:val="clear" w:color="auto" w:fill="auto"/>
            <w:noWrap/>
            <w:vAlign w:val="center"/>
          </w:tcPr>
          <w:p w14:paraId="7F8653C9"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5F495103"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1AB5B7D5"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485A34C1"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21.15</w:t>
            </w:r>
          </w:p>
        </w:tc>
      </w:tr>
      <w:tr w:rsidR="009948A6" w:rsidRPr="00102B16" w14:paraId="5ACD40A2" w14:textId="77777777" w:rsidTr="00C85689">
        <w:trPr>
          <w:trHeight w:val="255"/>
        </w:trPr>
        <w:tc>
          <w:tcPr>
            <w:tcW w:w="1134" w:type="dxa"/>
            <w:tcBorders>
              <w:top w:val="nil"/>
              <w:left w:val="nil"/>
              <w:right w:val="nil"/>
            </w:tcBorders>
            <w:shd w:val="clear" w:color="auto" w:fill="auto"/>
            <w:noWrap/>
            <w:vAlign w:val="center"/>
          </w:tcPr>
          <w:p w14:paraId="5FCD0792"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2010</w:t>
            </w:r>
          </w:p>
        </w:tc>
        <w:tc>
          <w:tcPr>
            <w:tcW w:w="1843" w:type="dxa"/>
            <w:tcBorders>
              <w:top w:val="nil"/>
              <w:left w:val="nil"/>
              <w:right w:val="nil"/>
            </w:tcBorders>
            <w:shd w:val="clear" w:color="auto" w:fill="auto"/>
            <w:noWrap/>
            <w:vAlign w:val="center"/>
          </w:tcPr>
          <w:p w14:paraId="57A84DAB"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6EB88CF5"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39048C2A"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7E81F627"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11.40</w:t>
            </w:r>
          </w:p>
        </w:tc>
      </w:tr>
      <w:tr w:rsidR="009948A6" w:rsidRPr="00102B16" w14:paraId="17805CB0" w14:textId="77777777" w:rsidTr="00C85689">
        <w:trPr>
          <w:trHeight w:val="255"/>
        </w:trPr>
        <w:tc>
          <w:tcPr>
            <w:tcW w:w="1134" w:type="dxa"/>
            <w:tcBorders>
              <w:top w:val="nil"/>
              <w:left w:val="nil"/>
              <w:right w:val="nil"/>
            </w:tcBorders>
            <w:shd w:val="clear" w:color="auto" w:fill="auto"/>
            <w:noWrap/>
            <w:vAlign w:val="center"/>
          </w:tcPr>
          <w:p w14:paraId="0F357A78"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2011</w:t>
            </w:r>
          </w:p>
        </w:tc>
        <w:tc>
          <w:tcPr>
            <w:tcW w:w="1843" w:type="dxa"/>
            <w:tcBorders>
              <w:top w:val="nil"/>
              <w:left w:val="nil"/>
              <w:right w:val="nil"/>
            </w:tcBorders>
            <w:shd w:val="clear" w:color="auto" w:fill="auto"/>
            <w:noWrap/>
            <w:vAlign w:val="center"/>
          </w:tcPr>
          <w:p w14:paraId="11A80B7D"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76CD6F3B"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42312CCF"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7390DD22"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11.73</w:t>
            </w:r>
          </w:p>
        </w:tc>
      </w:tr>
      <w:tr w:rsidR="009948A6" w:rsidRPr="00102B16" w14:paraId="6DEDAAE2" w14:textId="77777777" w:rsidTr="00C85689">
        <w:trPr>
          <w:trHeight w:val="255"/>
        </w:trPr>
        <w:tc>
          <w:tcPr>
            <w:tcW w:w="1134" w:type="dxa"/>
            <w:tcBorders>
              <w:top w:val="nil"/>
              <w:left w:val="nil"/>
              <w:right w:val="nil"/>
            </w:tcBorders>
            <w:shd w:val="clear" w:color="auto" w:fill="auto"/>
            <w:noWrap/>
            <w:vAlign w:val="center"/>
          </w:tcPr>
          <w:p w14:paraId="32707ED1"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2012</w:t>
            </w:r>
          </w:p>
        </w:tc>
        <w:tc>
          <w:tcPr>
            <w:tcW w:w="1843" w:type="dxa"/>
            <w:tcBorders>
              <w:top w:val="nil"/>
              <w:left w:val="nil"/>
              <w:right w:val="nil"/>
            </w:tcBorders>
            <w:shd w:val="clear" w:color="auto" w:fill="auto"/>
            <w:noWrap/>
            <w:vAlign w:val="center"/>
          </w:tcPr>
          <w:p w14:paraId="20BDD837"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2E1C89FA"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17E6070D"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6EA93F48"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6.62</w:t>
            </w:r>
          </w:p>
        </w:tc>
      </w:tr>
      <w:tr w:rsidR="009948A6" w:rsidRPr="00102B16" w14:paraId="1F704E51" w14:textId="77777777" w:rsidTr="00C85689">
        <w:trPr>
          <w:trHeight w:val="255"/>
        </w:trPr>
        <w:tc>
          <w:tcPr>
            <w:tcW w:w="1134" w:type="dxa"/>
            <w:tcBorders>
              <w:top w:val="nil"/>
              <w:left w:val="nil"/>
              <w:right w:val="nil"/>
            </w:tcBorders>
            <w:shd w:val="clear" w:color="auto" w:fill="auto"/>
            <w:noWrap/>
            <w:vAlign w:val="center"/>
          </w:tcPr>
          <w:p w14:paraId="51C19883"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2013</w:t>
            </w:r>
          </w:p>
        </w:tc>
        <w:tc>
          <w:tcPr>
            <w:tcW w:w="1843" w:type="dxa"/>
            <w:tcBorders>
              <w:top w:val="nil"/>
              <w:left w:val="nil"/>
              <w:right w:val="nil"/>
            </w:tcBorders>
            <w:shd w:val="clear" w:color="auto" w:fill="auto"/>
            <w:noWrap/>
            <w:vAlign w:val="center"/>
          </w:tcPr>
          <w:p w14:paraId="0B04AF89" w14:textId="77777777" w:rsidR="009948A6" w:rsidRPr="00102B16" w:rsidRDefault="009948A6" w:rsidP="00C85689">
            <w:pPr>
              <w:pStyle w:val="Appendixtablecontent"/>
              <w:spacing w:line="240" w:lineRule="auto"/>
            </w:pPr>
          </w:p>
        </w:tc>
        <w:tc>
          <w:tcPr>
            <w:tcW w:w="1701" w:type="dxa"/>
            <w:tcBorders>
              <w:top w:val="nil"/>
              <w:left w:val="nil"/>
              <w:right w:val="nil"/>
            </w:tcBorders>
            <w:shd w:val="clear" w:color="auto" w:fill="auto"/>
            <w:noWrap/>
            <w:vAlign w:val="center"/>
          </w:tcPr>
          <w:p w14:paraId="4DCEDB5B" w14:textId="77777777" w:rsidR="009948A6" w:rsidRPr="00102B16" w:rsidRDefault="009948A6" w:rsidP="00C85689">
            <w:pPr>
              <w:pStyle w:val="Appendixtablecontent"/>
              <w:spacing w:line="240" w:lineRule="auto"/>
            </w:pPr>
          </w:p>
        </w:tc>
        <w:tc>
          <w:tcPr>
            <w:tcW w:w="1559" w:type="dxa"/>
            <w:tcBorders>
              <w:top w:val="nil"/>
              <w:left w:val="nil"/>
              <w:right w:val="nil"/>
            </w:tcBorders>
            <w:shd w:val="clear" w:color="auto" w:fill="auto"/>
            <w:noWrap/>
            <w:vAlign w:val="center"/>
          </w:tcPr>
          <w:p w14:paraId="13C221EE" w14:textId="77777777" w:rsidR="009948A6" w:rsidRPr="00102B16" w:rsidRDefault="009948A6" w:rsidP="00C85689">
            <w:pPr>
              <w:pStyle w:val="Appendixtablecontent"/>
              <w:spacing w:line="240" w:lineRule="auto"/>
            </w:pPr>
          </w:p>
        </w:tc>
        <w:tc>
          <w:tcPr>
            <w:tcW w:w="1560" w:type="dxa"/>
            <w:tcBorders>
              <w:top w:val="nil"/>
              <w:left w:val="nil"/>
              <w:right w:val="nil"/>
            </w:tcBorders>
            <w:vAlign w:val="center"/>
          </w:tcPr>
          <w:p w14:paraId="199C6235"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12.54</w:t>
            </w:r>
          </w:p>
        </w:tc>
      </w:tr>
      <w:tr w:rsidR="009948A6" w:rsidRPr="00102B16" w14:paraId="0CC438A3" w14:textId="77777777" w:rsidTr="00C85689">
        <w:trPr>
          <w:trHeight w:val="255"/>
        </w:trPr>
        <w:tc>
          <w:tcPr>
            <w:tcW w:w="1134" w:type="dxa"/>
            <w:tcBorders>
              <w:left w:val="nil"/>
              <w:bottom w:val="single" w:sz="12" w:space="0" w:color="auto"/>
              <w:right w:val="nil"/>
            </w:tcBorders>
            <w:shd w:val="clear" w:color="auto" w:fill="auto"/>
            <w:noWrap/>
            <w:vAlign w:val="center"/>
          </w:tcPr>
          <w:p w14:paraId="327942B5" w14:textId="77777777" w:rsidR="009948A6" w:rsidRPr="00BB050D" w:rsidRDefault="009948A6" w:rsidP="00C85689">
            <w:pPr>
              <w:pStyle w:val="Appendixtablecontent"/>
              <w:spacing w:line="240" w:lineRule="auto"/>
              <w:rPr>
                <w:rFonts w:eastAsia="Times New Roman" w:cs="Times New Roman"/>
                <w:color w:val="000000"/>
                <w:lang w:eastAsia="sv-SE"/>
              </w:rPr>
            </w:pPr>
            <w:r w:rsidRPr="00BB050D">
              <w:rPr>
                <w:rFonts w:eastAsia="Times New Roman" w:cs="Times New Roman"/>
                <w:color w:val="000000"/>
                <w:lang w:eastAsia="sv-SE"/>
              </w:rPr>
              <w:t>2014</w:t>
            </w:r>
          </w:p>
        </w:tc>
        <w:tc>
          <w:tcPr>
            <w:tcW w:w="1843" w:type="dxa"/>
            <w:tcBorders>
              <w:left w:val="nil"/>
              <w:bottom w:val="single" w:sz="12" w:space="0" w:color="auto"/>
              <w:right w:val="nil"/>
            </w:tcBorders>
            <w:shd w:val="clear" w:color="auto" w:fill="auto"/>
            <w:noWrap/>
            <w:vAlign w:val="center"/>
          </w:tcPr>
          <w:p w14:paraId="7100E5F4" w14:textId="77777777" w:rsidR="009948A6" w:rsidRPr="00102B16" w:rsidRDefault="009948A6" w:rsidP="00C85689">
            <w:pPr>
              <w:pStyle w:val="Appendixtablecontent"/>
              <w:spacing w:line="240" w:lineRule="auto"/>
            </w:pPr>
          </w:p>
        </w:tc>
        <w:tc>
          <w:tcPr>
            <w:tcW w:w="1701" w:type="dxa"/>
            <w:tcBorders>
              <w:left w:val="nil"/>
              <w:bottom w:val="single" w:sz="12" w:space="0" w:color="auto"/>
              <w:right w:val="nil"/>
            </w:tcBorders>
            <w:shd w:val="clear" w:color="auto" w:fill="auto"/>
            <w:noWrap/>
            <w:vAlign w:val="center"/>
          </w:tcPr>
          <w:p w14:paraId="4A82B76D" w14:textId="77777777" w:rsidR="009948A6" w:rsidRPr="00102B16" w:rsidRDefault="009948A6" w:rsidP="00C85689">
            <w:pPr>
              <w:pStyle w:val="Appendixtablecontent"/>
              <w:spacing w:line="240" w:lineRule="auto"/>
            </w:pPr>
          </w:p>
        </w:tc>
        <w:tc>
          <w:tcPr>
            <w:tcW w:w="1559" w:type="dxa"/>
            <w:tcBorders>
              <w:left w:val="nil"/>
              <w:bottom w:val="single" w:sz="12" w:space="0" w:color="auto"/>
              <w:right w:val="nil"/>
            </w:tcBorders>
            <w:shd w:val="clear" w:color="auto" w:fill="auto"/>
            <w:noWrap/>
            <w:vAlign w:val="center"/>
          </w:tcPr>
          <w:p w14:paraId="13C3BF1F" w14:textId="77777777" w:rsidR="009948A6" w:rsidRPr="00102B16" w:rsidRDefault="009948A6" w:rsidP="00C85689">
            <w:pPr>
              <w:pStyle w:val="Appendixtablecontent"/>
              <w:spacing w:line="240" w:lineRule="auto"/>
            </w:pPr>
          </w:p>
        </w:tc>
        <w:tc>
          <w:tcPr>
            <w:tcW w:w="1560" w:type="dxa"/>
            <w:tcBorders>
              <w:left w:val="nil"/>
              <w:bottom w:val="single" w:sz="12" w:space="0" w:color="auto"/>
              <w:right w:val="nil"/>
            </w:tcBorders>
            <w:vAlign w:val="center"/>
          </w:tcPr>
          <w:p w14:paraId="5787B8AA" w14:textId="77777777" w:rsidR="009948A6" w:rsidRPr="00102B16" w:rsidRDefault="009948A6" w:rsidP="00C85689">
            <w:pPr>
              <w:pStyle w:val="Appendixtablecontent"/>
              <w:spacing w:line="240" w:lineRule="auto"/>
            </w:pPr>
            <w:r w:rsidRPr="00BB050D">
              <w:rPr>
                <w:rFonts w:eastAsia="Times New Roman" w:cs="Times New Roman"/>
                <w:color w:val="000000"/>
                <w:lang w:eastAsia="sv-SE"/>
              </w:rPr>
              <w:t>4.85</w:t>
            </w:r>
          </w:p>
        </w:tc>
      </w:tr>
    </w:tbl>
    <w:p w14:paraId="3AF9465D" w14:textId="77777777" w:rsidR="003B23F9" w:rsidRPr="00E86E6B" w:rsidRDefault="003B23F9" w:rsidP="00E86E6B">
      <w:pPr>
        <w:pStyle w:val="Appendixtablenote"/>
        <w:rPr>
          <w:lang w:val="en-US"/>
        </w:rPr>
      </w:pPr>
      <w:r w:rsidRPr="00E86E6B">
        <w:rPr>
          <w:lang w:val="en-US"/>
        </w:rPr>
        <w:t>Source:</w:t>
      </w:r>
      <w:r w:rsidR="00364837" w:rsidRPr="00E86E6B">
        <w:rPr>
          <w:lang w:val="en-US"/>
        </w:rPr>
        <w:t xml:space="preserve"> Statistics Sweden 1977-2015.</w:t>
      </w:r>
      <w:r w:rsidRPr="00E86E6B">
        <w:rPr>
          <w:lang w:val="en-US"/>
        </w:rPr>
        <w:t xml:space="preserve"> </w:t>
      </w:r>
      <w:proofErr w:type="spellStart"/>
      <w:r w:rsidRPr="00E86E6B">
        <w:rPr>
          <w:lang w:val="en-US"/>
        </w:rPr>
        <w:t>Jordbruksstatistisk</w:t>
      </w:r>
      <w:proofErr w:type="spellEnd"/>
      <w:r w:rsidRPr="00E86E6B">
        <w:rPr>
          <w:lang w:val="en-US"/>
        </w:rPr>
        <w:t xml:space="preserve"> </w:t>
      </w:r>
      <w:proofErr w:type="spellStart"/>
      <w:r w:rsidRPr="00E86E6B">
        <w:rPr>
          <w:lang w:val="en-US"/>
        </w:rPr>
        <w:t>årsbok</w:t>
      </w:r>
      <w:proofErr w:type="spellEnd"/>
      <w:r w:rsidRPr="00E86E6B">
        <w:rPr>
          <w:lang w:val="en-US"/>
        </w:rPr>
        <w:t xml:space="preserve"> (Yearbook of Agricultural Statistics)</w:t>
      </w:r>
    </w:p>
    <w:p w14:paraId="080D2E7D" w14:textId="77777777" w:rsidR="003B23F9" w:rsidRDefault="003B23F9" w:rsidP="00F6404E">
      <w:pPr>
        <w:pStyle w:val="Appendixcaption"/>
      </w:pPr>
      <w:r w:rsidRPr="00102B16">
        <w:br w:type="page"/>
      </w:r>
    </w:p>
    <w:p w14:paraId="7CBD1692" w14:textId="77777777" w:rsidR="003B23F9" w:rsidRDefault="00705181" w:rsidP="00E86E6B">
      <w:pPr>
        <w:pStyle w:val="Appendixsubtitle1"/>
      </w:pPr>
      <w:r>
        <w:lastRenderedPageBreak/>
        <w:t>Income from reindeer harvest</w:t>
      </w:r>
    </w:p>
    <w:p w14:paraId="7D17E2D6" w14:textId="77777777" w:rsidR="00705181" w:rsidRDefault="00705181" w:rsidP="00E86E6B">
      <w:pPr>
        <w:pStyle w:val="Appendixtext"/>
      </w:pPr>
    </w:p>
    <w:p w14:paraId="1FDC5541" w14:textId="77777777" w:rsidR="003B23F9" w:rsidRPr="005F3DDF" w:rsidRDefault="00535C01" w:rsidP="007D4889">
      <w:pPr>
        <w:jc w:val="center"/>
        <w:rPr>
          <w:rFonts w:ascii="Times New Roman" w:hAnsi="Times New Roman" w:cs="Times New Roman"/>
        </w:rPr>
      </w:pPr>
      <w:r>
        <w:rPr>
          <w:noProof/>
          <w:lang w:val="en-PH" w:eastAsia="en-PH"/>
        </w:rPr>
        <w:drawing>
          <wp:inline distT="0" distB="0" distL="0" distR="0" wp14:anchorId="464362EB" wp14:editId="2236A30C">
            <wp:extent cx="5756910" cy="37490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749040"/>
                    </a:xfrm>
                    <a:prstGeom prst="rect">
                      <a:avLst/>
                    </a:prstGeom>
                  </pic:spPr>
                </pic:pic>
              </a:graphicData>
            </a:graphic>
          </wp:inline>
        </w:drawing>
      </w:r>
    </w:p>
    <w:p w14:paraId="62BF5B4E" w14:textId="77777777" w:rsidR="003B23F9" w:rsidRPr="0031038A" w:rsidRDefault="003B23F9" w:rsidP="00E86E6B">
      <w:pPr>
        <w:pStyle w:val="Appendixtext"/>
      </w:pPr>
    </w:p>
    <w:p w14:paraId="621E9E1E" w14:textId="719DFDAF" w:rsidR="003937F8" w:rsidRDefault="003B23F9" w:rsidP="007D4889">
      <w:pPr>
        <w:pStyle w:val="Appendixcaption"/>
      </w:pPr>
      <w:proofErr w:type="gramStart"/>
      <w:r w:rsidRPr="0031038A">
        <w:rPr>
          <w:b/>
        </w:rPr>
        <w:t>Fig A2.</w:t>
      </w:r>
      <w:r w:rsidR="000C1598">
        <w:rPr>
          <w:b/>
        </w:rPr>
        <w:t>3</w:t>
      </w:r>
      <w:r w:rsidRPr="0031038A">
        <w:rPr>
          <w:b/>
        </w:rPr>
        <w:t>.</w:t>
      </w:r>
      <w:proofErr w:type="gramEnd"/>
      <w:r w:rsidRPr="0031038A">
        <w:rPr>
          <w:b/>
        </w:rPr>
        <w:t xml:space="preserve"> </w:t>
      </w:r>
      <w:r w:rsidRPr="0031038A">
        <w:t xml:space="preserve">Reindeer meat prices (SEK per kg) 1955-2015, income (million SEK) from reindeer harvest 1981-2015, </w:t>
      </w:r>
      <w:r>
        <w:t>with and without a</w:t>
      </w:r>
      <w:r w:rsidRPr="0031038A">
        <w:t xml:space="preserve"> price support</w:t>
      </w:r>
      <w:r>
        <w:t xml:space="preserve"> that has been payed to herders from 1973 onwards. </w:t>
      </w:r>
      <w:r w:rsidRPr="0031038A">
        <w:t xml:space="preserve">Prices for reindeer meat from 1960 </w:t>
      </w:r>
      <w:r w:rsidR="001578EA">
        <w:t>to</w:t>
      </w:r>
      <w:r w:rsidR="001578EA" w:rsidRPr="0031038A">
        <w:t xml:space="preserve"> </w:t>
      </w:r>
      <w:r w:rsidRPr="0031038A">
        <w:t xml:space="preserve">1977 were obtained from </w:t>
      </w:r>
      <w:r w:rsidR="001578EA" w:rsidRPr="0031038A">
        <w:t>a graph cove</w:t>
      </w:r>
      <w:r w:rsidR="001578EA">
        <w:t>ring 1960-1972 in Vol 6(4) 1972 of</w:t>
      </w:r>
      <w:r w:rsidR="001578EA" w:rsidRPr="0031038A">
        <w:t xml:space="preserve"> </w:t>
      </w:r>
      <w:r w:rsidRPr="0031038A">
        <w:t>the journal “</w:t>
      </w:r>
      <w:proofErr w:type="spellStart"/>
      <w:r w:rsidRPr="0031038A">
        <w:t>Rennäringsnytt</w:t>
      </w:r>
      <w:proofErr w:type="spellEnd"/>
      <w:r w:rsidRPr="0031038A">
        <w:t xml:space="preserve">” (Reindeer Husbandry News), and </w:t>
      </w:r>
      <w:r w:rsidR="001578EA">
        <w:t>from</w:t>
      </w:r>
      <w:r w:rsidR="001578EA" w:rsidRPr="0031038A">
        <w:t xml:space="preserve"> </w:t>
      </w:r>
      <w:r w:rsidRPr="0031038A">
        <w:t xml:space="preserve">written text for 1973-1977 in Vol 7-11. Data from 1978-1996 were obtained from </w:t>
      </w:r>
      <w:r w:rsidRPr="0031038A">
        <w:rPr>
          <w:noProof/>
        </w:rPr>
        <w:t>Statistics Sweden (1999)</w:t>
      </w:r>
      <w:r w:rsidRPr="0031038A">
        <w:t xml:space="preserve">. Figures from 1997 and onwards were calculated from original data from the Swedish Sami Parliament (obtained in January 2016). </w:t>
      </w:r>
      <w:r w:rsidR="003937F8" w:rsidRPr="007D4381">
        <w:t xml:space="preserve">Data are presented in million Swedish crowns (SEK), standardized to the year 2015 using the historical Cost-of-Living Index (CLI, retrieved on September 4, 2017 at </w:t>
      </w:r>
      <w:hyperlink r:id="rId11" w:history="1">
        <w:r w:rsidR="003937F8" w:rsidRPr="007D4381">
          <w:rPr>
            <w:rStyle w:val="Hyperlink"/>
          </w:rPr>
          <w:t>www.scb.se</w:t>
        </w:r>
      </w:hyperlink>
      <w:r w:rsidR="003937F8" w:rsidRPr="007D4381">
        <w:t>)</w:t>
      </w:r>
      <w:r w:rsidRPr="0031038A">
        <w:t xml:space="preserve">. </w:t>
      </w:r>
      <w:r w:rsidR="003937F8">
        <w:t>Prices are payed based on the weight of the whole carcass, including bone</w:t>
      </w:r>
      <w:r w:rsidR="001578EA">
        <w:t>s</w:t>
      </w:r>
      <w:r w:rsidR="003937F8">
        <w:t xml:space="preserve">. </w:t>
      </w:r>
    </w:p>
    <w:p w14:paraId="4BA4DC7C" w14:textId="63D0CC54" w:rsidR="003B23F9" w:rsidRPr="0031038A" w:rsidRDefault="003B23F9" w:rsidP="007D4889">
      <w:pPr>
        <w:pStyle w:val="Appendixcaption"/>
      </w:pPr>
      <w:r w:rsidRPr="0031038A">
        <w:t>Reindeer meat prices and total income from reindeer harvest</w:t>
      </w:r>
      <w:r>
        <w:t xml:space="preserve"> have varied substantially (total income depending on slaughter volume, see Fig. 3 in the main manuscript), but showed no general trend</w:t>
      </w:r>
      <w:r w:rsidRPr="0031038A">
        <w:t xml:space="preserve"> during the study period (GLS models with AR1 temporal autocorrelation s</w:t>
      </w:r>
      <w:r w:rsidR="005A2603">
        <w:t>tructure: all p-values &gt; 0.05).</w:t>
      </w:r>
    </w:p>
    <w:p w14:paraId="0EAB56FE" w14:textId="77777777" w:rsidR="003B23F9" w:rsidRDefault="003B23F9" w:rsidP="00E86E6B">
      <w:pPr>
        <w:pStyle w:val="Appendixtext"/>
      </w:pPr>
      <w:r>
        <w:br w:type="page"/>
      </w:r>
    </w:p>
    <w:p w14:paraId="5E350EDC" w14:textId="77777777" w:rsidR="00AE5EFA" w:rsidRDefault="003B23F9" w:rsidP="00E86E6B">
      <w:pPr>
        <w:pStyle w:val="Appendixsubtitle1"/>
      </w:pPr>
      <w:r>
        <w:lastRenderedPageBreak/>
        <w:t>Owner structure</w:t>
      </w:r>
    </w:p>
    <w:p w14:paraId="60200F7D" w14:textId="77777777" w:rsidR="00AE5EFA" w:rsidRDefault="00AE5EFA" w:rsidP="00E86E6B">
      <w:pPr>
        <w:pStyle w:val="Appendixtext"/>
      </w:pPr>
    </w:p>
    <w:p w14:paraId="48FF17D6" w14:textId="14AA4471" w:rsidR="003B23F9" w:rsidRPr="00102B16" w:rsidRDefault="003B23F9" w:rsidP="003A1248">
      <w:pPr>
        <w:pStyle w:val="Appendixcaption"/>
        <w:ind w:right="2120"/>
      </w:pPr>
      <w:r w:rsidRPr="007D4381">
        <w:rPr>
          <w:b/>
        </w:rPr>
        <w:t>Table A2.</w:t>
      </w:r>
      <w:r w:rsidR="001C4ED7">
        <w:rPr>
          <w:b/>
        </w:rPr>
        <w:t>4</w:t>
      </w:r>
      <w:r w:rsidRPr="007D4381">
        <w:rPr>
          <w:b/>
        </w:rPr>
        <w:t xml:space="preserve">. </w:t>
      </w:r>
      <w:proofErr w:type="gramStart"/>
      <w:r w:rsidRPr="007D4381">
        <w:t>Proportion of reindeer herding enterprises (“household” in the data from 1965) with different reindeer herd size from 1965 until 2015</w:t>
      </w:r>
      <w:r w:rsidR="00E86E6B">
        <w:t>.</w:t>
      </w:r>
      <w:proofErr w:type="gramEnd"/>
    </w:p>
    <w:tbl>
      <w:tblPr>
        <w:tblW w:w="6867" w:type="dxa"/>
        <w:tblCellMar>
          <w:left w:w="70" w:type="dxa"/>
          <w:right w:w="70" w:type="dxa"/>
        </w:tblCellMar>
        <w:tblLook w:val="04A0" w:firstRow="1" w:lastRow="0" w:firstColumn="1" w:lastColumn="0" w:noHBand="0" w:noVBand="1"/>
      </w:tblPr>
      <w:tblGrid>
        <w:gridCol w:w="981"/>
        <w:gridCol w:w="981"/>
        <w:gridCol w:w="981"/>
        <w:gridCol w:w="981"/>
        <w:gridCol w:w="981"/>
        <w:gridCol w:w="981"/>
        <w:gridCol w:w="981"/>
      </w:tblGrid>
      <w:tr w:rsidR="003B23F9" w:rsidRPr="00102B16" w14:paraId="4173151A" w14:textId="77777777" w:rsidTr="00423D7C">
        <w:trPr>
          <w:trHeight w:val="391"/>
        </w:trPr>
        <w:tc>
          <w:tcPr>
            <w:tcW w:w="981" w:type="dxa"/>
            <w:tcBorders>
              <w:top w:val="double" w:sz="12" w:space="0" w:color="auto"/>
              <w:left w:val="nil"/>
              <w:bottom w:val="single" w:sz="12" w:space="0" w:color="auto"/>
              <w:right w:val="nil"/>
            </w:tcBorders>
            <w:shd w:val="clear" w:color="auto" w:fill="auto"/>
            <w:noWrap/>
            <w:vAlign w:val="center"/>
            <w:hideMark/>
          </w:tcPr>
          <w:p w14:paraId="7D423605" w14:textId="77777777" w:rsidR="003B23F9" w:rsidRPr="00102B16" w:rsidRDefault="003B23F9" w:rsidP="003A1248">
            <w:pPr>
              <w:pStyle w:val="Appendixtableheader"/>
              <w:rPr>
                <w:lang w:eastAsia="sv-SE"/>
              </w:rPr>
            </w:pPr>
            <w:r w:rsidRPr="00102B16">
              <w:rPr>
                <w:lang w:eastAsia="sv-SE"/>
              </w:rPr>
              <w:t>Year</w:t>
            </w:r>
          </w:p>
        </w:tc>
        <w:tc>
          <w:tcPr>
            <w:tcW w:w="981" w:type="dxa"/>
            <w:tcBorders>
              <w:top w:val="double" w:sz="12" w:space="0" w:color="auto"/>
              <w:left w:val="nil"/>
              <w:bottom w:val="single" w:sz="12" w:space="0" w:color="auto"/>
              <w:right w:val="nil"/>
            </w:tcBorders>
            <w:shd w:val="clear" w:color="auto" w:fill="auto"/>
            <w:noWrap/>
            <w:vAlign w:val="center"/>
            <w:hideMark/>
          </w:tcPr>
          <w:p w14:paraId="701F5061" w14:textId="77777777" w:rsidR="003B23F9" w:rsidRPr="00102B16" w:rsidRDefault="003B23F9" w:rsidP="003A1248">
            <w:pPr>
              <w:pStyle w:val="Appendixtableheader"/>
              <w:rPr>
                <w:lang w:eastAsia="sv-SE"/>
              </w:rPr>
            </w:pPr>
            <w:r w:rsidRPr="00102B16">
              <w:rPr>
                <w:lang w:eastAsia="sv-SE"/>
              </w:rPr>
              <w:t>&lt;100</w:t>
            </w:r>
          </w:p>
        </w:tc>
        <w:tc>
          <w:tcPr>
            <w:tcW w:w="981" w:type="dxa"/>
            <w:tcBorders>
              <w:top w:val="double" w:sz="12" w:space="0" w:color="auto"/>
              <w:left w:val="nil"/>
              <w:bottom w:val="single" w:sz="12" w:space="0" w:color="auto"/>
              <w:right w:val="nil"/>
            </w:tcBorders>
            <w:shd w:val="clear" w:color="auto" w:fill="auto"/>
            <w:noWrap/>
            <w:vAlign w:val="center"/>
            <w:hideMark/>
          </w:tcPr>
          <w:p w14:paraId="7C5B8F19" w14:textId="77777777" w:rsidR="003B23F9" w:rsidRPr="00102B16" w:rsidRDefault="003B23F9" w:rsidP="003A1248">
            <w:pPr>
              <w:pStyle w:val="Appendixtableheader"/>
              <w:rPr>
                <w:lang w:eastAsia="sv-SE"/>
              </w:rPr>
            </w:pPr>
            <w:r w:rsidRPr="00102B16">
              <w:rPr>
                <w:lang w:eastAsia="sv-SE"/>
              </w:rPr>
              <w:t>100-199</w:t>
            </w:r>
          </w:p>
        </w:tc>
        <w:tc>
          <w:tcPr>
            <w:tcW w:w="981" w:type="dxa"/>
            <w:tcBorders>
              <w:top w:val="double" w:sz="12" w:space="0" w:color="auto"/>
              <w:left w:val="nil"/>
              <w:bottom w:val="single" w:sz="12" w:space="0" w:color="auto"/>
              <w:right w:val="nil"/>
            </w:tcBorders>
            <w:shd w:val="clear" w:color="auto" w:fill="auto"/>
            <w:noWrap/>
            <w:vAlign w:val="center"/>
            <w:hideMark/>
          </w:tcPr>
          <w:p w14:paraId="5F8DA7A5" w14:textId="77777777" w:rsidR="003B23F9" w:rsidRPr="00102B16" w:rsidRDefault="003B23F9" w:rsidP="003A1248">
            <w:pPr>
              <w:pStyle w:val="Appendixtableheader"/>
              <w:rPr>
                <w:lang w:eastAsia="sv-SE"/>
              </w:rPr>
            </w:pPr>
            <w:r w:rsidRPr="00102B16">
              <w:rPr>
                <w:lang w:eastAsia="sv-SE"/>
              </w:rPr>
              <w:t>200-299</w:t>
            </w:r>
          </w:p>
        </w:tc>
        <w:tc>
          <w:tcPr>
            <w:tcW w:w="981" w:type="dxa"/>
            <w:tcBorders>
              <w:top w:val="double" w:sz="12" w:space="0" w:color="auto"/>
              <w:left w:val="nil"/>
              <w:bottom w:val="single" w:sz="12" w:space="0" w:color="auto"/>
              <w:right w:val="nil"/>
            </w:tcBorders>
            <w:shd w:val="clear" w:color="auto" w:fill="auto"/>
            <w:noWrap/>
            <w:vAlign w:val="center"/>
            <w:hideMark/>
          </w:tcPr>
          <w:p w14:paraId="58653EA1" w14:textId="77777777" w:rsidR="003B23F9" w:rsidRPr="00102B16" w:rsidRDefault="003B23F9" w:rsidP="003A1248">
            <w:pPr>
              <w:pStyle w:val="Appendixtableheader"/>
              <w:rPr>
                <w:lang w:eastAsia="sv-SE"/>
              </w:rPr>
            </w:pPr>
            <w:r w:rsidRPr="00102B16">
              <w:rPr>
                <w:lang w:eastAsia="sv-SE"/>
              </w:rPr>
              <w:t>300-399</w:t>
            </w:r>
          </w:p>
        </w:tc>
        <w:tc>
          <w:tcPr>
            <w:tcW w:w="981" w:type="dxa"/>
            <w:tcBorders>
              <w:top w:val="double" w:sz="12" w:space="0" w:color="auto"/>
              <w:left w:val="nil"/>
              <w:bottom w:val="single" w:sz="12" w:space="0" w:color="auto"/>
              <w:right w:val="nil"/>
            </w:tcBorders>
            <w:shd w:val="clear" w:color="auto" w:fill="auto"/>
            <w:noWrap/>
            <w:vAlign w:val="center"/>
            <w:hideMark/>
          </w:tcPr>
          <w:p w14:paraId="3F209096" w14:textId="77777777" w:rsidR="003B23F9" w:rsidRPr="00102B16" w:rsidRDefault="003B23F9" w:rsidP="003A1248">
            <w:pPr>
              <w:pStyle w:val="Appendixtableheader"/>
              <w:rPr>
                <w:lang w:eastAsia="sv-SE"/>
              </w:rPr>
            </w:pPr>
            <w:r w:rsidRPr="00102B16">
              <w:rPr>
                <w:lang w:eastAsia="sv-SE"/>
              </w:rPr>
              <w:t>400-599</w:t>
            </w:r>
          </w:p>
        </w:tc>
        <w:tc>
          <w:tcPr>
            <w:tcW w:w="981" w:type="dxa"/>
            <w:tcBorders>
              <w:top w:val="double" w:sz="12" w:space="0" w:color="auto"/>
              <w:left w:val="nil"/>
              <w:bottom w:val="single" w:sz="12" w:space="0" w:color="auto"/>
              <w:right w:val="nil"/>
            </w:tcBorders>
            <w:shd w:val="clear" w:color="auto" w:fill="auto"/>
            <w:noWrap/>
            <w:vAlign w:val="center"/>
            <w:hideMark/>
          </w:tcPr>
          <w:p w14:paraId="5F57AC1F" w14:textId="77777777" w:rsidR="003B23F9" w:rsidRPr="00102B16" w:rsidRDefault="003B23F9" w:rsidP="003A1248">
            <w:pPr>
              <w:pStyle w:val="Appendixtableheader"/>
              <w:rPr>
                <w:lang w:eastAsia="sv-SE"/>
              </w:rPr>
            </w:pPr>
            <w:r w:rsidRPr="00102B16">
              <w:rPr>
                <w:lang w:eastAsia="sv-SE"/>
              </w:rPr>
              <w:t>≥600</w:t>
            </w:r>
          </w:p>
        </w:tc>
      </w:tr>
      <w:tr w:rsidR="003B23F9" w:rsidRPr="00102B16" w14:paraId="19CEF2FE" w14:textId="77777777" w:rsidTr="00423D7C">
        <w:trPr>
          <w:trHeight w:val="391"/>
        </w:trPr>
        <w:tc>
          <w:tcPr>
            <w:tcW w:w="981" w:type="dxa"/>
            <w:tcBorders>
              <w:top w:val="single" w:sz="12" w:space="0" w:color="auto"/>
              <w:left w:val="nil"/>
              <w:bottom w:val="nil"/>
              <w:right w:val="nil"/>
            </w:tcBorders>
            <w:shd w:val="clear" w:color="auto" w:fill="auto"/>
            <w:noWrap/>
            <w:vAlign w:val="center"/>
            <w:hideMark/>
          </w:tcPr>
          <w:p w14:paraId="76FD593D" w14:textId="77777777" w:rsidR="003B23F9" w:rsidRPr="00102B16" w:rsidRDefault="003B23F9" w:rsidP="003A1248">
            <w:pPr>
              <w:pStyle w:val="Appendixtablecontent"/>
              <w:rPr>
                <w:lang w:eastAsia="sv-SE"/>
              </w:rPr>
            </w:pPr>
            <w:r w:rsidRPr="00102B16">
              <w:rPr>
                <w:lang w:eastAsia="sv-SE"/>
              </w:rPr>
              <w:t>1965</w:t>
            </w:r>
            <w:r w:rsidRPr="00102B16">
              <w:rPr>
                <w:vertAlign w:val="superscript"/>
                <w:lang w:eastAsia="sv-SE"/>
              </w:rPr>
              <w:t>a</w:t>
            </w:r>
          </w:p>
        </w:tc>
        <w:tc>
          <w:tcPr>
            <w:tcW w:w="981" w:type="dxa"/>
            <w:tcBorders>
              <w:top w:val="single" w:sz="12" w:space="0" w:color="auto"/>
              <w:left w:val="nil"/>
              <w:bottom w:val="nil"/>
              <w:right w:val="nil"/>
            </w:tcBorders>
            <w:shd w:val="clear" w:color="auto" w:fill="auto"/>
            <w:noWrap/>
            <w:vAlign w:val="center"/>
            <w:hideMark/>
          </w:tcPr>
          <w:p w14:paraId="70556E58" w14:textId="77777777" w:rsidR="003B23F9" w:rsidRPr="00102B16" w:rsidRDefault="003B23F9" w:rsidP="003A1248">
            <w:pPr>
              <w:pStyle w:val="Appendixtablecontent"/>
              <w:rPr>
                <w:lang w:eastAsia="sv-SE"/>
              </w:rPr>
            </w:pPr>
            <w:r w:rsidRPr="00102B16">
              <w:rPr>
                <w:lang w:eastAsia="sv-SE"/>
              </w:rPr>
              <w:t>26%</w:t>
            </w:r>
          </w:p>
        </w:tc>
        <w:tc>
          <w:tcPr>
            <w:tcW w:w="981" w:type="dxa"/>
            <w:tcBorders>
              <w:top w:val="single" w:sz="12" w:space="0" w:color="auto"/>
              <w:left w:val="nil"/>
              <w:bottom w:val="nil"/>
              <w:right w:val="nil"/>
            </w:tcBorders>
            <w:shd w:val="clear" w:color="auto" w:fill="auto"/>
            <w:noWrap/>
            <w:vAlign w:val="center"/>
            <w:hideMark/>
          </w:tcPr>
          <w:p w14:paraId="18772978" w14:textId="77777777" w:rsidR="003B23F9" w:rsidRPr="00102B16" w:rsidRDefault="003B23F9" w:rsidP="003A1248">
            <w:pPr>
              <w:pStyle w:val="Appendixtablecontent"/>
              <w:rPr>
                <w:lang w:eastAsia="sv-SE"/>
              </w:rPr>
            </w:pPr>
            <w:r w:rsidRPr="00102B16">
              <w:rPr>
                <w:lang w:eastAsia="sv-SE"/>
              </w:rPr>
              <w:t>30%</w:t>
            </w:r>
          </w:p>
        </w:tc>
        <w:tc>
          <w:tcPr>
            <w:tcW w:w="981" w:type="dxa"/>
            <w:tcBorders>
              <w:top w:val="single" w:sz="12" w:space="0" w:color="auto"/>
              <w:left w:val="nil"/>
              <w:bottom w:val="nil"/>
              <w:right w:val="nil"/>
            </w:tcBorders>
            <w:shd w:val="clear" w:color="auto" w:fill="auto"/>
            <w:noWrap/>
            <w:vAlign w:val="center"/>
            <w:hideMark/>
          </w:tcPr>
          <w:p w14:paraId="2E7EB20B" w14:textId="77777777" w:rsidR="003B23F9" w:rsidRPr="00102B16" w:rsidRDefault="003B23F9" w:rsidP="003A1248">
            <w:pPr>
              <w:pStyle w:val="Appendixtablecontent"/>
              <w:rPr>
                <w:lang w:eastAsia="sv-SE"/>
              </w:rPr>
            </w:pPr>
            <w:r w:rsidRPr="00102B16">
              <w:rPr>
                <w:lang w:eastAsia="sv-SE"/>
              </w:rPr>
              <w:t>18%</w:t>
            </w:r>
          </w:p>
        </w:tc>
        <w:tc>
          <w:tcPr>
            <w:tcW w:w="981" w:type="dxa"/>
            <w:tcBorders>
              <w:top w:val="single" w:sz="12" w:space="0" w:color="auto"/>
              <w:left w:val="nil"/>
              <w:bottom w:val="nil"/>
              <w:right w:val="nil"/>
            </w:tcBorders>
            <w:shd w:val="clear" w:color="auto" w:fill="auto"/>
            <w:noWrap/>
            <w:vAlign w:val="center"/>
            <w:hideMark/>
          </w:tcPr>
          <w:p w14:paraId="4D81147B" w14:textId="77777777" w:rsidR="003B23F9" w:rsidRPr="00102B16" w:rsidRDefault="003B23F9" w:rsidP="003A1248">
            <w:pPr>
              <w:pStyle w:val="Appendixtablecontent"/>
              <w:rPr>
                <w:lang w:eastAsia="sv-SE"/>
              </w:rPr>
            </w:pPr>
            <w:r w:rsidRPr="00102B16">
              <w:rPr>
                <w:lang w:eastAsia="sv-SE"/>
              </w:rPr>
              <w:t>10%</w:t>
            </w:r>
          </w:p>
        </w:tc>
        <w:tc>
          <w:tcPr>
            <w:tcW w:w="981" w:type="dxa"/>
            <w:tcBorders>
              <w:top w:val="single" w:sz="12" w:space="0" w:color="auto"/>
              <w:left w:val="nil"/>
              <w:bottom w:val="nil"/>
              <w:right w:val="nil"/>
            </w:tcBorders>
            <w:shd w:val="clear" w:color="auto" w:fill="auto"/>
            <w:noWrap/>
            <w:vAlign w:val="center"/>
            <w:hideMark/>
          </w:tcPr>
          <w:p w14:paraId="6BFB8D45" w14:textId="77777777" w:rsidR="003B23F9" w:rsidRPr="00102B16" w:rsidRDefault="003B23F9" w:rsidP="003A1248">
            <w:pPr>
              <w:pStyle w:val="Appendixtablecontent"/>
              <w:rPr>
                <w:lang w:eastAsia="sv-SE"/>
              </w:rPr>
            </w:pPr>
            <w:r w:rsidRPr="00102B16">
              <w:rPr>
                <w:lang w:eastAsia="sv-SE"/>
              </w:rPr>
              <w:t>9%</w:t>
            </w:r>
          </w:p>
        </w:tc>
        <w:tc>
          <w:tcPr>
            <w:tcW w:w="981" w:type="dxa"/>
            <w:tcBorders>
              <w:top w:val="single" w:sz="12" w:space="0" w:color="auto"/>
              <w:left w:val="nil"/>
              <w:bottom w:val="nil"/>
              <w:right w:val="nil"/>
            </w:tcBorders>
            <w:shd w:val="clear" w:color="auto" w:fill="auto"/>
            <w:noWrap/>
            <w:vAlign w:val="center"/>
            <w:hideMark/>
          </w:tcPr>
          <w:p w14:paraId="2C67810F" w14:textId="77777777" w:rsidR="003B23F9" w:rsidRPr="00102B16" w:rsidRDefault="003B23F9" w:rsidP="003A1248">
            <w:pPr>
              <w:pStyle w:val="Appendixtablecontent"/>
              <w:rPr>
                <w:lang w:eastAsia="sv-SE"/>
              </w:rPr>
            </w:pPr>
            <w:r w:rsidRPr="00102B16">
              <w:rPr>
                <w:lang w:eastAsia="sv-SE"/>
              </w:rPr>
              <w:t>7%</w:t>
            </w:r>
          </w:p>
        </w:tc>
      </w:tr>
      <w:tr w:rsidR="003B23F9" w:rsidRPr="00102B16" w14:paraId="3216A9CE" w14:textId="77777777" w:rsidTr="00423D7C">
        <w:trPr>
          <w:trHeight w:val="391"/>
        </w:trPr>
        <w:tc>
          <w:tcPr>
            <w:tcW w:w="981" w:type="dxa"/>
            <w:tcBorders>
              <w:top w:val="nil"/>
              <w:left w:val="nil"/>
              <w:bottom w:val="nil"/>
              <w:right w:val="nil"/>
            </w:tcBorders>
            <w:shd w:val="clear" w:color="auto" w:fill="auto"/>
            <w:noWrap/>
            <w:vAlign w:val="center"/>
            <w:hideMark/>
          </w:tcPr>
          <w:p w14:paraId="334CCC3F" w14:textId="77777777" w:rsidR="003B23F9" w:rsidRPr="00102B16" w:rsidRDefault="003B23F9" w:rsidP="003A1248">
            <w:pPr>
              <w:pStyle w:val="Appendixtablecontent"/>
              <w:rPr>
                <w:lang w:eastAsia="sv-SE"/>
              </w:rPr>
            </w:pPr>
            <w:r w:rsidRPr="00102B16">
              <w:rPr>
                <w:lang w:eastAsia="sv-SE"/>
              </w:rPr>
              <w:t>1985</w:t>
            </w:r>
            <w:r w:rsidRPr="00102B16">
              <w:rPr>
                <w:vertAlign w:val="superscript"/>
                <w:lang w:eastAsia="sv-SE"/>
              </w:rPr>
              <w:t>b</w:t>
            </w:r>
          </w:p>
        </w:tc>
        <w:tc>
          <w:tcPr>
            <w:tcW w:w="981" w:type="dxa"/>
            <w:tcBorders>
              <w:top w:val="nil"/>
              <w:left w:val="nil"/>
              <w:bottom w:val="nil"/>
              <w:right w:val="nil"/>
            </w:tcBorders>
            <w:shd w:val="clear" w:color="auto" w:fill="auto"/>
            <w:noWrap/>
            <w:vAlign w:val="center"/>
            <w:hideMark/>
          </w:tcPr>
          <w:p w14:paraId="24445BCA" w14:textId="77777777" w:rsidR="003B23F9" w:rsidRPr="00102B16" w:rsidRDefault="003B23F9" w:rsidP="003A1248">
            <w:pPr>
              <w:pStyle w:val="Appendixtablecontent"/>
              <w:rPr>
                <w:lang w:eastAsia="sv-SE"/>
              </w:rPr>
            </w:pPr>
            <w:r w:rsidRPr="00102B16">
              <w:rPr>
                <w:lang w:eastAsia="sv-SE"/>
              </w:rPr>
              <w:t>35%</w:t>
            </w:r>
          </w:p>
        </w:tc>
        <w:tc>
          <w:tcPr>
            <w:tcW w:w="981" w:type="dxa"/>
            <w:tcBorders>
              <w:top w:val="nil"/>
              <w:left w:val="nil"/>
              <w:bottom w:val="nil"/>
              <w:right w:val="nil"/>
            </w:tcBorders>
            <w:shd w:val="clear" w:color="auto" w:fill="auto"/>
            <w:noWrap/>
            <w:vAlign w:val="center"/>
            <w:hideMark/>
          </w:tcPr>
          <w:p w14:paraId="6D82121F" w14:textId="77777777" w:rsidR="003B23F9" w:rsidRPr="00102B16" w:rsidRDefault="003B23F9" w:rsidP="003A1248">
            <w:pPr>
              <w:pStyle w:val="Appendixtablecontent"/>
              <w:rPr>
                <w:lang w:eastAsia="sv-SE"/>
              </w:rPr>
            </w:pPr>
            <w:r w:rsidRPr="00102B16">
              <w:rPr>
                <w:lang w:eastAsia="sv-SE"/>
              </w:rPr>
              <w:t>24%</w:t>
            </w:r>
          </w:p>
        </w:tc>
        <w:tc>
          <w:tcPr>
            <w:tcW w:w="981" w:type="dxa"/>
            <w:tcBorders>
              <w:top w:val="nil"/>
              <w:left w:val="nil"/>
              <w:bottom w:val="nil"/>
              <w:right w:val="nil"/>
            </w:tcBorders>
            <w:shd w:val="clear" w:color="auto" w:fill="auto"/>
            <w:noWrap/>
            <w:vAlign w:val="center"/>
            <w:hideMark/>
          </w:tcPr>
          <w:p w14:paraId="31FE22E1" w14:textId="77777777" w:rsidR="003B23F9" w:rsidRPr="00102B16" w:rsidRDefault="003B23F9" w:rsidP="003A1248">
            <w:pPr>
              <w:pStyle w:val="Appendixtablecontent"/>
              <w:rPr>
                <w:lang w:eastAsia="sv-SE"/>
              </w:rPr>
            </w:pPr>
            <w:r w:rsidRPr="00102B16">
              <w:rPr>
                <w:lang w:eastAsia="sv-SE"/>
              </w:rPr>
              <w:t>18%</w:t>
            </w:r>
          </w:p>
        </w:tc>
        <w:tc>
          <w:tcPr>
            <w:tcW w:w="981" w:type="dxa"/>
            <w:tcBorders>
              <w:top w:val="nil"/>
              <w:left w:val="nil"/>
              <w:bottom w:val="nil"/>
              <w:right w:val="nil"/>
            </w:tcBorders>
            <w:shd w:val="clear" w:color="auto" w:fill="auto"/>
            <w:noWrap/>
            <w:vAlign w:val="center"/>
            <w:hideMark/>
          </w:tcPr>
          <w:p w14:paraId="7D8CCFB3" w14:textId="77777777" w:rsidR="003B23F9" w:rsidRPr="00102B16" w:rsidRDefault="003B23F9" w:rsidP="003A1248">
            <w:pPr>
              <w:pStyle w:val="Appendixtablecontent"/>
              <w:rPr>
                <w:lang w:eastAsia="sv-SE"/>
              </w:rPr>
            </w:pPr>
            <w:r w:rsidRPr="00102B16">
              <w:rPr>
                <w:lang w:eastAsia="sv-SE"/>
              </w:rPr>
              <w:t>10%</w:t>
            </w:r>
          </w:p>
        </w:tc>
        <w:tc>
          <w:tcPr>
            <w:tcW w:w="981" w:type="dxa"/>
            <w:tcBorders>
              <w:top w:val="nil"/>
              <w:left w:val="nil"/>
              <w:bottom w:val="nil"/>
              <w:right w:val="nil"/>
            </w:tcBorders>
            <w:shd w:val="clear" w:color="auto" w:fill="auto"/>
            <w:noWrap/>
            <w:vAlign w:val="center"/>
            <w:hideMark/>
          </w:tcPr>
          <w:p w14:paraId="1E090E8D" w14:textId="77777777" w:rsidR="003B23F9" w:rsidRPr="00102B16" w:rsidRDefault="003B23F9" w:rsidP="003A1248">
            <w:pPr>
              <w:pStyle w:val="Appendixtablecontent"/>
              <w:rPr>
                <w:lang w:eastAsia="sv-SE"/>
              </w:rPr>
            </w:pPr>
            <w:r w:rsidRPr="00102B16">
              <w:rPr>
                <w:lang w:eastAsia="sv-SE"/>
              </w:rPr>
              <w:t>9%</w:t>
            </w:r>
          </w:p>
        </w:tc>
        <w:tc>
          <w:tcPr>
            <w:tcW w:w="981" w:type="dxa"/>
            <w:tcBorders>
              <w:top w:val="nil"/>
              <w:left w:val="nil"/>
              <w:bottom w:val="nil"/>
              <w:right w:val="nil"/>
            </w:tcBorders>
            <w:shd w:val="clear" w:color="auto" w:fill="auto"/>
            <w:noWrap/>
            <w:vAlign w:val="center"/>
            <w:hideMark/>
          </w:tcPr>
          <w:p w14:paraId="5C7FE8E6" w14:textId="77777777" w:rsidR="003B23F9" w:rsidRPr="00102B16" w:rsidRDefault="003B23F9" w:rsidP="003A1248">
            <w:pPr>
              <w:pStyle w:val="Appendixtablecontent"/>
              <w:rPr>
                <w:lang w:eastAsia="sv-SE"/>
              </w:rPr>
            </w:pPr>
            <w:r w:rsidRPr="00102B16">
              <w:rPr>
                <w:lang w:eastAsia="sv-SE"/>
              </w:rPr>
              <w:t>4%</w:t>
            </w:r>
          </w:p>
        </w:tc>
      </w:tr>
      <w:tr w:rsidR="003B23F9" w:rsidRPr="00102B16" w14:paraId="6CDCAB12" w14:textId="77777777" w:rsidTr="00423D7C">
        <w:trPr>
          <w:trHeight w:val="391"/>
        </w:trPr>
        <w:tc>
          <w:tcPr>
            <w:tcW w:w="981" w:type="dxa"/>
            <w:tcBorders>
              <w:top w:val="nil"/>
              <w:left w:val="nil"/>
              <w:right w:val="nil"/>
            </w:tcBorders>
            <w:shd w:val="clear" w:color="auto" w:fill="auto"/>
            <w:noWrap/>
            <w:vAlign w:val="center"/>
            <w:hideMark/>
          </w:tcPr>
          <w:p w14:paraId="2A7D0D0B" w14:textId="77777777" w:rsidR="003B23F9" w:rsidRPr="00102B16" w:rsidRDefault="003B23F9" w:rsidP="003A1248">
            <w:pPr>
              <w:pStyle w:val="Appendixtablecontent"/>
              <w:rPr>
                <w:lang w:eastAsia="sv-SE"/>
              </w:rPr>
            </w:pPr>
            <w:r w:rsidRPr="00102B16">
              <w:rPr>
                <w:lang w:eastAsia="sv-SE"/>
              </w:rPr>
              <w:t>1995</w:t>
            </w:r>
            <w:r w:rsidRPr="00102B16">
              <w:rPr>
                <w:vertAlign w:val="superscript"/>
                <w:lang w:eastAsia="sv-SE"/>
              </w:rPr>
              <w:t>c</w:t>
            </w:r>
          </w:p>
        </w:tc>
        <w:tc>
          <w:tcPr>
            <w:tcW w:w="981" w:type="dxa"/>
            <w:tcBorders>
              <w:top w:val="nil"/>
              <w:left w:val="nil"/>
              <w:right w:val="nil"/>
            </w:tcBorders>
            <w:shd w:val="clear" w:color="auto" w:fill="auto"/>
            <w:noWrap/>
            <w:vAlign w:val="center"/>
            <w:hideMark/>
          </w:tcPr>
          <w:p w14:paraId="1A6A243C" w14:textId="77777777" w:rsidR="003B23F9" w:rsidRPr="00102B16" w:rsidRDefault="003B23F9" w:rsidP="003A1248">
            <w:pPr>
              <w:pStyle w:val="Appendixtablecontent"/>
              <w:rPr>
                <w:lang w:eastAsia="sv-SE"/>
              </w:rPr>
            </w:pPr>
            <w:r w:rsidRPr="00102B16">
              <w:rPr>
                <w:lang w:eastAsia="sv-SE"/>
              </w:rPr>
              <w:t>33%</w:t>
            </w:r>
          </w:p>
        </w:tc>
        <w:tc>
          <w:tcPr>
            <w:tcW w:w="981" w:type="dxa"/>
            <w:tcBorders>
              <w:top w:val="nil"/>
              <w:left w:val="nil"/>
              <w:right w:val="nil"/>
            </w:tcBorders>
            <w:shd w:val="clear" w:color="auto" w:fill="auto"/>
            <w:noWrap/>
            <w:vAlign w:val="center"/>
            <w:hideMark/>
          </w:tcPr>
          <w:p w14:paraId="74FCBEFA" w14:textId="77777777" w:rsidR="003B23F9" w:rsidRPr="00102B16" w:rsidRDefault="003B23F9" w:rsidP="003A1248">
            <w:pPr>
              <w:pStyle w:val="Appendixtablecontent"/>
              <w:rPr>
                <w:lang w:eastAsia="sv-SE"/>
              </w:rPr>
            </w:pPr>
            <w:r w:rsidRPr="00102B16">
              <w:rPr>
                <w:lang w:eastAsia="sv-SE"/>
              </w:rPr>
              <w:t>21%</w:t>
            </w:r>
          </w:p>
        </w:tc>
        <w:tc>
          <w:tcPr>
            <w:tcW w:w="981" w:type="dxa"/>
            <w:tcBorders>
              <w:top w:val="nil"/>
              <w:left w:val="nil"/>
              <w:right w:val="nil"/>
            </w:tcBorders>
            <w:shd w:val="clear" w:color="auto" w:fill="auto"/>
            <w:noWrap/>
            <w:vAlign w:val="center"/>
            <w:hideMark/>
          </w:tcPr>
          <w:p w14:paraId="1F376AF8" w14:textId="77777777" w:rsidR="003B23F9" w:rsidRPr="00102B16" w:rsidRDefault="003B23F9" w:rsidP="003A1248">
            <w:pPr>
              <w:pStyle w:val="Appendixtablecontent"/>
              <w:rPr>
                <w:lang w:eastAsia="sv-SE"/>
              </w:rPr>
            </w:pPr>
            <w:r w:rsidRPr="00102B16">
              <w:rPr>
                <w:lang w:eastAsia="sv-SE"/>
              </w:rPr>
              <w:t>15%</w:t>
            </w:r>
          </w:p>
        </w:tc>
        <w:tc>
          <w:tcPr>
            <w:tcW w:w="981" w:type="dxa"/>
            <w:tcBorders>
              <w:top w:val="nil"/>
              <w:left w:val="nil"/>
              <w:right w:val="nil"/>
            </w:tcBorders>
            <w:shd w:val="clear" w:color="auto" w:fill="auto"/>
            <w:noWrap/>
            <w:vAlign w:val="center"/>
            <w:hideMark/>
          </w:tcPr>
          <w:p w14:paraId="2C0F602C" w14:textId="77777777" w:rsidR="003B23F9" w:rsidRPr="00102B16" w:rsidRDefault="003B23F9" w:rsidP="003A1248">
            <w:pPr>
              <w:pStyle w:val="Appendixtablecontent"/>
              <w:rPr>
                <w:lang w:eastAsia="sv-SE"/>
              </w:rPr>
            </w:pPr>
            <w:r w:rsidRPr="00102B16">
              <w:rPr>
                <w:lang w:eastAsia="sv-SE"/>
              </w:rPr>
              <w:t>11%</w:t>
            </w:r>
          </w:p>
        </w:tc>
        <w:tc>
          <w:tcPr>
            <w:tcW w:w="981" w:type="dxa"/>
            <w:tcBorders>
              <w:top w:val="nil"/>
              <w:left w:val="nil"/>
              <w:right w:val="nil"/>
            </w:tcBorders>
            <w:shd w:val="clear" w:color="auto" w:fill="auto"/>
            <w:noWrap/>
            <w:vAlign w:val="center"/>
            <w:hideMark/>
          </w:tcPr>
          <w:p w14:paraId="64E934AD" w14:textId="77777777" w:rsidR="003B23F9" w:rsidRPr="00102B16" w:rsidRDefault="003B23F9" w:rsidP="003A1248">
            <w:pPr>
              <w:pStyle w:val="Appendixtablecontent"/>
              <w:rPr>
                <w:lang w:eastAsia="sv-SE"/>
              </w:rPr>
            </w:pPr>
            <w:r w:rsidRPr="00102B16">
              <w:rPr>
                <w:lang w:eastAsia="sv-SE"/>
              </w:rPr>
              <w:t>10%</w:t>
            </w:r>
          </w:p>
        </w:tc>
        <w:tc>
          <w:tcPr>
            <w:tcW w:w="981" w:type="dxa"/>
            <w:tcBorders>
              <w:top w:val="nil"/>
              <w:left w:val="nil"/>
              <w:right w:val="nil"/>
            </w:tcBorders>
            <w:shd w:val="clear" w:color="auto" w:fill="auto"/>
            <w:noWrap/>
            <w:vAlign w:val="center"/>
            <w:hideMark/>
          </w:tcPr>
          <w:p w14:paraId="6196AFA1" w14:textId="77777777" w:rsidR="003B23F9" w:rsidRPr="00102B16" w:rsidRDefault="003B23F9" w:rsidP="003A1248">
            <w:pPr>
              <w:pStyle w:val="Appendixtablecontent"/>
              <w:rPr>
                <w:lang w:eastAsia="sv-SE"/>
              </w:rPr>
            </w:pPr>
            <w:r w:rsidRPr="00102B16">
              <w:rPr>
                <w:lang w:eastAsia="sv-SE"/>
              </w:rPr>
              <w:t>10%</w:t>
            </w:r>
          </w:p>
        </w:tc>
      </w:tr>
      <w:tr w:rsidR="003B23F9" w:rsidRPr="00102B16" w14:paraId="0D57A426" w14:textId="77777777" w:rsidTr="00423D7C">
        <w:trPr>
          <w:trHeight w:val="391"/>
        </w:trPr>
        <w:tc>
          <w:tcPr>
            <w:tcW w:w="981" w:type="dxa"/>
            <w:tcBorders>
              <w:top w:val="nil"/>
              <w:left w:val="nil"/>
              <w:right w:val="nil"/>
            </w:tcBorders>
            <w:shd w:val="clear" w:color="auto" w:fill="auto"/>
            <w:noWrap/>
            <w:vAlign w:val="center"/>
            <w:hideMark/>
          </w:tcPr>
          <w:p w14:paraId="689BCDD8" w14:textId="77777777" w:rsidR="003B23F9" w:rsidRPr="00102B16" w:rsidRDefault="003B23F9" w:rsidP="003A1248">
            <w:pPr>
              <w:pStyle w:val="Appendixtablecontent"/>
              <w:rPr>
                <w:lang w:eastAsia="sv-SE"/>
              </w:rPr>
            </w:pPr>
            <w:r w:rsidRPr="00102B16">
              <w:rPr>
                <w:lang w:eastAsia="sv-SE"/>
              </w:rPr>
              <w:t>2005</w:t>
            </w:r>
            <w:r w:rsidRPr="00102B16">
              <w:rPr>
                <w:vertAlign w:val="superscript"/>
                <w:lang w:eastAsia="sv-SE"/>
              </w:rPr>
              <w:t>c</w:t>
            </w:r>
          </w:p>
        </w:tc>
        <w:tc>
          <w:tcPr>
            <w:tcW w:w="981" w:type="dxa"/>
            <w:tcBorders>
              <w:top w:val="nil"/>
              <w:left w:val="nil"/>
              <w:right w:val="nil"/>
            </w:tcBorders>
            <w:shd w:val="clear" w:color="auto" w:fill="auto"/>
            <w:noWrap/>
            <w:vAlign w:val="center"/>
            <w:hideMark/>
          </w:tcPr>
          <w:p w14:paraId="3C34BE7F" w14:textId="77777777" w:rsidR="003B23F9" w:rsidRPr="00102B16" w:rsidRDefault="003B23F9" w:rsidP="003A1248">
            <w:pPr>
              <w:pStyle w:val="Appendixtablecontent"/>
              <w:rPr>
                <w:lang w:eastAsia="sv-SE"/>
              </w:rPr>
            </w:pPr>
            <w:r w:rsidRPr="00102B16">
              <w:rPr>
                <w:lang w:eastAsia="sv-SE"/>
              </w:rPr>
              <w:t>37%</w:t>
            </w:r>
          </w:p>
        </w:tc>
        <w:tc>
          <w:tcPr>
            <w:tcW w:w="981" w:type="dxa"/>
            <w:tcBorders>
              <w:top w:val="nil"/>
              <w:left w:val="nil"/>
              <w:right w:val="nil"/>
            </w:tcBorders>
            <w:shd w:val="clear" w:color="auto" w:fill="auto"/>
            <w:noWrap/>
            <w:vAlign w:val="center"/>
            <w:hideMark/>
          </w:tcPr>
          <w:p w14:paraId="4E7CDE9C" w14:textId="77777777" w:rsidR="003B23F9" w:rsidRPr="00102B16" w:rsidRDefault="003B23F9" w:rsidP="003A1248">
            <w:pPr>
              <w:pStyle w:val="Appendixtablecontent"/>
              <w:rPr>
                <w:lang w:eastAsia="sv-SE"/>
              </w:rPr>
            </w:pPr>
            <w:r w:rsidRPr="00102B16">
              <w:rPr>
                <w:lang w:eastAsia="sv-SE"/>
              </w:rPr>
              <w:t>16%</w:t>
            </w:r>
          </w:p>
        </w:tc>
        <w:tc>
          <w:tcPr>
            <w:tcW w:w="981" w:type="dxa"/>
            <w:tcBorders>
              <w:top w:val="nil"/>
              <w:left w:val="nil"/>
              <w:right w:val="nil"/>
            </w:tcBorders>
            <w:shd w:val="clear" w:color="auto" w:fill="auto"/>
            <w:noWrap/>
            <w:vAlign w:val="center"/>
            <w:hideMark/>
          </w:tcPr>
          <w:p w14:paraId="2774E3A9" w14:textId="77777777" w:rsidR="003B23F9" w:rsidRPr="00102B16" w:rsidRDefault="003B23F9" w:rsidP="003A1248">
            <w:pPr>
              <w:pStyle w:val="Appendixtablecontent"/>
              <w:rPr>
                <w:lang w:eastAsia="sv-SE"/>
              </w:rPr>
            </w:pPr>
            <w:r w:rsidRPr="00102B16">
              <w:rPr>
                <w:lang w:eastAsia="sv-SE"/>
              </w:rPr>
              <w:t>15%</w:t>
            </w:r>
          </w:p>
        </w:tc>
        <w:tc>
          <w:tcPr>
            <w:tcW w:w="981" w:type="dxa"/>
            <w:tcBorders>
              <w:top w:val="nil"/>
              <w:left w:val="nil"/>
              <w:right w:val="nil"/>
            </w:tcBorders>
            <w:shd w:val="clear" w:color="auto" w:fill="auto"/>
            <w:noWrap/>
            <w:vAlign w:val="center"/>
            <w:hideMark/>
          </w:tcPr>
          <w:p w14:paraId="4A4E8DD4" w14:textId="77777777" w:rsidR="003B23F9" w:rsidRPr="00102B16" w:rsidRDefault="003B23F9" w:rsidP="003A1248">
            <w:pPr>
              <w:pStyle w:val="Appendixtablecontent"/>
              <w:rPr>
                <w:lang w:eastAsia="sv-SE"/>
              </w:rPr>
            </w:pPr>
            <w:r w:rsidRPr="00102B16">
              <w:rPr>
                <w:lang w:eastAsia="sv-SE"/>
              </w:rPr>
              <w:t>7%</w:t>
            </w:r>
          </w:p>
        </w:tc>
        <w:tc>
          <w:tcPr>
            <w:tcW w:w="981" w:type="dxa"/>
            <w:tcBorders>
              <w:top w:val="nil"/>
              <w:left w:val="nil"/>
              <w:right w:val="nil"/>
            </w:tcBorders>
            <w:shd w:val="clear" w:color="auto" w:fill="auto"/>
            <w:noWrap/>
            <w:vAlign w:val="center"/>
            <w:hideMark/>
          </w:tcPr>
          <w:p w14:paraId="42A3EA23" w14:textId="77777777" w:rsidR="003B23F9" w:rsidRPr="00102B16" w:rsidRDefault="003B23F9" w:rsidP="003A1248">
            <w:pPr>
              <w:pStyle w:val="Appendixtablecontent"/>
              <w:rPr>
                <w:lang w:eastAsia="sv-SE"/>
              </w:rPr>
            </w:pPr>
            <w:r w:rsidRPr="00102B16">
              <w:rPr>
                <w:lang w:eastAsia="sv-SE"/>
              </w:rPr>
              <w:t>12%</w:t>
            </w:r>
          </w:p>
        </w:tc>
        <w:tc>
          <w:tcPr>
            <w:tcW w:w="981" w:type="dxa"/>
            <w:tcBorders>
              <w:top w:val="nil"/>
              <w:left w:val="nil"/>
              <w:right w:val="nil"/>
            </w:tcBorders>
            <w:shd w:val="clear" w:color="auto" w:fill="auto"/>
            <w:noWrap/>
            <w:vAlign w:val="center"/>
            <w:hideMark/>
          </w:tcPr>
          <w:p w14:paraId="255A1EAD" w14:textId="77777777" w:rsidR="003B23F9" w:rsidRPr="00102B16" w:rsidRDefault="003B23F9" w:rsidP="003A1248">
            <w:pPr>
              <w:pStyle w:val="Appendixtablecontent"/>
              <w:rPr>
                <w:lang w:eastAsia="sv-SE"/>
              </w:rPr>
            </w:pPr>
            <w:r w:rsidRPr="00102B16">
              <w:rPr>
                <w:lang w:eastAsia="sv-SE"/>
              </w:rPr>
              <w:t>13%</w:t>
            </w:r>
          </w:p>
        </w:tc>
      </w:tr>
      <w:tr w:rsidR="003B23F9" w:rsidRPr="00102B16" w14:paraId="141ACD12" w14:textId="77777777" w:rsidTr="00423D7C">
        <w:trPr>
          <w:trHeight w:val="391"/>
        </w:trPr>
        <w:tc>
          <w:tcPr>
            <w:tcW w:w="981" w:type="dxa"/>
            <w:tcBorders>
              <w:left w:val="nil"/>
              <w:bottom w:val="double" w:sz="4" w:space="0" w:color="auto"/>
              <w:right w:val="nil"/>
            </w:tcBorders>
            <w:shd w:val="clear" w:color="auto" w:fill="auto"/>
            <w:noWrap/>
            <w:vAlign w:val="center"/>
            <w:hideMark/>
          </w:tcPr>
          <w:p w14:paraId="7640FC59" w14:textId="77777777" w:rsidR="003B23F9" w:rsidRPr="00102B16" w:rsidRDefault="003B23F9" w:rsidP="003A1248">
            <w:pPr>
              <w:pStyle w:val="Appendixtablecontent"/>
              <w:rPr>
                <w:lang w:eastAsia="sv-SE"/>
              </w:rPr>
            </w:pPr>
            <w:r w:rsidRPr="00102B16">
              <w:rPr>
                <w:lang w:eastAsia="sv-SE"/>
              </w:rPr>
              <w:t>2015</w:t>
            </w:r>
            <w:r w:rsidRPr="00102B16">
              <w:rPr>
                <w:vertAlign w:val="superscript"/>
                <w:lang w:eastAsia="sv-SE"/>
              </w:rPr>
              <w:t>c</w:t>
            </w:r>
          </w:p>
        </w:tc>
        <w:tc>
          <w:tcPr>
            <w:tcW w:w="981" w:type="dxa"/>
            <w:tcBorders>
              <w:left w:val="nil"/>
              <w:bottom w:val="double" w:sz="4" w:space="0" w:color="auto"/>
              <w:right w:val="nil"/>
            </w:tcBorders>
            <w:shd w:val="clear" w:color="auto" w:fill="auto"/>
            <w:noWrap/>
            <w:vAlign w:val="center"/>
            <w:hideMark/>
          </w:tcPr>
          <w:p w14:paraId="361DEB87" w14:textId="77777777" w:rsidR="003B23F9" w:rsidRPr="00102B16" w:rsidRDefault="003B23F9" w:rsidP="003A1248">
            <w:pPr>
              <w:pStyle w:val="Appendixtablecontent"/>
              <w:rPr>
                <w:lang w:eastAsia="sv-SE"/>
              </w:rPr>
            </w:pPr>
            <w:r w:rsidRPr="00102B16">
              <w:rPr>
                <w:lang w:eastAsia="sv-SE"/>
              </w:rPr>
              <w:t>42%</w:t>
            </w:r>
          </w:p>
        </w:tc>
        <w:tc>
          <w:tcPr>
            <w:tcW w:w="981" w:type="dxa"/>
            <w:tcBorders>
              <w:left w:val="nil"/>
              <w:bottom w:val="double" w:sz="4" w:space="0" w:color="auto"/>
              <w:right w:val="nil"/>
            </w:tcBorders>
            <w:shd w:val="clear" w:color="auto" w:fill="auto"/>
            <w:noWrap/>
            <w:vAlign w:val="center"/>
            <w:hideMark/>
          </w:tcPr>
          <w:p w14:paraId="34E16400" w14:textId="77777777" w:rsidR="003B23F9" w:rsidRPr="00102B16" w:rsidRDefault="003B23F9" w:rsidP="003A1248">
            <w:pPr>
              <w:pStyle w:val="Appendixtablecontent"/>
              <w:rPr>
                <w:lang w:eastAsia="sv-SE"/>
              </w:rPr>
            </w:pPr>
            <w:r w:rsidRPr="00102B16">
              <w:rPr>
                <w:lang w:eastAsia="sv-SE"/>
              </w:rPr>
              <w:t>16%</w:t>
            </w:r>
          </w:p>
        </w:tc>
        <w:tc>
          <w:tcPr>
            <w:tcW w:w="981" w:type="dxa"/>
            <w:tcBorders>
              <w:left w:val="nil"/>
              <w:bottom w:val="double" w:sz="4" w:space="0" w:color="auto"/>
              <w:right w:val="nil"/>
            </w:tcBorders>
            <w:shd w:val="clear" w:color="auto" w:fill="auto"/>
            <w:noWrap/>
            <w:vAlign w:val="center"/>
            <w:hideMark/>
          </w:tcPr>
          <w:p w14:paraId="45C61231" w14:textId="77777777" w:rsidR="003B23F9" w:rsidRPr="00102B16" w:rsidRDefault="003B23F9" w:rsidP="003A1248">
            <w:pPr>
              <w:pStyle w:val="Appendixtablecontent"/>
              <w:rPr>
                <w:lang w:eastAsia="sv-SE"/>
              </w:rPr>
            </w:pPr>
            <w:r w:rsidRPr="00102B16">
              <w:rPr>
                <w:lang w:eastAsia="sv-SE"/>
              </w:rPr>
              <w:t>12%</w:t>
            </w:r>
          </w:p>
        </w:tc>
        <w:tc>
          <w:tcPr>
            <w:tcW w:w="981" w:type="dxa"/>
            <w:tcBorders>
              <w:left w:val="nil"/>
              <w:bottom w:val="double" w:sz="4" w:space="0" w:color="auto"/>
              <w:right w:val="nil"/>
            </w:tcBorders>
            <w:shd w:val="clear" w:color="auto" w:fill="auto"/>
            <w:noWrap/>
            <w:vAlign w:val="center"/>
            <w:hideMark/>
          </w:tcPr>
          <w:p w14:paraId="5AB4B27F" w14:textId="77777777" w:rsidR="003B23F9" w:rsidRPr="00102B16" w:rsidRDefault="003B23F9" w:rsidP="003A1248">
            <w:pPr>
              <w:pStyle w:val="Appendixtablecontent"/>
              <w:rPr>
                <w:lang w:eastAsia="sv-SE"/>
              </w:rPr>
            </w:pPr>
            <w:r w:rsidRPr="00102B16">
              <w:rPr>
                <w:lang w:eastAsia="sv-SE"/>
              </w:rPr>
              <w:t>10%</w:t>
            </w:r>
          </w:p>
        </w:tc>
        <w:tc>
          <w:tcPr>
            <w:tcW w:w="981" w:type="dxa"/>
            <w:tcBorders>
              <w:left w:val="nil"/>
              <w:bottom w:val="double" w:sz="4" w:space="0" w:color="auto"/>
              <w:right w:val="nil"/>
            </w:tcBorders>
            <w:shd w:val="clear" w:color="auto" w:fill="auto"/>
            <w:noWrap/>
            <w:vAlign w:val="center"/>
            <w:hideMark/>
          </w:tcPr>
          <w:p w14:paraId="6130A407" w14:textId="77777777" w:rsidR="003B23F9" w:rsidRPr="00102B16" w:rsidRDefault="003B23F9" w:rsidP="003A1248">
            <w:pPr>
              <w:pStyle w:val="Appendixtablecontent"/>
              <w:rPr>
                <w:lang w:eastAsia="sv-SE"/>
              </w:rPr>
            </w:pPr>
            <w:r w:rsidRPr="00102B16">
              <w:rPr>
                <w:lang w:eastAsia="sv-SE"/>
              </w:rPr>
              <w:t>10%</w:t>
            </w:r>
          </w:p>
        </w:tc>
        <w:tc>
          <w:tcPr>
            <w:tcW w:w="981" w:type="dxa"/>
            <w:tcBorders>
              <w:left w:val="nil"/>
              <w:bottom w:val="double" w:sz="4" w:space="0" w:color="auto"/>
              <w:right w:val="nil"/>
            </w:tcBorders>
            <w:shd w:val="clear" w:color="auto" w:fill="auto"/>
            <w:noWrap/>
            <w:vAlign w:val="center"/>
            <w:hideMark/>
          </w:tcPr>
          <w:p w14:paraId="22117DFB" w14:textId="77777777" w:rsidR="003B23F9" w:rsidRPr="00102B16" w:rsidRDefault="003B23F9" w:rsidP="003A1248">
            <w:pPr>
              <w:pStyle w:val="Appendixtablecontent"/>
              <w:rPr>
                <w:lang w:eastAsia="sv-SE"/>
              </w:rPr>
            </w:pPr>
            <w:r w:rsidRPr="00102B16">
              <w:rPr>
                <w:lang w:eastAsia="sv-SE"/>
              </w:rPr>
              <w:t>11%</w:t>
            </w:r>
          </w:p>
        </w:tc>
      </w:tr>
    </w:tbl>
    <w:p w14:paraId="6339D892" w14:textId="77777777" w:rsidR="003B23F9" w:rsidRPr="004D3BA3" w:rsidRDefault="003B23F9" w:rsidP="003A1248">
      <w:pPr>
        <w:pStyle w:val="Appendixtablenote"/>
        <w:spacing w:line="240" w:lineRule="auto"/>
        <w:ind w:right="2120"/>
        <w:rPr>
          <w:lang w:val="en-US"/>
        </w:rPr>
      </w:pPr>
      <w:proofErr w:type="gramStart"/>
      <w:r w:rsidRPr="004D3BA3">
        <w:rPr>
          <w:vertAlign w:val="superscript"/>
          <w:lang w:val="en-US"/>
        </w:rPr>
        <w:t>a</w:t>
      </w:r>
      <w:proofErr w:type="gramEnd"/>
      <w:r w:rsidRPr="004D3BA3">
        <w:rPr>
          <w:vertAlign w:val="superscript"/>
          <w:lang w:val="en-US"/>
        </w:rPr>
        <w:t xml:space="preserve"> </w:t>
      </w:r>
      <w:r w:rsidRPr="004D3BA3">
        <w:rPr>
          <w:lang w:val="en-US"/>
        </w:rPr>
        <w:t xml:space="preserve">From </w:t>
      </w:r>
      <w:r>
        <w:rPr>
          <w:noProof/>
          <w:lang w:val="en-US"/>
        </w:rPr>
        <w:t>Kungliga utrikesdepartementet (1967)</w:t>
      </w:r>
      <w:r w:rsidRPr="004D3BA3">
        <w:rPr>
          <w:lang w:val="en-US"/>
        </w:rPr>
        <w:t>, p. 220-222</w:t>
      </w:r>
      <w:r w:rsidRPr="004D3BA3">
        <w:rPr>
          <w:rFonts w:eastAsia="Times New Roman"/>
          <w:color w:val="000000"/>
          <w:lang w:val="en-US"/>
        </w:rPr>
        <w:t xml:space="preserve"> (does not include </w:t>
      </w:r>
      <w:proofErr w:type="spellStart"/>
      <w:r w:rsidRPr="004D3BA3">
        <w:rPr>
          <w:rFonts w:eastAsia="Times New Roman"/>
          <w:color w:val="000000"/>
          <w:lang w:val="en-US"/>
        </w:rPr>
        <w:t>Jämtland</w:t>
      </w:r>
      <w:proofErr w:type="spellEnd"/>
      <w:r w:rsidRPr="004D3BA3">
        <w:rPr>
          <w:rFonts w:eastAsia="Times New Roman"/>
          <w:color w:val="000000"/>
          <w:lang w:val="en-US"/>
        </w:rPr>
        <w:t xml:space="preserve"> County except for </w:t>
      </w:r>
      <w:r>
        <w:rPr>
          <w:rFonts w:eastAsia="Times New Roman"/>
          <w:color w:val="000000"/>
          <w:lang w:val="en-US"/>
        </w:rPr>
        <w:t xml:space="preserve">the </w:t>
      </w:r>
      <w:proofErr w:type="spellStart"/>
      <w:r w:rsidRPr="004D3BA3">
        <w:rPr>
          <w:rFonts w:eastAsia="Times New Roman"/>
          <w:color w:val="000000"/>
          <w:lang w:val="en-US"/>
        </w:rPr>
        <w:t>Frostviken</w:t>
      </w:r>
      <w:proofErr w:type="spellEnd"/>
      <w:r w:rsidRPr="004D3BA3">
        <w:rPr>
          <w:rFonts w:eastAsia="Times New Roman"/>
          <w:color w:val="000000"/>
          <w:lang w:val="en-US"/>
        </w:rPr>
        <w:t xml:space="preserve"> </w:t>
      </w:r>
      <w:proofErr w:type="spellStart"/>
      <w:r w:rsidRPr="004D3BA3">
        <w:rPr>
          <w:rFonts w:eastAsia="Times New Roman"/>
          <w:color w:val="000000"/>
          <w:lang w:val="en-US"/>
        </w:rPr>
        <w:t>norra</w:t>
      </w:r>
      <w:proofErr w:type="spellEnd"/>
      <w:r w:rsidRPr="004D3BA3">
        <w:rPr>
          <w:rFonts w:eastAsia="Times New Roman"/>
          <w:color w:val="000000"/>
          <w:lang w:val="en-US"/>
        </w:rPr>
        <w:t>/</w:t>
      </w:r>
      <w:proofErr w:type="spellStart"/>
      <w:r w:rsidRPr="004D3BA3">
        <w:rPr>
          <w:rFonts w:eastAsia="Times New Roman"/>
          <w:color w:val="000000"/>
          <w:lang w:val="en-US"/>
        </w:rPr>
        <w:t>Voernese</w:t>
      </w:r>
      <w:proofErr w:type="spellEnd"/>
      <w:r>
        <w:rPr>
          <w:rFonts w:eastAsia="Times New Roman"/>
          <w:color w:val="000000"/>
          <w:lang w:val="en-US"/>
        </w:rPr>
        <w:t xml:space="preserve"> herding district</w:t>
      </w:r>
      <w:r w:rsidRPr="004D3BA3">
        <w:rPr>
          <w:rFonts w:eastAsia="Times New Roman"/>
          <w:color w:val="000000"/>
          <w:lang w:val="en-US"/>
        </w:rPr>
        <w:t>)</w:t>
      </w:r>
    </w:p>
    <w:p w14:paraId="3D36393F" w14:textId="77777777" w:rsidR="003B23F9" w:rsidRPr="005B45D1" w:rsidRDefault="003B23F9" w:rsidP="003A1248">
      <w:pPr>
        <w:pStyle w:val="Appendixtablenote"/>
        <w:spacing w:line="240" w:lineRule="auto"/>
        <w:ind w:right="2120"/>
        <w:rPr>
          <w:lang w:val="en-US"/>
        </w:rPr>
      </w:pPr>
      <w:proofErr w:type="gramStart"/>
      <w:r w:rsidRPr="005B45D1">
        <w:rPr>
          <w:vertAlign w:val="superscript"/>
          <w:lang w:val="en-US"/>
        </w:rPr>
        <w:t>b</w:t>
      </w:r>
      <w:proofErr w:type="gramEnd"/>
      <w:r w:rsidRPr="005B45D1">
        <w:rPr>
          <w:vertAlign w:val="superscript"/>
          <w:lang w:val="en-US"/>
        </w:rPr>
        <w:t xml:space="preserve"> </w:t>
      </w:r>
      <w:r w:rsidRPr="005B45D1">
        <w:rPr>
          <w:lang w:val="en-US"/>
        </w:rPr>
        <w:t xml:space="preserve">From </w:t>
      </w:r>
      <w:r w:rsidRPr="005B45D1">
        <w:rPr>
          <w:noProof/>
          <w:lang w:val="en-US"/>
        </w:rPr>
        <w:t>Lantbruksstyrelsen/Rennäringsenheten (1985), Table 11, p. 22</w:t>
      </w:r>
      <w:r w:rsidRPr="005B45D1">
        <w:rPr>
          <w:rFonts w:eastAsia="Times New Roman"/>
          <w:color w:val="000000"/>
          <w:lang w:val="en-US"/>
        </w:rPr>
        <w:t xml:space="preserve"> (</w:t>
      </w:r>
      <w:r w:rsidRPr="004D3BA3">
        <w:rPr>
          <w:rFonts w:eastAsia="Times New Roman"/>
          <w:color w:val="000000"/>
          <w:lang w:val="en-US"/>
        </w:rPr>
        <w:t>divided into herd size ≤100, 101-200, 201-300</w:t>
      </w:r>
      <w:r>
        <w:rPr>
          <w:rFonts w:eastAsia="Times New Roman"/>
          <w:color w:val="000000"/>
          <w:lang w:val="en-US"/>
        </w:rPr>
        <w:t>,</w:t>
      </w:r>
      <w:r w:rsidRPr="004D3BA3">
        <w:rPr>
          <w:rFonts w:eastAsia="Times New Roman"/>
          <w:color w:val="000000"/>
          <w:lang w:val="en-US"/>
        </w:rPr>
        <w:t xml:space="preserve"> etc</w:t>
      </w:r>
      <w:r w:rsidRPr="005B45D1">
        <w:rPr>
          <w:rFonts w:eastAsia="Times New Roman"/>
          <w:color w:val="000000"/>
          <w:lang w:val="en-US"/>
        </w:rPr>
        <w:t>.)</w:t>
      </w:r>
    </w:p>
    <w:p w14:paraId="643F086A" w14:textId="77777777" w:rsidR="003B23F9" w:rsidRPr="00102B16" w:rsidRDefault="003B23F9" w:rsidP="003A1248">
      <w:pPr>
        <w:pStyle w:val="Appendixtablenote"/>
        <w:spacing w:line="240" w:lineRule="auto"/>
        <w:ind w:right="2120"/>
        <w:rPr>
          <w:rFonts w:eastAsia="Times New Roman"/>
          <w:color w:val="000000"/>
          <w:lang w:val="en-US"/>
        </w:rPr>
      </w:pPr>
      <w:proofErr w:type="gramStart"/>
      <w:r w:rsidRPr="00102B16">
        <w:rPr>
          <w:vertAlign w:val="superscript"/>
          <w:lang w:val="en-US"/>
        </w:rPr>
        <w:t>c</w:t>
      </w:r>
      <w:proofErr w:type="gramEnd"/>
      <w:r>
        <w:rPr>
          <w:vertAlign w:val="superscript"/>
          <w:lang w:val="en-US"/>
        </w:rPr>
        <w:t xml:space="preserve"> </w:t>
      </w:r>
      <w:r w:rsidRPr="00102B16">
        <w:rPr>
          <w:lang w:val="en-US"/>
        </w:rPr>
        <w:t>Calculated from original data from the Swedish Sami Parliament</w:t>
      </w:r>
      <w:r w:rsidRPr="00102B16">
        <w:rPr>
          <w:rFonts w:eastAsia="Times New Roman"/>
          <w:color w:val="000000"/>
          <w:lang w:val="en-US"/>
        </w:rPr>
        <w:t xml:space="preserve"> (obtained in January 2016)</w:t>
      </w:r>
    </w:p>
    <w:p w14:paraId="6132C53D" w14:textId="77777777" w:rsidR="003B23F9" w:rsidRDefault="003B23F9" w:rsidP="00705181">
      <w:pPr>
        <w:pStyle w:val="Appendixsubtitle1"/>
        <w:spacing w:after="0"/>
        <w:rPr>
          <w:sz w:val="22"/>
          <w:szCs w:val="22"/>
        </w:rPr>
      </w:pPr>
    </w:p>
    <w:p w14:paraId="73C5A33A" w14:textId="77777777" w:rsidR="00705181" w:rsidRPr="003B23F9" w:rsidRDefault="00705181" w:rsidP="00705181">
      <w:pPr>
        <w:pStyle w:val="Appendixsubtitle1"/>
        <w:spacing w:after="0"/>
        <w:rPr>
          <w:sz w:val="22"/>
          <w:szCs w:val="22"/>
        </w:rPr>
      </w:pPr>
    </w:p>
    <w:p w14:paraId="0013E1C2" w14:textId="77777777" w:rsidR="003B23F9" w:rsidRPr="008F0C88" w:rsidRDefault="00EE40E2" w:rsidP="00705181">
      <w:pPr>
        <w:pStyle w:val="Appendixsubtitle1"/>
        <w:spacing w:after="0"/>
        <w:rPr>
          <w:lang w:val="sv-SE"/>
        </w:rPr>
      </w:pPr>
      <w:r w:rsidRPr="008F0C88">
        <w:rPr>
          <w:lang w:val="sv-SE"/>
        </w:rPr>
        <w:t>Refer</w:t>
      </w:r>
      <w:r w:rsidR="00985C9B" w:rsidRPr="008F0C88">
        <w:rPr>
          <w:lang w:val="sv-SE"/>
        </w:rPr>
        <w:t>e</w:t>
      </w:r>
      <w:r w:rsidRPr="008F0C88">
        <w:rPr>
          <w:lang w:val="sv-SE"/>
        </w:rPr>
        <w:t>nces</w:t>
      </w:r>
    </w:p>
    <w:p w14:paraId="15C8825B" w14:textId="77777777" w:rsidR="003B23F9" w:rsidRPr="0031038A" w:rsidRDefault="00EE40E2" w:rsidP="00705181">
      <w:pPr>
        <w:pStyle w:val="EndNoteBibliography"/>
        <w:spacing w:line="240" w:lineRule="auto"/>
        <w:ind w:left="720" w:hanging="720"/>
        <w:rPr>
          <w:noProof/>
          <w:sz w:val="22"/>
          <w:szCs w:val="22"/>
          <w:lang w:val="sv-SE"/>
        </w:rPr>
      </w:pPr>
      <w:r w:rsidRPr="00EE40E2">
        <w:rPr>
          <w:noProof/>
          <w:sz w:val="22"/>
          <w:szCs w:val="22"/>
          <w:lang w:val="sv-SE"/>
        </w:rPr>
        <w:t>Kungliga utrikesdepartementet. 1967. Betänkande avgivet av Svensk-Norska renbeteskommissionen av 1964. Stockholm, Sweden: Kungl. Boktryckeriet P. A. Nordstedt &amp; Söner.</w:t>
      </w:r>
    </w:p>
    <w:p w14:paraId="483D9D59" w14:textId="77777777" w:rsidR="003B23F9" w:rsidRDefault="005641A4" w:rsidP="00705181">
      <w:pPr>
        <w:pStyle w:val="EndNoteBibliography"/>
        <w:spacing w:line="240" w:lineRule="auto"/>
        <w:ind w:left="720" w:hanging="720"/>
        <w:rPr>
          <w:noProof/>
          <w:sz w:val="22"/>
          <w:szCs w:val="22"/>
          <w:lang w:val="sv-SE"/>
        </w:rPr>
      </w:pPr>
      <w:r w:rsidRPr="00FF15AB">
        <w:rPr>
          <w:noProof/>
          <w:sz w:val="22"/>
          <w:szCs w:val="22"/>
          <w:lang w:val="sv-SE"/>
        </w:rPr>
        <w:t>Swedish Agricultural Agency</w:t>
      </w:r>
      <w:r w:rsidRPr="0031038A">
        <w:rPr>
          <w:noProof/>
          <w:sz w:val="22"/>
          <w:szCs w:val="22"/>
          <w:lang w:val="sv-SE"/>
        </w:rPr>
        <w:t xml:space="preserve"> </w:t>
      </w:r>
      <w:r>
        <w:rPr>
          <w:noProof/>
          <w:sz w:val="22"/>
          <w:szCs w:val="22"/>
          <w:lang w:val="sv-SE"/>
        </w:rPr>
        <w:t>(</w:t>
      </w:r>
      <w:r w:rsidRPr="0031038A">
        <w:rPr>
          <w:noProof/>
          <w:sz w:val="22"/>
          <w:szCs w:val="22"/>
          <w:lang w:val="sv-SE"/>
        </w:rPr>
        <w:t>Lantbruksstyrelsen/Rennäringsenheten</w:t>
      </w:r>
      <w:r w:rsidRPr="00FF15AB">
        <w:rPr>
          <w:noProof/>
          <w:sz w:val="22"/>
          <w:szCs w:val="22"/>
          <w:lang w:val="sv-SE"/>
        </w:rPr>
        <w:t>)</w:t>
      </w:r>
      <w:r w:rsidR="003B23F9" w:rsidRPr="00FF15AB">
        <w:rPr>
          <w:noProof/>
          <w:sz w:val="22"/>
          <w:szCs w:val="22"/>
          <w:lang w:val="sv-SE"/>
        </w:rPr>
        <w:t xml:space="preserve">. </w:t>
      </w:r>
      <w:r w:rsidR="003B23F9" w:rsidRPr="005641A4">
        <w:rPr>
          <w:noProof/>
          <w:sz w:val="22"/>
          <w:szCs w:val="22"/>
          <w:lang w:val="sv-SE"/>
        </w:rPr>
        <w:t xml:space="preserve">1985. </w:t>
      </w:r>
      <w:r w:rsidR="003B23F9" w:rsidRPr="0031038A">
        <w:rPr>
          <w:noProof/>
          <w:sz w:val="22"/>
          <w:szCs w:val="22"/>
          <w:lang w:val="sv-SE"/>
        </w:rPr>
        <w:t xml:space="preserve">Rennäringen - siffror och diagram. </w:t>
      </w:r>
      <w:r w:rsidR="00EE40E2" w:rsidRPr="0031038A">
        <w:rPr>
          <w:noProof/>
          <w:sz w:val="22"/>
          <w:szCs w:val="22"/>
          <w:lang w:val="sv-SE"/>
        </w:rPr>
        <w:t>Stockholm</w:t>
      </w:r>
      <w:r w:rsidR="00EE40E2">
        <w:rPr>
          <w:noProof/>
          <w:sz w:val="22"/>
          <w:szCs w:val="22"/>
          <w:lang w:val="sv-SE"/>
        </w:rPr>
        <w:t xml:space="preserve">, Sweden: </w:t>
      </w:r>
      <w:r w:rsidR="003B23F9" w:rsidRPr="0031038A">
        <w:rPr>
          <w:noProof/>
          <w:sz w:val="22"/>
          <w:szCs w:val="22"/>
          <w:lang w:val="sv-SE"/>
        </w:rPr>
        <w:t>Lantbruksstyrelsen Meddelanden</w:t>
      </w:r>
      <w:r>
        <w:rPr>
          <w:noProof/>
          <w:sz w:val="22"/>
          <w:szCs w:val="22"/>
          <w:lang w:val="sv-SE"/>
        </w:rPr>
        <w:t xml:space="preserve"> 1985:2</w:t>
      </w:r>
      <w:r w:rsidR="003B23F9" w:rsidRPr="0031038A">
        <w:rPr>
          <w:noProof/>
          <w:sz w:val="22"/>
          <w:szCs w:val="22"/>
          <w:lang w:val="sv-SE"/>
        </w:rPr>
        <w:t>.</w:t>
      </w:r>
    </w:p>
    <w:p w14:paraId="7ECA40FB" w14:textId="77777777" w:rsidR="00364837" w:rsidRPr="00FF15AB" w:rsidRDefault="005641A4" w:rsidP="00705181">
      <w:pPr>
        <w:pStyle w:val="EndNoteBibliography"/>
        <w:spacing w:line="240" w:lineRule="auto"/>
        <w:ind w:left="720" w:hanging="720"/>
        <w:rPr>
          <w:noProof/>
          <w:sz w:val="22"/>
          <w:szCs w:val="22"/>
        </w:rPr>
      </w:pPr>
      <w:r w:rsidRPr="00FF15AB">
        <w:rPr>
          <w:noProof/>
          <w:sz w:val="22"/>
          <w:szCs w:val="22"/>
          <w:lang w:val="sv-SE"/>
        </w:rPr>
        <w:t>Swedish Agricultural Agency</w:t>
      </w:r>
      <w:r w:rsidRPr="0031038A">
        <w:rPr>
          <w:noProof/>
          <w:sz w:val="22"/>
          <w:szCs w:val="22"/>
          <w:lang w:val="sv-SE"/>
        </w:rPr>
        <w:t xml:space="preserve"> </w:t>
      </w:r>
      <w:r>
        <w:rPr>
          <w:noProof/>
          <w:sz w:val="22"/>
          <w:szCs w:val="22"/>
          <w:lang w:val="sv-SE"/>
        </w:rPr>
        <w:t>(</w:t>
      </w:r>
      <w:r w:rsidR="00364837" w:rsidRPr="0031038A">
        <w:rPr>
          <w:noProof/>
          <w:sz w:val="22"/>
          <w:szCs w:val="22"/>
          <w:lang w:val="sv-SE"/>
        </w:rPr>
        <w:t>Lantbruksstyrelsen/Rennäringsenheten</w:t>
      </w:r>
      <w:r w:rsidR="00FF15AB" w:rsidRPr="00FF15AB">
        <w:rPr>
          <w:noProof/>
          <w:sz w:val="22"/>
          <w:szCs w:val="22"/>
          <w:lang w:val="sv-SE"/>
        </w:rPr>
        <w:t>)</w:t>
      </w:r>
      <w:r w:rsidR="00FF15AB">
        <w:rPr>
          <w:noProof/>
          <w:sz w:val="22"/>
          <w:szCs w:val="22"/>
          <w:lang w:val="sv-SE"/>
        </w:rPr>
        <w:t xml:space="preserve">. </w:t>
      </w:r>
      <w:r w:rsidR="00FF15AB" w:rsidRPr="00FF15AB">
        <w:rPr>
          <w:noProof/>
          <w:sz w:val="22"/>
          <w:szCs w:val="22"/>
        </w:rPr>
        <w:t>1967-1991</w:t>
      </w:r>
      <w:r w:rsidR="00364837" w:rsidRPr="00FF15AB">
        <w:rPr>
          <w:noProof/>
          <w:sz w:val="22"/>
          <w:szCs w:val="22"/>
        </w:rPr>
        <w:t xml:space="preserve">. </w:t>
      </w:r>
      <w:proofErr w:type="spellStart"/>
      <w:r w:rsidR="00364837" w:rsidRPr="00FF15AB">
        <w:rPr>
          <w:sz w:val="22"/>
        </w:rPr>
        <w:t>Rennäringsnytt</w:t>
      </w:r>
      <w:proofErr w:type="spellEnd"/>
      <w:r w:rsidR="00FF15AB">
        <w:rPr>
          <w:sz w:val="22"/>
        </w:rPr>
        <w:t xml:space="preserve"> </w:t>
      </w:r>
      <w:r w:rsidR="00364837" w:rsidRPr="00FF15AB">
        <w:rPr>
          <w:sz w:val="22"/>
        </w:rPr>
        <w:t>(Reindeer Husbandry News),</w:t>
      </w:r>
      <w:r w:rsidR="00FF15AB" w:rsidRPr="00FF15AB">
        <w:rPr>
          <w:sz w:val="22"/>
        </w:rPr>
        <w:t xml:space="preserve"> </w:t>
      </w:r>
      <w:r w:rsidR="00FF15AB">
        <w:rPr>
          <w:sz w:val="22"/>
        </w:rPr>
        <w:t xml:space="preserve">periodical issued </w:t>
      </w:r>
      <w:proofErr w:type="gramStart"/>
      <w:r w:rsidR="00FF15AB">
        <w:rPr>
          <w:sz w:val="22"/>
        </w:rPr>
        <w:t>every or</w:t>
      </w:r>
      <w:proofErr w:type="gramEnd"/>
      <w:r w:rsidR="00FF15AB">
        <w:rPr>
          <w:sz w:val="22"/>
        </w:rPr>
        <w:t xml:space="preserve"> every second month.</w:t>
      </w:r>
    </w:p>
    <w:p w14:paraId="302BC928" w14:textId="77777777" w:rsidR="00A86AA1" w:rsidRDefault="00A86AA1" w:rsidP="00705181">
      <w:pPr>
        <w:pStyle w:val="EndNoteBibliography"/>
        <w:spacing w:line="240" w:lineRule="auto"/>
        <w:ind w:left="720" w:hanging="720"/>
        <w:rPr>
          <w:noProof/>
          <w:sz w:val="22"/>
          <w:szCs w:val="22"/>
        </w:rPr>
      </w:pPr>
      <w:r w:rsidRPr="00A86AA1">
        <w:rPr>
          <w:noProof/>
          <w:sz w:val="22"/>
          <w:szCs w:val="22"/>
        </w:rPr>
        <w:t>Sami Parliament in Sweden</w:t>
      </w:r>
      <w:r>
        <w:rPr>
          <w:noProof/>
          <w:sz w:val="22"/>
          <w:szCs w:val="22"/>
        </w:rPr>
        <w:t xml:space="preserve">, original data </w:t>
      </w:r>
      <w:r w:rsidR="002F55FD">
        <w:rPr>
          <w:noProof/>
          <w:sz w:val="22"/>
          <w:szCs w:val="22"/>
        </w:rPr>
        <w:t xml:space="preserve">of reindeer numbers and reindeer slaughter, </w:t>
      </w:r>
      <w:r>
        <w:rPr>
          <w:noProof/>
          <w:sz w:val="22"/>
          <w:szCs w:val="22"/>
        </w:rPr>
        <w:t>obtained</w:t>
      </w:r>
      <w:r w:rsidRPr="00A86AA1">
        <w:rPr>
          <w:noProof/>
          <w:sz w:val="22"/>
          <w:szCs w:val="22"/>
        </w:rPr>
        <w:t xml:space="preserve"> in January 2016 </w:t>
      </w:r>
      <w:r>
        <w:rPr>
          <w:noProof/>
          <w:sz w:val="22"/>
          <w:szCs w:val="22"/>
        </w:rPr>
        <w:t xml:space="preserve">(summaries of the used statistics are available at </w:t>
      </w:r>
      <w:hyperlink r:id="rId12" w:history="1">
        <w:r w:rsidRPr="00782BA3">
          <w:rPr>
            <w:rStyle w:val="Hyperlink"/>
            <w:noProof/>
            <w:sz w:val="22"/>
            <w:szCs w:val="22"/>
          </w:rPr>
          <w:t>https://www.sametinget.se/renstatistik</w:t>
        </w:r>
      </w:hyperlink>
      <w:r w:rsidR="008902C5">
        <w:rPr>
          <w:noProof/>
          <w:sz w:val="22"/>
          <w:szCs w:val="22"/>
        </w:rPr>
        <w:t>)</w:t>
      </w:r>
    </w:p>
    <w:p w14:paraId="1AD0D3A2" w14:textId="77777777" w:rsidR="003B23F9" w:rsidRDefault="00EE40E2" w:rsidP="00705181">
      <w:pPr>
        <w:pStyle w:val="EndNoteBibliography"/>
        <w:spacing w:line="240" w:lineRule="auto"/>
        <w:ind w:left="720" w:hanging="720"/>
        <w:rPr>
          <w:noProof/>
          <w:sz w:val="22"/>
          <w:szCs w:val="22"/>
          <w:lang w:val="sv-SE"/>
        </w:rPr>
      </w:pPr>
      <w:r w:rsidRPr="00152D40">
        <w:rPr>
          <w:sz w:val="22"/>
          <w:lang w:val="sv-SE"/>
        </w:rPr>
        <w:t>Statistics Sweden. 1999. Svensk rennäring. Halmstad, Sweden: Svenska Samernas Riksförbund, Jordbruksverket, Sveriges lantbruksuniversitet, Statistiska centralbyrån</w:t>
      </w:r>
      <w:r>
        <w:rPr>
          <w:sz w:val="22"/>
          <w:lang w:val="sv-SE"/>
        </w:rPr>
        <w:t>.</w:t>
      </w:r>
    </w:p>
    <w:p w14:paraId="5853A7FF" w14:textId="77777777" w:rsidR="00364837" w:rsidRPr="00364837" w:rsidRDefault="00364837" w:rsidP="00705181">
      <w:pPr>
        <w:pStyle w:val="EndNoteBibliography"/>
        <w:spacing w:line="240" w:lineRule="auto"/>
        <w:ind w:left="720" w:hanging="720"/>
        <w:rPr>
          <w:noProof/>
          <w:sz w:val="22"/>
          <w:szCs w:val="22"/>
        </w:rPr>
      </w:pPr>
      <w:r w:rsidRPr="00364837">
        <w:rPr>
          <w:sz w:val="22"/>
          <w:szCs w:val="22"/>
        </w:rPr>
        <w:t xml:space="preserve">Statistics Sweden </w:t>
      </w:r>
      <w:r>
        <w:rPr>
          <w:sz w:val="22"/>
          <w:szCs w:val="22"/>
        </w:rPr>
        <w:t>19</w:t>
      </w:r>
      <w:r w:rsidRPr="00364837">
        <w:rPr>
          <w:sz w:val="22"/>
          <w:szCs w:val="22"/>
        </w:rPr>
        <w:t xml:space="preserve">77-2015. </w:t>
      </w:r>
      <w:proofErr w:type="spellStart"/>
      <w:proofErr w:type="gramStart"/>
      <w:r w:rsidRPr="00364837">
        <w:rPr>
          <w:sz w:val="22"/>
          <w:szCs w:val="22"/>
        </w:rPr>
        <w:t>Jordbruksstatistisk</w:t>
      </w:r>
      <w:proofErr w:type="spellEnd"/>
      <w:r w:rsidRPr="00364837">
        <w:rPr>
          <w:sz w:val="22"/>
          <w:szCs w:val="22"/>
        </w:rPr>
        <w:t xml:space="preserve"> </w:t>
      </w:r>
      <w:proofErr w:type="spellStart"/>
      <w:r w:rsidRPr="00364837">
        <w:rPr>
          <w:sz w:val="22"/>
          <w:szCs w:val="22"/>
        </w:rPr>
        <w:t>årsbok</w:t>
      </w:r>
      <w:proofErr w:type="spellEnd"/>
      <w:r>
        <w:rPr>
          <w:sz w:val="22"/>
          <w:szCs w:val="22"/>
        </w:rPr>
        <w:t xml:space="preserve"> (</w:t>
      </w:r>
      <w:r w:rsidRPr="00364837">
        <w:rPr>
          <w:sz w:val="22"/>
          <w:szCs w:val="22"/>
        </w:rPr>
        <w:t>Yearbook of Agricultural Statistics) 1977-2015.</w:t>
      </w:r>
      <w:proofErr w:type="gramEnd"/>
      <w:r w:rsidRPr="00364837">
        <w:rPr>
          <w:sz w:val="22"/>
          <w:szCs w:val="22"/>
        </w:rPr>
        <w:t xml:space="preserve"> </w:t>
      </w:r>
      <w:proofErr w:type="gramStart"/>
      <w:r>
        <w:rPr>
          <w:sz w:val="22"/>
          <w:szCs w:val="22"/>
        </w:rPr>
        <w:t>Annual publication from Statistics Sweden, Stockholm, Örebro.</w:t>
      </w:r>
      <w:proofErr w:type="gramEnd"/>
      <w:r w:rsidR="002D7963">
        <w:rPr>
          <w:sz w:val="22"/>
          <w:szCs w:val="22"/>
        </w:rPr>
        <w:t xml:space="preserve"> A</w:t>
      </w:r>
      <w:r w:rsidR="002D7963" w:rsidRPr="002D7963">
        <w:rPr>
          <w:sz w:val="22"/>
          <w:szCs w:val="22"/>
        </w:rPr>
        <w:t xml:space="preserve">vailable at </w:t>
      </w:r>
      <w:hyperlink r:id="rId13" w:history="1">
        <w:r w:rsidR="002D7963" w:rsidRPr="002D7963">
          <w:rPr>
            <w:rStyle w:val="Hyperlink"/>
            <w:sz w:val="22"/>
            <w:szCs w:val="22"/>
          </w:rPr>
          <w:t>www.jordbruksverket.se</w:t>
        </w:r>
      </w:hyperlink>
    </w:p>
    <w:p w14:paraId="1C60B9AE" w14:textId="77777777" w:rsidR="0037319C" w:rsidRDefault="0037319C" w:rsidP="00705181">
      <w:pPr>
        <w:pStyle w:val="EndNoteBibliography"/>
        <w:spacing w:line="240" w:lineRule="auto"/>
        <w:ind w:left="720" w:hanging="720"/>
        <w:rPr>
          <w:noProof/>
          <w:sz w:val="22"/>
          <w:szCs w:val="22"/>
        </w:rPr>
      </w:pPr>
      <w:r w:rsidRPr="0037319C">
        <w:rPr>
          <w:noProof/>
          <w:sz w:val="22"/>
          <w:szCs w:val="22"/>
        </w:rPr>
        <w:t>Swedish Meteorological and Hydrological Institute website (</w:t>
      </w:r>
      <w:hyperlink r:id="rId14" w:history="1">
        <w:r w:rsidRPr="0037319C">
          <w:rPr>
            <w:rStyle w:val="Hyperlink"/>
            <w:noProof/>
            <w:sz w:val="22"/>
            <w:szCs w:val="22"/>
          </w:rPr>
          <w:t>http://www.smhi.se/kunskapsbanken/meteorologi/nollgenomgangar-1.22895</w:t>
        </w:r>
      </w:hyperlink>
      <w:r w:rsidRPr="0037319C">
        <w:rPr>
          <w:noProof/>
          <w:sz w:val="22"/>
          <w:szCs w:val="22"/>
        </w:rPr>
        <w:t>; accessed on May 9, 2016)</w:t>
      </w:r>
    </w:p>
    <w:p w14:paraId="45C00C19" w14:textId="77777777" w:rsidR="00A86AA1" w:rsidRDefault="00A86AA1" w:rsidP="0037319C">
      <w:pPr>
        <w:pStyle w:val="EndNoteBibliography"/>
        <w:ind w:left="720" w:hanging="720"/>
        <w:rPr>
          <w:noProof/>
          <w:sz w:val="22"/>
          <w:szCs w:val="22"/>
        </w:rPr>
      </w:pPr>
    </w:p>
    <w:p w14:paraId="739CE449" w14:textId="77777777" w:rsidR="005A1BA3" w:rsidRDefault="005A1BA3" w:rsidP="0037319C">
      <w:pPr>
        <w:pStyle w:val="EndNoteBibliography"/>
        <w:ind w:left="720" w:hanging="720"/>
        <w:rPr>
          <w:noProof/>
          <w:sz w:val="22"/>
          <w:szCs w:val="22"/>
        </w:rPr>
      </w:pPr>
    </w:p>
    <w:p w14:paraId="64EEB01D" w14:textId="77777777" w:rsidR="003937F8" w:rsidRPr="00102B16" w:rsidRDefault="003937F8" w:rsidP="005A1BA3">
      <w:pPr>
        <w:pStyle w:val="Appendixsubtitle1"/>
        <w:spacing w:after="0"/>
      </w:pPr>
      <w:r>
        <w:t>Notes</w:t>
      </w:r>
    </w:p>
    <w:p w14:paraId="33E74272" w14:textId="77777777" w:rsidR="003937F8" w:rsidRPr="003937F8" w:rsidRDefault="003937F8" w:rsidP="005A1BA3">
      <w:pPr>
        <w:pStyle w:val="Appendixtext"/>
        <w:ind w:firstLine="0"/>
        <w:rPr>
          <w:szCs w:val="22"/>
        </w:rPr>
      </w:pPr>
      <w:r w:rsidRPr="003937F8">
        <w:rPr>
          <w:szCs w:val="22"/>
        </w:rPr>
        <w:t xml:space="preserve">In the sources regarding reindeer numbers and harvest, a year is generally considered as beginning with July 1 and ending with June 30 the following year. Therefore, for those data e.g. the year 1997 generally refers to the period July 1, 1996 – June 30, 1997. </w:t>
      </w:r>
    </w:p>
    <w:p w14:paraId="1E087374" w14:textId="700B6D3A" w:rsidR="003937F8" w:rsidRPr="003937F8" w:rsidRDefault="003937F8" w:rsidP="008F0153">
      <w:pPr>
        <w:pStyle w:val="Appendixtext"/>
        <w:ind w:firstLine="0"/>
        <w:rPr>
          <w:noProof/>
          <w:szCs w:val="22"/>
        </w:rPr>
      </w:pPr>
      <w:r w:rsidRPr="003937F8">
        <w:rPr>
          <w:szCs w:val="22"/>
        </w:rPr>
        <w:t>In case of conflicting data, we have used the most recent available source</w:t>
      </w:r>
      <w:r w:rsidR="00705181">
        <w:rPr>
          <w:szCs w:val="22"/>
        </w:rPr>
        <w:t>.</w:t>
      </w:r>
    </w:p>
    <w:sectPr w:rsidR="003937F8" w:rsidRPr="003937F8" w:rsidSect="00FA6B6E">
      <w:footerReference w:type="default" r:id="rId1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8675" w14:textId="77777777" w:rsidR="002476BF" w:rsidRDefault="002476BF" w:rsidP="0061682F">
      <w:pPr>
        <w:spacing w:line="240" w:lineRule="auto"/>
      </w:pPr>
      <w:r>
        <w:separator/>
      </w:r>
    </w:p>
  </w:endnote>
  <w:endnote w:type="continuationSeparator" w:id="0">
    <w:p w14:paraId="0B839395" w14:textId="77777777" w:rsidR="002476BF" w:rsidRDefault="002476BF" w:rsidP="00616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65746"/>
      <w:docPartObj>
        <w:docPartGallery w:val="Page Numbers (Bottom of Page)"/>
        <w:docPartUnique/>
      </w:docPartObj>
    </w:sdtPr>
    <w:sdtEndPr>
      <w:rPr>
        <w:noProof/>
      </w:rPr>
    </w:sdtEndPr>
    <w:sdtContent>
      <w:p w14:paraId="3B14ED7C" w14:textId="237A0DC3" w:rsidR="0061682F" w:rsidRDefault="0061682F">
        <w:pPr>
          <w:pStyle w:val="Footer"/>
          <w:jc w:val="right"/>
        </w:pPr>
        <w:r>
          <w:fldChar w:fldCharType="begin"/>
        </w:r>
        <w:r>
          <w:instrText xml:space="preserve"> PAGE   \* MERGEFORMAT </w:instrText>
        </w:r>
        <w:r>
          <w:fldChar w:fldCharType="separate"/>
        </w:r>
        <w:r w:rsidR="00C632D1">
          <w:rPr>
            <w:noProof/>
          </w:rPr>
          <w:t>1</w:t>
        </w:r>
        <w:r>
          <w:rPr>
            <w:noProof/>
          </w:rPr>
          <w:fldChar w:fldCharType="end"/>
        </w:r>
      </w:p>
    </w:sdtContent>
  </w:sdt>
  <w:p w14:paraId="2E6068C8" w14:textId="77777777" w:rsidR="0061682F" w:rsidRDefault="00616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59A52" w14:textId="77777777" w:rsidR="002476BF" w:rsidRDefault="002476BF" w:rsidP="0061682F">
      <w:pPr>
        <w:spacing w:line="240" w:lineRule="auto"/>
      </w:pPr>
      <w:r>
        <w:separator/>
      </w:r>
    </w:p>
  </w:footnote>
  <w:footnote w:type="continuationSeparator" w:id="0">
    <w:p w14:paraId="53B284AD" w14:textId="77777777" w:rsidR="002476BF" w:rsidRDefault="002476BF" w:rsidP="006168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DateAndTim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Total_Editing_Time" w:val="137"/>
  </w:docVars>
  <w:rsids>
    <w:rsidRoot w:val="003B23F9"/>
    <w:rsid w:val="00000073"/>
    <w:rsid w:val="00005238"/>
    <w:rsid w:val="00011422"/>
    <w:rsid w:val="00030EF6"/>
    <w:rsid w:val="0004670A"/>
    <w:rsid w:val="00050A6A"/>
    <w:rsid w:val="00061872"/>
    <w:rsid w:val="00070D6C"/>
    <w:rsid w:val="00070E57"/>
    <w:rsid w:val="0009236B"/>
    <w:rsid w:val="000A0942"/>
    <w:rsid w:val="000A790B"/>
    <w:rsid w:val="000C1598"/>
    <w:rsid w:val="000C3B91"/>
    <w:rsid w:val="000C4EBC"/>
    <w:rsid w:val="000F2565"/>
    <w:rsid w:val="000F3A8C"/>
    <w:rsid w:val="000F3BBD"/>
    <w:rsid w:val="001056C4"/>
    <w:rsid w:val="00107906"/>
    <w:rsid w:val="001225A5"/>
    <w:rsid w:val="0013672D"/>
    <w:rsid w:val="001432B1"/>
    <w:rsid w:val="00145202"/>
    <w:rsid w:val="00152742"/>
    <w:rsid w:val="00154EB0"/>
    <w:rsid w:val="00155DE7"/>
    <w:rsid w:val="001578EA"/>
    <w:rsid w:val="00171166"/>
    <w:rsid w:val="00176ECC"/>
    <w:rsid w:val="00185F10"/>
    <w:rsid w:val="001A05AA"/>
    <w:rsid w:val="001A11E5"/>
    <w:rsid w:val="001A2058"/>
    <w:rsid w:val="001C4ED7"/>
    <w:rsid w:val="001E02CB"/>
    <w:rsid w:val="001F4EF2"/>
    <w:rsid w:val="0021665D"/>
    <w:rsid w:val="00240A8C"/>
    <w:rsid w:val="00242314"/>
    <w:rsid w:val="002476BF"/>
    <w:rsid w:val="002568E8"/>
    <w:rsid w:val="002650A2"/>
    <w:rsid w:val="0028312E"/>
    <w:rsid w:val="00285BC1"/>
    <w:rsid w:val="002927D1"/>
    <w:rsid w:val="002A0584"/>
    <w:rsid w:val="002A79CF"/>
    <w:rsid w:val="002B618A"/>
    <w:rsid w:val="002D2A10"/>
    <w:rsid w:val="002D3B68"/>
    <w:rsid w:val="002D456F"/>
    <w:rsid w:val="002D5875"/>
    <w:rsid w:val="002D7963"/>
    <w:rsid w:val="002E07F5"/>
    <w:rsid w:val="002E3665"/>
    <w:rsid w:val="002E46DD"/>
    <w:rsid w:val="002F55FD"/>
    <w:rsid w:val="002F6927"/>
    <w:rsid w:val="00304F2D"/>
    <w:rsid w:val="00307EFC"/>
    <w:rsid w:val="003152A8"/>
    <w:rsid w:val="00321DEE"/>
    <w:rsid w:val="00327302"/>
    <w:rsid w:val="003465EE"/>
    <w:rsid w:val="00347F2A"/>
    <w:rsid w:val="003605F7"/>
    <w:rsid w:val="00360ED9"/>
    <w:rsid w:val="00362616"/>
    <w:rsid w:val="00364837"/>
    <w:rsid w:val="00372E18"/>
    <w:rsid w:val="0037319C"/>
    <w:rsid w:val="00374251"/>
    <w:rsid w:val="00377B20"/>
    <w:rsid w:val="00383900"/>
    <w:rsid w:val="00392EFA"/>
    <w:rsid w:val="003937F8"/>
    <w:rsid w:val="003A0695"/>
    <w:rsid w:val="003A1248"/>
    <w:rsid w:val="003A5B00"/>
    <w:rsid w:val="003B23F9"/>
    <w:rsid w:val="003B580D"/>
    <w:rsid w:val="003C04D1"/>
    <w:rsid w:val="003C0D4A"/>
    <w:rsid w:val="003C1752"/>
    <w:rsid w:val="003C2419"/>
    <w:rsid w:val="003D789C"/>
    <w:rsid w:val="003D7927"/>
    <w:rsid w:val="003F103A"/>
    <w:rsid w:val="003F2D65"/>
    <w:rsid w:val="00400A14"/>
    <w:rsid w:val="00402097"/>
    <w:rsid w:val="00405522"/>
    <w:rsid w:val="004077C7"/>
    <w:rsid w:val="00414948"/>
    <w:rsid w:val="00423D7C"/>
    <w:rsid w:val="0042481E"/>
    <w:rsid w:val="004342B1"/>
    <w:rsid w:val="00440EC4"/>
    <w:rsid w:val="00446BFF"/>
    <w:rsid w:val="00451ED6"/>
    <w:rsid w:val="00457D62"/>
    <w:rsid w:val="00465921"/>
    <w:rsid w:val="00477AED"/>
    <w:rsid w:val="00481CFF"/>
    <w:rsid w:val="004A42EF"/>
    <w:rsid w:val="004A59B1"/>
    <w:rsid w:val="004B1770"/>
    <w:rsid w:val="004B2C0F"/>
    <w:rsid w:val="004C2461"/>
    <w:rsid w:val="004C6F33"/>
    <w:rsid w:val="004D26C3"/>
    <w:rsid w:val="00503ED5"/>
    <w:rsid w:val="00506DFA"/>
    <w:rsid w:val="0051392B"/>
    <w:rsid w:val="00515198"/>
    <w:rsid w:val="00525CDA"/>
    <w:rsid w:val="00535BF0"/>
    <w:rsid w:val="00535C01"/>
    <w:rsid w:val="00537FFD"/>
    <w:rsid w:val="005437A5"/>
    <w:rsid w:val="0054535E"/>
    <w:rsid w:val="00555753"/>
    <w:rsid w:val="005641A4"/>
    <w:rsid w:val="0056508A"/>
    <w:rsid w:val="0056733F"/>
    <w:rsid w:val="00571F2F"/>
    <w:rsid w:val="00577092"/>
    <w:rsid w:val="005851EC"/>
    <w:rsid w:val="00586B0F"/>
    <w:rsid w:val="005873C0"/>
    <w:rsid w:val="005876DC"/>
    <w:rsid w:val="00591E6F"/>
    <w:rsid w:val="0059425E"/>
    <w:rsid w:val="005A1BA3"/>
    <w:rsid w:val="005A2603"/>
    <w:rsid w:val="005D0A27"/>
    <w:rsid w:val="005D148D"/>
    <w:rsid w:val="005D171B"/>
    <w:rsid w:val="005D55DE"/>
    <w:rsid w:val="005E110E"/>
    <w:rsid w:val="005E2FA6"/>
    <w:rsid w:val="005E6B39"/>
    <w:rsid w:val="005E72A6"/>
    <w:rsid w:val="005F27DE"/>
    <w:rsid w:val="00603568"/>
    <w:rsid w:val="0061682F"/>
    <w:rsid w:val="00627C4E"/>
    <w:rsid w:val="006359E0"/>
    <w:rsid w:val="00640087"/>
    <w:rsid w:val="00643961"/>
    <w:rsid w:val="00647307"/>
    <w:rsid w:val="00653DED"/>
    <w:rsid w:val="00655223"/>
    <w:rsid w:val="00660D3D"/>
    <w:rsid w:val="00661351"/>
    <w:rsid w:val="00662FEA"/>
    <w:rsid w:val="00680868"/>
    <w:rsid w:val="006A23D3"/>
    <w:rsid w:val="006A3649"/>
    <w:rsid w:val="006A4B3F"/>
    <w:rsid w:val="006C7488"/>
    <w:rsid w:val="006D0037"/>
    <w:rsid w:val="0070219C"/>
    <w:rsid w:val="00705181"/>
    <w:rsid w:val="00716B34"/>
    <w:rsid w:val="0071725E"/>
    <w:rsid w:val="007203C3"/>
    <w:rsid w:val="00723B18"/>
    <w:rsid w:val="00723E23"/>
    <w:rsid w:val="00731F19"/>
    <w:rsid w:val="00732E79"/>
    <w:rsid w:val="007363FD"/>
    <w:rsid w:val="00756EA6"/>
    <w:rsid w:val="007611DB"/>
    <w:rsid w:val="00762DDF"/>
    <w:rsid w:val="007639CE"/>
    <w:rsid w:val="007748FB"/>
    <w:rsid w:val="007852DF"/>
    <w:rsid w:val="00791053"/>
    <w:rsid w:val="0079354F"/>
    <w:rsid w:val="007947FF"/>
    <w:rsid w:val="007A2A3A"/>
    <w:rsid w:val="007A5724"/>
    <w:rsid w:val="007A7A68"/>
    <w:rsid w:val="007C4528"/>
    <w:rsid w:val="007D2D41"/>
    <w:rsid w:val="007E26BC"/>
    <w:rsid w:val="007E2B23"/>
    <w:rsid w:val="007E58BF"/>
    <w:rsid w:val="007F083C"/>
    <w:rsid w:val="007F2AC7"/>
    <w:rsid w:val="00810374"/>
    <w:rsid w:val="00812D6B"/>
    <w:rsid w:val="008158F9"/>
    <w:rsid w:val="00822589"/>
    <w:rsid w:val="0082564A"/>
    <w:rsid w:val="0083024E"/>
    <w:rsid w:val="00834229"/>
    <w:rsid w:val="00840F39"/>
    <w:rsid w:val="008425ED"/>
    <w:rsid w:val="00861621"/>
    <w:rsid w:val="008723DD"/>
    <w:rsid w:val="0087286E"/>
    <w:rsid w:val="008750B6"/>
    <w:rsid w:val="00881421"/>
    <w:rsid w:val="008868F4"/>
    <w:rsid w:val="00887CA3"/>
    <w:rsid w:val="008902C5"/>
    <w:rsid w:val="00896729"/>
    <w:rsid w:val="008B43B9"/>
    <w:rsid w:val="008B5F12"/>
    <w:rsid w:val="008E121B"/>
    <w:rsid w:val="008E3F0C"/>
    <w:rsid w:val="008F0153"/>
    <w:rsid w:val="008F0C88"/>
    <w:rsid w:val="008F0E8D"/>
    <w:rsid w:val="008F4136"/>
    <w:rsid w:val="009069BD"/>
    <w:rsid w:val="00933A6F"/>
    <w:rsid w:val="0095103F"/>
    <w:rsid w:val="00953479"/>
    <w:rsid w:val="0095392C"/>
    <w:rsid w:val="00960D53"/>
    <w:rsid w:val="00961D29"/>
    <w:rsid w:val="00962F97"/>
    <w:rsid w:val="009664A7"/>
    <w:rsid w:val="00971E28"/>
    <w:rsid w:val="00972FE0"/>
    <w:rsid w:val="009739BA"/>
    <w:rsid w:val="00981064"/>
    <w:rsid w:val="00985681"/>
    <w:rsid w:val="00985C9B"/>
    <w:rsid w:val="00993BB6"/>
    <w:rsid w:val="009942C1"/>
    <w:rsid w:val="009948A6"/>
    <w:rsid w:val="00996E06"/>
    <w:rsid w:val="009A22C6"/>
    <w:rsid w:val="009A667B"/>
    <w:rsid w:val="009D2B13"/>
    <w:rsid w:val="009D69AF"/>
    <w:rsid w:val="009E0FA2"/>
    <w:rsid w:val="009E2384"/>
    <w:rsid w:val="009F1BFC"/>
    <w:rsid w:val="009F43FA"/>
    <w:rsid w:val="00A00E42"/>
    <w:rsid w:val="00A31B8C"/>
    <w:rsid w:val="00A522B3"/>
    <w:rsid w:val="00A641C9"/>
    <w:rsid w:val="00A6432E"/>
    <w:rsid w:val="00A747F2"/>
    <w:rsid w:val="00A80C26"/>
    <w:rsid w:val="00A86AA1"/>
    <w:rsid w:val="00A911D6"/>
    <w:rsid w:val="00A92A65"/>
    <w:rsid w:val="00A9768D"/>
    <w:rsid w:val="00AA07D1"/>
    <w:rsid w:val="00AA3CBB"/>
    <w:rsid w:val="00AA6342"/>
    <w:rsid w:val="00AE5EFA"/>
    <w:rsid w:val="00AF1A71"/>
    <w:rsid w:val="00B020B5"/>
    <w:rsid w:val="00B020CC"/>
    <w:rsid w:val="00B05CFE"/>
    <w:rsid w:val="00B110B0"/>
    <w:rsid w:val="00B43F49"/>
    <w:rsid w:val="00B4762E"/>
    <w:rsid w:val="00B47DF7"/>
    <w:rsid w:val="00B47F1B"/>
    <w:rsid w:val="00B61E81"/>
    <w:rsid w:val="00B63289"/>
    <w:rsid w:val="00B64659"/>
    <w:rsid w:val="00B65697"/>
    <w:rsid w:val="00B65BC1"/>
    <w:rsid w:val="00B74781"/>
    <w:rsid w:val="00B84969"/>
    <w:rsid w:val="00B86B14"/>
    <w:rsid w:val="00B9023D"/>
    <w:rsid w:val="00BC41A0"/>
    <w:rsid w:val="00BE0D04"/>
    <w:rsid w:val="00BE67BD"/>
    <w:rsid w:val="00BF1139"/>
    <w:rsid w:val="00C349F7"/>
    <w:rsid w:val="00C452CF"/>
    <w:rsid w:val="00C465B0"/>
    <w:rsid w:val="00C5739F"/>
    <w:rsid w:val="00C61BBF"/>
    <w:rsid w:val="00C632D1"/>
    <w:rsid w:val="00C70F30"/>
    <w:rsid w:val="00C71651"/>
    <w:rsid w:val="00C86432"/>
    <w:rsid w:val="00C93B6C"/>
    <w:rsid w:val="00C96298"/>
    <w:rsid w:val="00CA1F5A"/>
    <w:rsid w:val="00CB60AD"/>
    <w:rsid w:val="00CE4041"/>
    <w:rsid w:val="00CE49FA"/>
    <w:rsid w:val="00CF5440"/>
    <w:rsid w:val="00CF5625"/>
    <w:rsid w:val="00D013E8"/>
    <w:rsid w:val="00D1645F"/>
    <w:rsid w:val="00D1693C"/>
    <w:rsid w:val="00D17D79"/>
    <w:rsid w:val="00D34C9D"/>
    <w:rsid w:val="00D36878"/>
    <w:rsid w:val="00D41A93"/>
    <w:rsid w:val="00D4250F"/>
    <w:rsid w:val="00D579F1"/>
    <w:rsid w:val="00D60F0A"/>
    <w:rsid w:val="00D6126B"/>
    <w:rsid w:val="00D733F3"/>
    <w:rsid w:val="00D73C6A"/>
    <w:rsid w:val="00D761A2"/>
    <w:rsid w:val="00D76431"/>
    <w:rsid w:val="00D8636A"/>
    <w:rsid w:val="00D96830"/>
    <w:rsid w:val="00D97C5E"/>
    <w:rsid w:val="00DA5CF9"/>
    <w:rsid w:val="00DB56D2"/>
    <w:rsid w:val="00DB7BE1"/>
    <w:rsid w:val="00DC2D21"/>
    <w:rsid w:val="00DD3EC8"/>
    <w:rsid w:val="00DD70D3"/>
    <w:rsid w:val="00DF1527"/>
    <w:rsid w:val="00E35C42"/>
    <w:rsid w:val="00E36329"/>
    <w:rsid w:val="00E36B1A"/>
    <w:rsid w:val="00E420C9"/>
    <w:rsid w:val="00E43403"/>
    <w:rsid w:val="00E472B0"/>
    <w:rsid w:val="00E57656"/>
    <w:rsid w:val="00E73B99"/>
    <w:rsid w:val="00E75285"/>
    <w:rsid w:val="00E86E6B"/>
    <w:rsid w:val="00E97B6A"/>
    <w:rsid w:val="00EC7853"/>
    <w:rsid w:val="00ED786A"/>
    <w:rsid w:val="00EE3AFC"/>
    <w:rsid w:val="00EE40E2"/>
    <w:rsid w:val="00EE7EA9"/>
    <w:rsid w:val="00EF1936"/>
    <w:rsid w:val="00F104F1"/>
    <w:rsid w:val="00F10F1E"/>
    <w:rsid w:val="00F15DA2"/>
    <w:rsid w:val="00F17003"/>
    <w:rsid w:val="00F25F7F"/>
    <w:rsid w:val="00F32342"/>
    <w:rsid w:val="00F40CB9"/>
    <w:rsid w:val="00F42F32"/>
    <w:rsid w:val="00F4683F"/>
    <w:rsid w:val="00F87152"/>
    <w:rsid w:val="00F90BAD"/>
    <w:rsid w:val="00F91D8C"/>
    <w:rsid w:val="00F92F5B"/>
    <w:rsid w:val="00F964BB"/>
    <w:rsid w:val="00FA6B6E"/>
    <w:rsid w:val="00FA76A4"/>
    <w:rsid w:val="00FB0A7C"/>
    <w:rsid w:val="00FB3348"/>
    <w:rsid w:val="00FC48CB"/>
    <w:rsid w:val="00FD33F7"/>
    <w:rsid w:val="00FE519D"/>
    <w:rsid w:val="00FF1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F9"/>
    <w:pPr>
      <w:spacing w:line="312" w:lineRule="auto"/>
    </w:pPr>
    <w:rPr>
      <w:rFonts w:ascii="Cambria" w:hAnsi="Cambr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3B23F9"/>
    <w:pPr>
      <w:spacing w:line="480" w:lineRule="auto"/>
      <w:jc w:val="center"/>
    </w:pPr>
    <w:rPr>
      <w:rFonts w:ascii="Times New Roman" w:eastAsia="Times New Roman" w:hAnsi="Times New Roman" w:cs="Times New Roman"/>
      <w:b/>
      <w:bCs/>
      <w:color w:val="000000"/>
      <w:lang w:val="en-US"/>
    </w:rPr>
  </w:style>
  <w:style w:type="paragraph" w:customStyle="1" w:styleId="tablecontent">
    <w:name w:val="table content"/>
    <w:basedOn w:val="Normal"/>
    <w:link w:val="tablecontentChar"/>
    <w:qFormat/>
    <w:rsid w:val="003B23F9"/>
    <w:pPr>
      <w:spacing w:line="480" w:lineRule="auto"/>
    </w:pPr>
    <w:rPr>
      <w:rFonts w:ascii="Times New Roman" w:hAnsi="Times New Roman"/>
      <w:szCs w:val="22"/>
      <w:lang w:val="en-US"/>
    </w:rPr>
  </w:style>
  <w:style w:type="character" w:customStyle="1" w:styleId="tablecontentChar">
    <w:name w:val="table content Char"/>
    <w:basedOn w:val="DefaultParagraphFont"/>
    <w:link w:val="tablecontent"/>
    <w:rsid w:val="003B23F9"/>
    <w:rPr>
      <w:rFonts w:cstheme="minorBidi"/>
      <w:szCs w:val="22"/>
      <w:lang w:val="en-US"/>
    </w:rPr>
  </w:style>
  <w:style w:type="paragraph" w:customStyle="1" w:styleId="EndNoteBibliographyTitle">
    <w:name w:val="EndNote Bibliography Title"/>
    <w:basedOn w:val="Normal"/>
    <w:rsid w:val="003B23F9"/>
    <w:pPr>
      <w:jc w:val="center"/>
    </w:pPr>
    <w:rPr>
      <w:rFonts w:ascii="Times New Roman" w:hAnsi="Times New Roman" w:cs="Times New Roman"/>
      <w:lang w:val="en-US"/>
    </w:rPr>
  </w:style>
  <w:style w:type="paragraph" w:customStyle="1" w:styleId="EndNoteBibliography">
    <w:name w:val="EndNote Bibliography"/>
    <w:basedOn w:val="Normal"/>
    <w:rsid w:val="003B23F9"/>
    <w:rPr>
      <w:rFonts w:ascii="Times New Roman" w:hAnsi="Times New Roman" w:cs="Times New Roman"/>
      <w:lang w:val="en-US"/>
    </w:rPr>
  </w:style>
  <w:style w:type="character" w:styleId="CommentReference">
    <w:name w:val="annotation reference"/>
    <w:basedOn w:val="DefaultParagraphFont"/>
    <w:uiPriority w:val="99"/>
    <w:semiHidden/>
    <w:unhideWhenUsed/>
    <w:rsid w:val="003B23F9"/>
    <w:rPr>
      <w:sz w:val="18"/>
      <w:szCs w:val="18"/>
    </w:rPr>
  </w:style>
  <w:style w:type="paragraph" w:styleId="CommentText">
    <w:name w:val="annotation text"/>
    <w:basedOn w:val="Normal"/>
    <w:link w:val="CommentTextChar"/>
    <w:uiPriority w:val="99"/>
    <w:unhideWhenUsed/>
    <w:rsid w:val="003B23F9"/>
  </w:style>
  <w:style w:type="character" w:customStyle="1" w:styleId="CommentTextChar">
    <w:name w:val="Comment Text Char"/>
    <w:basedOn w:val="DefaultParagraphFont"/>
    <w:link w:val="CommentText"/>
    <w:uiPriority w:val="99"/>
    <w:rsid w:val="003B23F9"/>
    <w:rPr>
      <w:rFonts w:ascii="Cambria" w:hAnsi="Cambria" w:cstheme="minorBidi"/>
    </w:rPr>
  </w:style>
  <w:style w:type="paragraph" w:styleId="CommentSubject">
    <w:name w:val="annotation subject"/>
    <w:basedOn w:val="CommentText"/>
    <w:next w:val="CommentText"/>
    <w:link w:val="CommentSubjectChar"/>
    <w:uiPriority w:val="99"/>
    <w:semiHidden/>
    <w:unhideWhenUsed/>
    <w:rsid w:val="003B23F9"/>
    <w:rPr>
      <w:b/>
      <w:bCs/>
      <w:sz w:val="20"/>
      <w:szCs w:val="20"/>
    </w:rPr>
  </w:style>
  <w:style w:type="character" w:customStyle="1" w:styleId="CommentSubjectChar">
    <w:name w:val="Comment Subject Char"/>
    <w:basedOn w:val="CommentTextChar"/>
    <w:link w:val="CommentSubject"/>
    <w:uiPriority w:val="99"/>
    <w:semiHidden/>
    <w:rsid w:val="003B23F9"/>
    <w:rPr>
      <w:rFonts w:ascii="Cambria" w:hAnsi="Cambria" w:cstheme="minorBidi"/>
      <w:b/>
      <w:bCs/>
      <w:sz w:val="20"/>
      <w:szCs w:val="20"/>
    </w:rPr>
  </w:style>
  <w:style w:type="paragraph" w:styleId="Revision">
    <w:name w:val="Revision"/>
    <w:hidden/>
    <w:uiPriority w:val="99"/>
    <w:semiHidden/>
    <w:rsid w:val="003B23F9"/>
    <w:rPr>
      <w:rFonts w:ascii="Cambria" w:hAnsi="Cambria" w:cstheme="minorBidi"/>
    </w:rPr>
  </w:style>
  <w:style w:type="paragraph" w:styleId="BalloonText">
    <w:name w:val="Balloon Text"/>
    <w:basedOn w:val="Normal"/>
    <w:link w:val="BalloonTextChar"/>
    <w:uiPriority w:val="99"/>
    <w:semiHidden/>
    <w:unhideWhenUsed/>
    <w:rsid w:val="003B23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3F9"/>
    <w:rPr>
      <w:sz w:val="18"/>
      <w:szCs w:val="18"/>
    </w:rPr>
  </w:style>
  <w:style w:type="character" w:styleId="Hyperlink">
    <w:name w:val="Hyperlink"/>
    <w:basedOn w:val="DefaultParagraphFont"/>
    <w:uiPriority w:val="99"/>
    <w:unhideWhenUsed/>
    <w:rsid w:val="003B23F9"/>
    <w:rPr>
      <w:color w:val="0563C1" w:themeColor="hyperlink"/>
      <w:u w:val="single"/>
    </w:rPr>
  </w:style>
  <w:style w:type="paragraph" w:styleId="Subtitle">
    <w:name w:val="Subtitle"/>
    <w:basedOn w:val="Normal"/>
    <w:next w:val="Normal"/>
    <w:link w:val="SubtitleChar"/>
    <w:uiPriority w:val="11"/>
    <w:qFormat/>
    <w:rsid w:val="003B23F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B23F9"/>
    <w:rPr>
      <w:rFonts w:asciiTheme="minorHAnsi" w:eastAsiaTheme="minorEastAsia" w:hAnsiTheme="minorHAnsi" w:cstheme="minorBidi"/>
      <w:color w:val="5A5A5A" w:themeColor="text1" w:themeTint="A5"/>
      <w:spacing w:val="15"/>
      <w:sz w:val="22"/>
      <w:szCs w:val="22"/>
    </w:rPr>
  </w:style>
  <w:style w:type="paragraph" w:customStyle="1" w:styleId="Appendixtablecontent">
    <w:name w:val="Appendix_table content"/>
    <w:qFormat/>
    <w:rsid w:val="005A2603"/>
    <w:pPr>
      <w:spacing w:line="312" w:lineRule="auto"/>
      <w:jc w:val="center"/>
    </w:pPr>
    <w:rPr>
      <w:rFonts w:cstheme="minorBidi"/>
      <w:sz w:val="22"/>
      <w:szCs w:val="22"/>
      <w:lang w:val="en-US"/>
    </w:rPr>
  </w:style>
  <w:style w:type="paragraph" w:customStyle="1" w:styleId="Appendixtableheader">
    <w:name w:val="Appendix_table header"/>
    <w:qFormat/>
    <w:rsid w:val="005A2603"/>
    <w:pPr>
      <w:spacing w:line="312" w:lineRule="auto"/>
      <w:jc w:val="center"/>
    </w:pPr>
    <w:rPr>
      <w:rFonts w:eastAsia="Times New Roman"/>
      <w:b/>
      <w:bCs/>
      <w:color w:val="000000"/>
      <w:sz w:val="22"/>
      <w:lang w:val="en-US"/>
    </w:rPr>
  </w:style>
  <w:style w:type="paragraph" w:customStyle="1" w:styleId="Appendixcaption">
    <w:name w:val="Appendix_caption"/>
    <w:qFormat/>
    <w:rsid w:val="00F87152"/>
    <w:pPr>
      <w:spacing w:line="360" w:lineRule="auto"/>
    </w:pPr>
    <w:rPr>
      <w:sz w:val="22"/>
      <w:szCs w:val="22"/>
      <w:lang w:val="en-US"/>
    </w:rPr>
  </w:style>
  <w:style w:type="paragraph" w:customStyle="1" w:styleId="Appendixtablenote">
    <w:name w:val="Appendix_table note"/>
    <w:qFormat/>
    <w:rsid w:val="009739BA"/>
    <w:pPr>
      <w:spacing w:line="360" w:lineRule="auto"/>
    </w:pPr>
    <w:rPr>
      <w:rFonts w:cstheme="minorBidi"/>
      <w:sz w:val="18"/>
    </w:rPr>
  </w:style>
  <w:style w:type="paragraph" w:customStyle="1" w:styleId="Appendixtitle">
    <w:name w:val="Appendix_title"/>
    <w:qFormat/>
    <w:rsid w:val="003B23F9"/>
    <w:pPr>
      <w:spacing w:after="200" w:line="360" w:lineRule="auto"/>
      <w:outlineLvl w:val="0"/>
    </w:pPr>
    <w:rPr>
      <w:b/>
      <w:sz w:val="32"/>
      <w:lang w:val="en-US"/>
    </w:rPr>
  </w:style>
  <w:style w:type="paragraph" w:customStyle="1" w:styleId="Appendixsubtitle1">
    <w:name w:val="Appendix_subtitle1"/>
    <w:qFormat/>
    <w:rsid w:val="003B23F9"/>
    <w:pPr>
      <w:spacing w:after="120" w:line="360" w:lineRule="auto"/>
      <w:outlineLvl w:val="0"/>
    </w:pPr>
    <w:rPr>
      <w:b/>
      <w:lang w:val="en-US"/>
    </w:rPr>
  </w:style>
  <w:style w:type="paragraph" w:customStyle="1" w:styleId="Appendixtext">
    <w:name w:val="Appendix_text"/>
    <w:qFormat/>
    <w:rsid w:val="002D2A10"/>
    <w:pPr>
      <w:spacing w:line="360" w:lineRule="auto"/>
      <w:ind w:firstLine="284"/>
    </w:pPr>
    <w:rPr>
      <w:sz w:val="22"/>
      <w:lang w:val="en-US"/>
    </w:rPr>
  </w:style>
  <w:style w:type="paragraph" w:styleId="Header">
    <w:name w:val="header"/>
    <w:basedOn w:val="Normal"/>
    <w:link w:val="HeaderChar"/>
    <w:uiPriority w:val="99"/>
    <w:unhideWhenUsed/>
    <w:rsid w:val="003B23F9"/>
    <w:pPr>
      <w:tabs>
        <w:tab w:val="center" w:pos="4680"/>
        <w:tab w:val="right" w:pos="9360"/>
      </w:tabs>
      <w:spacing w:line="240" w:lineRule="auto"/>
    </w:pPr>
  </w:style>
  <w:style w:type="character" w:customStyle="1" w:styleId="HeaderChar">
    <w:name w:val="Header Char"/>
    <w:basedOn w:val="DefaultParagraphFont"/>
    <w:link w:val="Header"/>
    <w:uiPriority w:val="99"/>
    <w:rsid w:val="003B23F9"/>
    <w:rPr>
      <w:rFonts w:ascii="Cambria" w:hAnsi="Cambria" w:cstheme="minorBidi"/>
    </w:rPr>
  </w:style>
  <w:style w:type="paragraph" w:styleId="Footer">
    <w:name w:val="footer"/>
    <w:basedOn w:val="Normal"/>
    <w:link w:val="FooterChar"/>
    <w:uiPriority w:val="99"/>
    <w:unhideWhenUsed/>
    <w:rsid w:val="003B23F9"/>
    <w:pPr>
      <w:tabs>
        <w:tab w:val="center" w:pos="4680"/>
        <w:tab w:val="right" w:pos="9360"/>
      </w:tabs>
      <w:spacing w:line="240" w:lineRule="auto"/>
    </w:pPr>
  </w:style>
  <w:style w:type="character" w:customStyle="1" w:styleId="FooterChar">
    <w:name w:val="Footer Char"/>
    <w:basedOn w:val="DefaultParagraphFont"/>
    <w:link w:val="Footer"/>
    <w:uiPriority w:val="99"/>
    <w:rsid w:val="003B23F9"/>
    <w:rPr>
      <w:rFonts w:ascii="Cambria" w:hAnsi="Cambria" w:cstheme="minorBidi"/>
    </w:rPr>
  </w:style>
  <w:style w:type="character" w:styleId="LineNumber">
    <w:name w:val="line number"/>
    <w:basedOn w:val="DefaultParagraphFont"/>
    <w:uiPriority w:val="99"/>
    <w:semiHidden/>
    <w:unhideWhenUsed/>
    <w:rsid w:val="003B23F9"/>
  </w:style>
  <w:style w:type="character" w:customStyle="1" w:styleId="Olstomnmnande1">
    <w:name w:val="Olöst omnämnande1"/>
    <w:basedOn w:val="DefaultParagraphFont"/>
    <w:uiPriority w:val="99"/>
    <w:semiHidden/>
    <w:unhideWhenUsed/>
    <w:rsid w:val="0037319C"/>
    <w:rPr>
      <w:color w:val="605E5C"/>
      <w:shd w:val="clear" w:color="auto" w:fill="E1DFDD"/>
    </w:rPr>
  </w:style>
  <w:style w:type="character" w:styleId="FollowedHyperlink">
    <w:name w:val="FollowedHyperlink"/>
    <w:basedOn w:val="DefaultParagraphFont"/>
    <w:uiPriority w:val="99"/>
    <w:semiHidden/>
    <w:unhideWhenUsed/>
    <w:rsid w:val="00A86AA1"/>
    <w:rPr>
      <w:color w:val="954F72" w:themeColor="followedHyperlink"/>
      <w:u w:val="single"/>
    </w:rPr>
  </w:style>
  <w:style w:type="character" w:customStyle="1" w:styleId="Olstomnmnande2">
    <w:name w:val="Olöst omnämnande2"/>
    <w:basedOn w:val="DefaultParagraphFont"/>
    <w:uiPriority w:val="99"/>
    <w:semiHidden/>
    <w:unhideWhenUsed/>
    <w:rsid w:val="007203C3"/>
    <w:rPr>
      <w:color w:val="605E5C"/>
      <w:shd w:val="clear" w:color="auto" w:fill="E1DFDD"/>
    </w:rPr>
  </w:style>
  <w:style w:type="table" w:styleId="TableGrid">
    <w:name w:val="Table Grid"/>
    <w:basedOn w:val="TableNormal"/>
    <w:uiPriority w:val="39"/>
    <w:rsid w:val="005A2603"/>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F9"/>
    <w:pPr>
      <w:spacing w:line="312" w:lineRule="auto"/>
    </w:pPr>
    <w:rPr>
      <w:rFonts w:ascii="Cambria" w:hAnsi="Cambr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qFormat/>
    <w:rsid w:val="003B23F9"/>
    <w:pPr>
      <w:spacing w:line="480" w:lineRule="auto"/>
      <w:jc w:val="center"/>
    </w:pPr>
    <w:rPr>
      <w:rFonts w:ascii="Times New Roman" w:eastAsia="Times New Roman" w:hAnsi="Times New Roman" w:cs="Times New Roman"/>
      <w:b/>
      <w:bCs/>
      <w:color w:val="000000"/>
      <w:lang w:val="en-US"/>
    </w:rPr>
  </w:style>
  <w:style w:type="paragraph" w:customStyle="1" w:styleId="tablecontent">
    <w:name w:val="table content"/>
    <w:basedOn w:val="Normal"/>
    <w:link w:val="tablecontentChar"/>
    <w:qFormat/>
    <w:rsid w:val="003B23F9"/>
    <w:pPr>
      <w:spacing w:line="480" w:lineRule="auto"/>
    </w:pPr>
    <w:rPr>
      <w:rFonts w:ascii="Times New Roman" w:hAnsi="Times New Roman"/>
      <w:szCs w:val="22"/>
      <w:lang w:val="en-US"/>
    </w:rPr>
  </w:style>
  <w:style w:type="character" w:customStyle="1" w:styleId="tablecontentChar">
    <w:name w:val="table content Char"/>
    <w:basedOn w:val="DefaultParagraphFont"/>
    <w:link w:val="tablecontent"/>
    <w:rsid w:val="003B23F9"/>
    <w:rPr>
      <w:rFonts w:cstheme="minorBidi"/>
      <w:szCs w:val="22"/>
      <w:lang w:val="en-US"/>
    </w:rPr>
  </w:style>
  <w:style w:type="paragraph" w:customStyle="1" w:styleId="EndNoteBibliographyTitle">
    <w:name w:val="EndNote Bibliography Title"/>
    <w:basedOn w:val="Normal"/>
    <w:rsid w:val="003B23F9"/>
    <w:pPr>
      <w:jc w:val="center"/>
    </w:pPr>
    <w:rPr>
      <w:rFonts w:ascii="Times New Roman" w:hAnsi="Times New Roman" w:cs="Times New Roman"/>
      <w:lang w:val="en-US"/>
    </w:rPr>
  </w:style>
  <w:style w:type="paragraph" w:customStyle="1" w:styleId="EndNoteBibliography">
    <w:name w:val="EndNote Bibliography"/>
    <w:basedOn w:val="Normal"/>
    <w:rsid w:val="003B23F9"/>
    <w:rPr>
      <w:rFonts w:ascii="Times New Roman" w:hAnsi="Times New Roman" w:cs="Times New Roman"/>
      <w:lang w:val="en-US"/>
    </w:rPr>
  </w:style>
  <w:style w:type="character" w:styleId="CommentReference">
    <w:name w:val="annotation reference"/>
    <w:basedOn w:val="DefaultParagraphFont"/>
    <w:uiPriority w:val="99"/>
    <w:semiHidden/>
    <w:unhideWhenUsed/>
    <w:rsid w:val="003B23F9"/>
    <w:rPr>
      <w:sz w:val="18"/>
      <w:szCs w:val="18"/>
    </w:rPr>
  </w:style>
  <w:style w:type="paragraph" w:styleId="CommentText">
    <w:name w:val="annotation text"/>
    <w:basedOn w:val="Normal"/>
    <w:link w:val="CommentTextChar"/>
    <w:uiPriority w:val="99"/>
    <w:unhideWhenUsed/>
    <w:rsid w:val="003B23F9"/>
  </w:style>
  <w:style w:type="character" w:customStyle="1" w:styleId="CommentTextChar">
    <w:name w:val="Comment Text Char"/>
    <w:basedOn w:val="DefaultParagraphFont"/>
    <w:link w:val="CommentText"/>
    <w:uiPriority w:val="99"/>
    <w:rsid w:val="003B23F9"/>
    <w:rPr>
      <w:rFonts w:ascii="Cambria" w:hAnsi="Cambria" w:cstheme="minorBidi"/>
    </w:rPr>
  </w:style>
  <w:style w:type="paragraph" w:styleId="CommentSubject">
    <w:name w:val="annotation subject"/>
    <w:basedOn w:val="CommentText"/>
    <w:next w:val="CommentText"/>
    <w:link w:val="CommentSubjectChar"/>
    <w:uiPriority w:val="99"/>
    <w:semiHidden/>
    <w:unhideWhenUsed/>
    <w:rsid w:val="003B23F9"/>
    <w:rPr>
      <w:b/>
      <w:bCs/>
      <w:sz w:val="20"/>
      <w:szCs w:val="20"/>
    </w:rPr>
  </w:style>
  <w:style w:type="character" w:customStyle="1" w:styleId="CommentSubjectChar">
    <w:name w:val="Comment Subject Char"/>
    <w:basedOn w:val="CommentTextChar"/>
    <w:link w:val="CommentSubject"/>
    <w:uiPriority w:val="99"/>
    <w:semiHidden/>
    <w:rsid w:val="003B23F9"/>
    <w:rPr>
      <w:rFonts w:ascii="Cambria" w:hAnsi="Cambria" w:cstheme="minorBidi"/>
      <w:b/>
      <w:bCs/>
      <w:sz w:val="20"/>
      <w:szCs w:val="20"/>
    </w:rPr>
  </w:style>
  <w:style w:type="paragraph" w:styleId="Revision">
    <w:name w:val="Revision"/>
    <w:hidden/>
    <w:uiPriority w:val="99"/>
    <w:semiHidden/>
    <w:rsid w:val="003B23F9"/>
    <w:rPr>
      <w:rFonts w:ascii="Cambria" w:hAnsi="Cambria" w:cstheme="minorBidi"/>
    </w:rPr>
  </w:style>
  <w:style w:type="paragraph" w:styleId="BalloonText">
    <w:name w:val="Balloon Text"/>
    <w:basedOn w:val="Normal"/>
    <w:link w:val="BalloonTextChar"/>
    <w:uiPriority w:val="99"/>
    <w:semiHidden/>
    <w:unhideWhenUsed/>
    <w:rsid w:val="003B23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3F9"/>
    <w:rPr>
      <w:sz w:val="18"/>
      <w:szCs w:val="18"/>
    </w:rPr>
  </w:style>
  <w:style w:type="character" w:styleId="Hyperlink">
    <w:name w:val="Hyperlink"/>
    <w:basedOn w:val="DefaultParagraphFont"/>
    <w:uiPriority w:val="99"/>
    <w:unhideWhenUsed/>
    <w:rsid w:val="003B23F9"/>
    <w:rPr>
      <w:color w:val="0563C1" w:themeColor="hyperlink"/>
      <w:u w:val="single"/>
    </w:rPr>
  </w:style>
  <w:style w:type="paragraph" w:styleId="Subtitle">
    <w:name w:val="Subtitle"/>
    <w:basedOn w:val="Normal"/>
    <w:next w:val="Normal"/>
    <w:link w:val="SubtitleChar"/>
    <w:uiPriority w:val="11"/>
    <w:qFormat/>
    <w:rsid w:val="003B23F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3B23F9"/>
    <w:rPr>
      <w:rFonts w:asciiTheme="minorHAnsi" w:eastAsiaTheme="minorEastAsia" w:hAnsiTheme="minorHAnsi" w:cstheme="minorBidi"/>
      <w:color w:val="5A5A5A" w:themeColor="text1" w:themeTint="A5"/>
      <w:spacing w:val="15"/>
      <w:sz w:val="22"/>
      <w:szCs w:val="22"/>
    </w:rPr>
  </w:style>
  <w:style w:type="paragraph" w:customStyle="1" w:styleId="Appendixtablecontent">
    <w:name w:val="Appendix_table content"/>
    <w:qFormat/>
    <w:rsid w:val="005A2603"/>
    <w:pPr>
      <w:spacing w:line="312" w:lineRule="auto"/>
      <w:jc w:val="center"/>
    </w:pPr>
    <w:rPr>
      <w:rFonts w:cstheme="minorBidi"/>
      <w:sz w:val="22"/>
      <w:szCs w:val="22"/>
      <w:lang w:val="en-US"/>
    </w:rPr>
  </w:style>
  <w:style w:type="paragraph" w:customStyle="1" w:styleId="Appendixtableheader">
    <w:name w:val="Appendix_table header"/>
    <w:qFormat/>
    <w:rsid w:val="005A2603"/>
    <w:pPr>
      <w:spacing w:line="312" w:lineRule="auto"/>
      <w:jc w:val="center"/>
    </w:pPr>
    <w:rPr>
      <w:rFonts w:eastAsia="Times New Roman"/>
      <w:b/>
      <w:bCs/>
      <w:color w:val="000000"/>
      <w:sz w:val="22"/>
      <w:lang w:val="en-US"/>
    </w:rPr>
  </w:style>
  <w:style w:type="paragraph" w:customStyle="1" w:styleId="Appendixcaption">
    <w:name w:val="Appendix_caption"/>
    <w:qFormat/>
    <w:rsid w:val="00F87152"/>
    <w:pPr>
      <w:spacing w:line="360" w:lineRule="auto"/>
    </w:pPr>
    <w:rPr>
      <w:sz w:val="22"/>
      <w:szCs w:val="22"/>
      <w:lang w:val="en-US"/>
    </w:rPr>
  </w:style>
  <w:style w:type="paragraph" w:customStyle="1" w:styleId="Appendixtablenote">
    <w:name w:val="Appendix_table note"/>
    <w:qFormat/>
    <w:rsid w:val="009739BA"/>
    <w:pPr>
      <w:spacing w:line="360" w:lineRule="auto"/>
    </w:pPr>
    <w:rPr>
      <w:rFonts w:cstheme="minorBidi"/>
      <w:sz w:val="18"/>
    </w:rPr>
  </w:style>
  <w:style w:type="paragraph" w:customStyle="1" w:styleId="Appendixtitle">
    <w:name w:val="Appendix_title"/>
    <w:qFormat/>
    <w:rsid w:val="003B23F9"/>
    <w:pPr>
      <w:spacing w:after="200" w:line="360" w:lineRule="auto"/>
      <w:outlineLvl w:val="0"/>
    </w:pPr>
    <w:rPr>
      <w:b/>
      <w:sz w:val="32"/>
      <w:lang w:val="en-US"/>
    </w:rPr>
  </w:style>
  <w:style w:type="paragraph" w:customStyle="1" w:styleId="Appendixsubtitle1">
    <w:name w:val="Appendix_subtitle1"/>
    <w:qFormat/>
    <w:rsid w:val="003B23F9"/>
    <w:pPr>
      <w:spacing w:after="120" w:line="360" w:lineRule="auto"/>
      <w:outlineLvl w:val="0"/>
    </w:pPr>
    <w:rPr>
      <w:b/>
      <w:lang w:val="en-US"/>
    </w:rPr>
  </w:style>
  <w:style w:type="paragraph" w:customStyle="1" w:styleId="Appendixtext">
    <w:name w:val="Appendix_text"/>
    <w:qFormat/>
    <w:rsid w:val="002D2A10"/>
    <w:pPr>
      <w:spacing w:line="360" w:lineRule="auto"/>
      <w:ind w:firstLine="284"/>
    </w:pPr>
    <w:rPr>
      <w:sz w:val="22"/>
      <w:lang w:val="en-US"/>
    </w:rPr>
  </w:style>
  <w:style w:type="paragraph" w:styleId="Header">
    <w:name w:val="header"/>
    <w:basedOn w:val="Normal"/>
    <w:link w:val="HeaderChar"/>
    <w:uiPriority w:val="99"/>
    <w:unhideWhenUsed/>
    <w:rsid w:val="003B23F9"/>
    <w:pPr>
      <w:tabs>
        <w:tab w:val="center" w:pos="4680"/>
        <w:tab w:val="right" w:pos="9360"/>
      </w:tabs>
      <w:spacing w:line="240" w:lineRule="auto"/>
    </w:pPr>
  </w:style>
  <w:style w:type="character" w:customStyle="1" w:styleId="HeaderChar">
    <w:name w:val="Header Char"/>
    <w:basedOn w:val="DefaultParagraphFont"/>
    <w:link w:val="Header"/>
    <w:uiPriority w:val="99"/>
    <w:rsid w:val="003B23F9"/>
    <w:rPr>
      <w:rFonts w:ascii="Cambria" w:hAnsi="Cambria" w:cstheme="minorBidi"/>
    </w:rPr>
  </w:style>
  <w:style w:type="paragraph" w:styleId="Footer">
    <w:name w:val="footer"/>
    <w:basedOn w:val="Normal"/>
    <w:link w:val="FooterChar"/>
    <w:uiPriority w:val="99"/>
    <w:unhideWhenUsed/>
    <w:rsid w:val="003B23F9"/>
    <w:pPr>
      <w:tabs>
        <w:tab w:val="center" w:pos="4680"/>
        <w:tab w:val="right" w:pos="9360"/>
      </w:tabs>
      <w:spacing w:line="240" w:lineRule="auto"/>
    </w:pPr>
  </w:style>
  <w:style w:type="character" w:customStyle="1" w:styleId="FooterChar">
    <w:name w:val="Footer Char"/>
    <w:basedOn w:val="DefaultParagraphFont"/>
    <w:link w:val="Footer"/>
    <w:uiPriority w:val="99"/>
    <w:rsid w:val="003B23F9"/>
    <w:rPr>
      <w:rFonts w:ascii="Cambria" w:hAnsi="Cambria" w:cstheme="minorBidi"/>
    </w:rPr>
  </w:style>
  <w:style w:type="character" w:styleId="LineNumber">
    <w:name w:val="line number"/>
    <w:basedOn w:val="DefaultParagraphFont"/>
    <w:uiPriority w:val="99"/>
    <w:semiHidden/>
    <w:unhideWhenUsed/>
    <w:rsid w:val="003B23F9"/>
  </w:style>
  <w:style w:type="character" w:customStyle="1" w:styleId="Olstomnmnande1">
    <w:name w:val="Olöst omnämnande1"/>
    <w:basedOn w:val="DefaultParagraphFont"/>
    <w:uiPriority w:val="99"/>
    <w:semiHidden/>
    <w:unhideWhenUsed/>
    <w:rsid w:val="0037319C"/>
    <w:rPr>
      <w:color w:val="605E5C"/>
      <w:shd w:val="clear" w:color="auto" w:fill="E1DFDD"/>
    </w:rPr>
  </w:style>
  <w:style w:type="character" w:styleId="FollowedHyperlink">
    <w:name w:val="FollowedHyperlink"/>
    <w:basedOn w:val="DefaultParagraphFont"/>
    <w:uiPriority w:val="99"/>
    <w:semiHidden/>
    <w:unhideWhenUsed/>
    <w:rsid w:val="00A86AA1"/>
    <w:rPr>
      <w:color w:val="954F72" w:themeColor="followedHyperlink"/>
      <w:u w:val="single"/>
    </w:rPr>
  </w:style>
  <w:style w:type="character" w:customStyle="1" w:styleId="Olstomnmnande2">
    <w:name w:val="Olöst omnämnande2"/>
    <w:basedOn w:val="DefaultParagraphFont"/>
    <w:uiPriority w:val="99"/>
    <w:semiHidden/>
    <w:unhideWhenUsed/>
    <w:rsid w:val="007203C3"/>
    <w:rPr>
      <w:color w:val="605E5C"/>
      <w:shd w:val="clear" w:color="auto" w:fill="E1DFDD"/>
    </w:rPr>
  </w:style>
  <w:style w:type="table" w:styleId="TableGrid">
    <w:name w:val="Table Grid"/>
    <w:basedOn w:val="TableNormal"/>
    <w:uiPriority w:val="39"/>
    <w:rsid w:val="005A2603"/>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48272">
      <w:bodyDiv w:val="1"/>
      <w:marLeft w:val="0"/>
      <w:marRight w:val="0"/>
      <w:marTop w:val="0"/>
      <w:marBottom w:val="0"/>
      <w:divBdr>
        <w:top w:val="none" w:sz="0" w:space="0" w:color="auto"/>
        <w:left w:val="none" w:sz="0" w:space="0" w:color="auto"/>
        <w:bottom w:val="none" w:sz="0" w:space="0" w:color="auto"/>
        <w:right w:val="none" w:sz="0" w:space="0" w:color="auto"/>
      </w:divBdr>
    </w:div>
    <w:div w:id="17320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jordbruksverket.s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ametinget.se/renstatisti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b.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scb.se" TargetMode="External"/><Relationship Id="rId14" Type="http://schemas.openxmlformats.org/officeDocument/2006/relationships/hyperlink" Target="http://www.smhi.se/kunskapsbanken/meteorologi/nollgenomgangar-1.2289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1256</Words>
  <Characters>7178</Characters>
  <Application>Microsoft Office Word</Application>
  <DocSecurity>0</DocSecurity>
  <Lines>512</Lines>
  <Paragraphs>351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S3G_Reference_Citation_Sequence</cp:lastModifiedBy>
  <cp:revision>57</cp:revision>
  <dcterms:created xsi:type="dcterms:W3CDTF">2020-02-23T17:04:00Z</dcterms:created>
  <dcterms:modified xsi:type="dcterms:W3CDTF">2020-08-01T02:22:00Z</dcterms:modified>
</cp:coreProperties>
</file>