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0D" w:rsidRPr="00D33598" w:rsidRDefault="0034600D" w:rsidP="0034600D">
      <w:pPr>
        <w:widowControl w:val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Table </w:t>
      </w:r>
      <w:r w:rsidR="00BE051E">
        <w:rPr>
          <w:rFonts w:ascii="Arial" w:hAnsi="Arial" w:cs="Arial"/>
          <w:noProof/>
        </w:rPr>
        <w:t>1</w:t>
      </w:r>
      <w:bookmarkStart w:id="0" w:name="_GoBack"/>
      <w:bookmarkEnd w:id="0"/>
      <w:r w:rsidRPr="00D33598">
        <w:rPr>
          <w:rFonts w:ascii="Arial" w:hAnsi="Arial" w:cs="Arial"/>
          <w:noProof/>
        </w:rPr>
        <w:t xml:space="preserve">: </w:t>
      </w:r>
      <w:bookmarkStart w:id="1" w:name="_Hlk48750786"/>
      <w:r w:rsidRPr="00D33598">
        <w:rPr>
          <w:rFonts w:ascii="Arial" w:hAnsi="Arial" w:cs="Arial"/>
          <w:noProof/>
        </w:rPr>
        <w:t>Roadmap for mainstreaming nutrition-sensitive interventions in Kebbi and Anambra States</w:t>
      </w:r>
    </w:p>
    <w:bookmarkEnd w:id="1"/>
    <w:p w:rsidR="0034600D" w:rsidRPr="00D33598" w:rsidRDefault="0034600D" w:rsidP="0034600D">
      <w:pPr>
        <w:widowControl w:val="0"/>
        <w:spacing w:line="360" w:lineRule="auto"/>
        <w:rPr>
          <w:rFonts w:ascii="Arial" w:hAnsi="Arial" w:cs="Arial"/>
        </w:rPr>
      </w:pPr>
    </w:p>
    <w:p w:rsidR="0034600D" w:rsidRPr="00D33598" w:rsidRDefault="0034600D" w:rsidP="0034600D">
      <w:pPr>
        <w:widowControl w:val="0"/>
        <w:spacing w:after="0" w:line="360" w:lineRule="auto"/>
        <w:contextualSpacing/>
        <w:rPr>
          <w:rFonts w:ascii="Arial" w:eastAsia="Calibri" w:hAnsi="Arial" w:cs="Arial"/>
          <w:noProof/>
          <w:sz w:val="40"/>
          <w:szCs w:val="40"/>
        </w:rPr>
      </w:pPr>
      <w:r w:rsidRPr="00D33598">
        <w:rPr>
          <w:rFonts w:ascii="Arial" w:eastAsia="Calibri" w:hAnsi="Arial" w:cs="Arial"/>
          <w:noProof/>
          <w:sz w:val="40"/>
          <w:szCs w:val="40"/>
        </w:rPr>
        <w:t xml:space="preserve">Roadmap for mainstreaming nutrition at state </w:t>
      </w:r>
      <w:r w:rsidRPr="00D33598">
        <w:rPr>
          <w:rFonts w:ascii="Arial" w:eastAsia="Calibri" w:hAnsi="Arial" w:cs="Arial"/>
          <w:sz w:val="40"/>
          <w:szCs w:val="40"/>
        </w:rPr>
        <w:t>levels</w:t>
      </w:r>
      <w:r w:rsidRPr="00D33598">
        <w:rPr>
          <w:rFonts w:ascii="Arial" w:eastAsia="Calibri" w:hAnsi="Arial" w:cs="Arial"/>
          <w:noProof/>
          <w:sz w:val="40"/>
          <w:szCs w:val="40"/>
        </w:rPr>
        <w:t xml:space="preserve"> in Nigeria</w:t>
      </w:r>
    </w:p>
    <w:p w:rsidR="0034600D" w:rsidRPr="00D33598" w:rsidRDefault="0034600D" w:rsidP="0034600D">
      <w:pPr>
        <w:widowControl w:val="0"/>
        <w:numPr>
          <w:ilvl w:val="3"/>
          <w:numId w:val="1"/>
        </w:numPr>
        <w:spacing w:before="120" w:after="120" w:line="360" w:lineRule="auto"/>
        <w:ind w:left="567"/>
        <w:contextualSpacing/>
        <w:rPr>
          <w:rFonts w:ascii="Arial" w:hAnsi="Arial" w:cs="Arial"/>
          <w:b/>
          <w:sz w:val="26"/>
        </w:rPr>
      </w:pPr>
      <w:r w:rsidRPr="00D33598">
        <w:rPr>
          <w:rFonts w:ascii="Arial" w:hAnsi="Arial" w:cs="Arial"/>
          <w:b/>
          <w:sz w:val="26"/>
        </w:rPr>
        <w:t>Introduction</w:t>
      </w:r>
    </w:p>
    <w:p w:rsidR="0034600D" w:rsidRPr="00D33598" w:rsidRDefault="0034600D" w:rsidP="0034600D">
      <w:pPr>
        <w:widowControl w:val="0"/>
        <w:spacing w:line="360" w:lineRule="auto"/>
        <w:ind w:left="-142" w:right="-472"/>
        <w:rPr>
          <w:rFonts w:ascii="Arial" w:hAnsi="Arial" w:cs="Arial"/>
          <w:sz w:val="24"/>
          <w:szCs w:val="24"/>
        </w:rPr>
      </w:pPr>
      <w:r w:rsidRPr="00D33598">
        <w:rPr>
          <w:rFonts w:ascii="Arial" w:hAnsi="Arial" w:cs="Arial"/>
          <w:sz w:val="24"/>
          <w:szCs w:val="24"/>
        </w:rPr>
        <w:t xml:space="preserve">The long-term effect of the current malnutrition on human and state capital cannot be quantified. It </w:t>
      </w:r>
      <w:r w:rsidRPr="00D33598">
        <w:rPr>
          <w:rFonts w:ascii="Arial" w:hAnsi="Arial" w:cs="Arial"/>
          <w:noProof/>
          <w:sz w:val="24"/>
          <w:szCs w:val="24"/>
        </w:rPr>
        <w:t>is estimated</w:t>
      </w:r>
      <w:r w:rsidRPr="00D33598">
        <w:rPr>
          <w:rFonts w:ascii="Arial" w:hAnsi="Arial" w:cs="Arial"/>
          <w:sz w:val="24"/>
          <w:szCs w:val="24"/>
        </w:rPr>
        <w:t xml:space="preserve"> that 37 percent of </w:t>
      </w:r>
      <w:r w:rsidRPr="00D33598">
        <w:rPr>
          <w:rFonts w:ascii="Arial" w:hAnsi="Arial" w:cs="Arial"/>
          <w:noProof/>
          <w:sz w:val="24"/>
          <w:szCs w:val="24"/>
        </w:rPr>
        <w:t>under-five</w:t>
      </w:r>
      <w:r w:rsidRPr="00D33598">
        <w:rPr>
          <w:rFonts w:ascii="Arial" w:hAnsi="Arial" w:cs="Arial"/>
          <w:sz w:val="24"/>
          <w:szCs w:val="24"/>
        </w:rPr>
        <w:t xml:space="preserve"> children in Nigeria </w:t>
      </w:r>
      <w:r w:rsidRPr="00D33598">
        <w:rPr>
          <w:rFonts w:ascii="Arial" w:hAnsi="Arial" w:cs="Arial"/>
          <w:noProof/>
          <w:sz w:val="24"/>
          <w:szCs w:val="24"/>
        </w:rPr>
        <w:t>are stunted</w:t>
      </w:r>
      <w:r w:rsidRPr="00912703">
        <w:rPr>
          <w:rStyle w:val="FootnoteReference"/>
        </w:rPr>
        <w:footnoteReference w:id="1"/>
      </w:r>
      <w:r w:rsidRPr="00D33598">
        <w:rPr>
          <w:rFonts w:ascii="Arial" w:hAnsi="Arial" w:cs="Arial"/>
          <w:sz w:val="24"/>
          <w:szCs w:val="24"/>
        </w:rPr>
        <w:t xml:space="preserve">. The long-term </w:t>
      </w:r>
      <w:proofErr w:type="gramStart"/>
      <w:r w:rsidRPr="00D33598">
        <w:rPr>
          <w:rFonts w:ascii="Arial" w:hAnsi="Arial" w:cs="Arial"/>
          <w:sz w:val="24"/>
          <w:szCs w:val="24"/>
        </w:rPr>
        <w:t>effects of this on human and national development is</w:t>
      </w:r>
      <w:proofErr w:type="gramEnd"/>
      <w:r w:rsidRPr="00D33598">
        <w:rPr>
          <w:rFonts w:ascii="Arial" w:hAnsi="Arial" w:cs="Arial"/>
          <w:sz w:val="24"/>
          <w:szCs w:val="24"/>
        </w:rPr>
        <w:t xml:space="preserve"> quite profound, given the impact on education, productivity, and mortality. This document provides practical suggestions as to WHERE malnutrition efforts should </w:t>
      </w:r>
      <w:r w:rsidRPr="00D33598">
        <w:rPr>
          <w:rFonts w:ascii="Arial" w:hAnsi="Arial" w:cs="Arial"/>
          <w:noProof/>
          <w:sz w:val="24"/>
          <w:szCs w:val="24"/>
        </w:rPr>
        <w:t>be targeted</w:t>
      </w:r>
      <w:r w:rsidRPr="00D33598">
        <w:rPr>
          <w:rFonts w:ascii="Arial" w:hAnsi="Arial" w:cs="Arial"/>
          <w:sz w:val="24"/>
          <w:szCs w:val="24"/>
        </w:rPr>
        <w:t xml:space="preserve">, WHAT </w:t>
      </w:r>
      <w:proofErr w:type="spellStart"/>
      <w:r w:rsidRPr="00D33598">
        <w:rPr>
          <w:rFonts w:ascii="Arial" w:hAnsi="Arial" w:cs="Arial"/>
          <w:sz w:val="24"/>
          <w:szCs w:val="24"/>
        </w:rPr>
        <w:t>programmes</w:t>
      </w:r>
      <w:proofErr w:type="spellEnd"/>
      <w:r w:rsidRPr="00D33598">
        <w:rPr>
          <w:rFonts w:ascii="Arial" w:hAnsi="Arial" w:cs="Arial"/>
          <w:sz w:val="24"/>
          <w:szCs w:val="24"/>
        </w:rPr>
        <w:t xml:space="preserve"> should be targeted to promote nutrition-sensitivity, and HOW such </w:t>
      </w:r>
      <w:proofErr w:type="spellStart"/>
      <w:r w:rsidRPr="00D33598">
        <w:rPr>
          <w:rFonts w:ascii="Arial" w:hAnsi="Arial" w:cs="Arial"/>
          <w:sz w:val="24"/>
          <w:szCs w:val="24"/>
        </w:rPr>
        <w:t>programmes</w:t>
      </w:r>
      <w:proofErr w:type="spellEnd"/>
      <w:r w:rsidRPr="00D33598">
        <w:rPr>
          <w:rFonts w:ascii="Arial" w:hAnsi="Arial" w:cs="Arial"/>
          <w:sz w:val="24"/>
          <w:szCs w:val="24"/>
        </w:rPr>
        <w:t xml:space="preserve"> can </w:t>
      </w:r>
      <w:r w:rsidRPr="00D33598">
        <w:rPr>
          <w:rFonts w:ascii="Arial" w:hAnsi="Arial" w:cs="Arial"/>
          <w:noProof/>
          <w:sz w:val="24"/>
          <w:szCs w:val="24"/>
        </w:rPr>
        <w:t>be strengthened</w:t>
      </w:r>
      <w:r w:rsidRPr="00D33598">
        <w:rPr>
          <w:rFonts w:ascii="Arial" w:hAnsi="Arial" w:cs="Arial"/>
          <w:sz w:val="24"/>
          <w:szCs w:val="24"/>
        </w:rPr>
        <w:t xml:space="preserve"> further. A study </w:t>
      </w:r>
      <w:r w:rsidRPr="00D33598">
        <w:rPr>
          <w:rFonts w:ascii="Arial" w:hAnsi="Arial" w:cs="Arial"/>
          <w:noProof/>
          <w:sz w:val="24"/>
          <w:szCs w:val="24"/>
        </w:rPr>
        <w:t>was conducted</w:t>
      </w:r>
      <w:r w:rsidRPr="00D33598">
        <w:rPr>
          <w:rFonts w:ascii="Arial" w:hAnsi="Arial" w:cs="Arial"/>
          <w:sz w:val="24"/>
          <w:szCs w:val="24"/>
        </w:rPr>
        <w:t xml:space="preserve"> that led to the development of this roadmap (Ethics No: S17/05/099). This roadmap was designed to strengthen the ability of the state-level stakeholders to engage in and monitor </w:t>
      </w:r>
      <w:r w:rsidRPr="00D33598">
        <w:rPr>
          <w:rFonts w:ascii="Arial" w:hAnsi="Arial" w:cs="Arial"/>
          <w:noProof/>
          <w:sz w:val="24"/>
          <w:szCs w:val="24"/>
        </w:rPr>
        <w:t>nutrition-related</w:t>
      </w:r>
      <w:r w:rsidRPr="00D33598">
        <w:rPr>
          <w:rFonts w:ascii="Arial" w:hAnsi="Arial" w:cs="Arial"/>
          <w:sz w:val="24"/>
          <w:szCs w:val="24"/>
        </w:rPr>
        <w:t xml:space="preserve"> interventions, policy development, and advocacy in the state. The roadmap is intended to facilitate the integration of nutrition-sensitive actions in various sectors. The roadmap consists of different sections and can be used separately or together in assisting stakeholders towards full nutrition-sensitive implementation. The roadmap includes an action plan for </w:t>
      </w:r>
      <w:r w:rsidRPr="00D33598">
        <w:rPr>
          <w:rFonts w:ascii="Arial" w:hAnsi="Arial" w:cs="Arial"/>
          <w:noProof/>
          <w:sz w:val="24"/>
          <w:szCs w:val="24"/>
        </w:rPr>
        <w:t xml:space="preserve">nutrition-sensitive </w:t>
      </w:r>
      <w:r w:rsidRPr="00D33598">
        <w:rPr>
          <w:rFonts w:ascii="Arial" w:hAnsi="Arial" w:cs="Arial"/>
          <w:sz w:val="24"/>
          <w:szCs w:val="24"/>
        </w:rPr>
        <w:t>actions (</w:t>
      </w:r>
      <w:r>
        <w:rPr>
          <w:rFonts w:ascii="Arial" w:hAnsi="Arial" w:cs="Arial"/>
          <w:sz w:val="24"/>
          <w:szCs w:val="24"/>
        </w:rPr>
        <w:t>Roadmap Table 1</w:t>
      </w:r>
      <w:r w:rsidRPr="00D33598">
        <w:rPr>
          <w:rFonts w:ascii="Arial" w:hAnsi="Arial" w:cs="Arial"/>
          <w:sz w:val="24"/>
          <w:szCs w:val="24"/>
        </w:rPr>
        <w:t xml:space="preserve">), action plan for generating political commitment at the state level </w:t>
      </w:r>
      <w:r>
        <w:rPr>
          <w:rFonts w:ascii="Arial" w:hAnsi="Arial" w:cs="Arial"/>
          <w:sz w:val="24"/>
          <w:szCs w:val="24"/>
        </w:rPr>
        <w:t>(Roadmap Table 2</w:t>
      </w:r>
      <w:r w:rsidRPr="00D33598">
        <w:rPr>
          <w:rFonts w:ascii="Arial" w:hAnsi="Arial" w:cs="Arial"/>
          <w:sz w:val="24"/>
          <w:szCs w:val="24"/>
        </w:rPr>
        <w:t xml:space="preserve">) and plans specifically for </w:t>
      </w:r>
      <w:proofErr w:type="spellStart"/>
      <w:r w:rsidRPr="00D33598">
        <w:rPr>
          <w:rFonts w:ascii="Arial" w:hAnsi="Arial" w:cs="Arial"/>
          <w:sz w:val="24"/>
          <w:szCs w:val="24"/>
        </w:rPr>
        <w:t>Kebbi</w:t>
      </w:r>
      <w:proofErr w:type="spellEnd"/>
      <w:r w:rsidRPr="00D33598">
        <w:rPr>
          <w:rFonts w:ascii="Arial" w:hAnsi="Arial" w:cs="Arial"/>
          <w:sz w:val="24"/>
          <w:szCs w:val="24"/>
        </w:rPr>
        <w:t xml:space="preserve"> and Anambra States (</w:t>
      </w:r>
      <w:r>
        <w:rPr>
          <w:rFonts w:ascii="Arial" w:hAnsi="Arial" w:cs="Arial"/>
          <w:sz w:val="24"/>
          <w:szCs w:val="24"/>
        </w:rPr>
        <w:t>Roadmap Tables 3 and 4)</w:t>
      </w:r>
      <w:r w:rsidRPr="00D33598">
        <w:rPr>
          <w:rFonts w:ascii="Arial" w:hAnsi="Arial" w:cs="Arial"/>
          <w:sz w:val="24"/>
          <w:szCs w:val="24"/>
        </w:rPr>
        <w:t xml:space="preserve"> respectively.</w:t>
      </w:r>
    </w:p>
    <w:p w:rsidR="0034600D" w:rsidRPr="00D33598" w:rsidRDefault="0034600D" w:rsidP="0034600D">
      <w:pPr>
        <w:widowControl w:val="0"/>
        <w:spacing w:line="360" w:lineRule="auto"/>
        <w:ind w:left="-142"/>
        <w:rPr>
          <w:rFonts w:ascii="Arial" w:hAnsi="Arial" w:cs="Arial"/>
        </w:rPr>
        <w:sectPr w:rsidR="0034600D" w:rsidRPr="00D33598" w:rsidSect="00213C4D">
          <w:pgSz w:w="11906" w:h="16838" w:code="9"/>
          <w:pgMar w:top="1702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4600D" w:rsidRPr="00D33598" w:rsidRDefault="0034600D" w:rsidP="0034600D">
      <w:pPr>
        <w:widowControl w:val="0"/>
        <w:rPr>
          <w:rFonts w:ascii="Arial" w:hAnsi="Arial" w:cs="Arial"/>
          <w:noProof/>
        </w:rPr>
      </w:pPr>
      <w:bookmarkStart w:id="2" w:name="_Toc536589896"/>
      <w:bookmarkStart w:id="3" w:name="_Hlk48750931"/>
      <w:r>
        <w:rPr>
          <w:rFonts w:ascii="Arial" w:hAnsi="Arial" w:cs="Arial"/>
        </w:rPr>
        <w:lastRenderedPageBreak/>
        <w:t>Roadmap Table 4.1</w:t>
      </w:r>
      <w:r w:rsidRPr="00D3359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General </w:t>
      </w:r>
      <w:r w:rsidRPr="00D33598">
        <w:rPr>
          <w:rFonts w:ascii="Arial" w:hAnsi="Arial" w:cs="Arial"/>
        </w:rPr>
        <w:t>Roadmap for mainstreaming nutrition-sensitive actions at the state level</w:t>
      </w:r>
      <w:bookmarkEnd w:id="2"/>
    </w:p>
    <w:tbl>
      <w:tblPr>
        <w:tblStyle w:val="TableGrid2"/>
        <w:tblpPr w:leftFromText="180" w:rightFromText="180" w:vertAnchor="page" w:horzAnchor="margin" w:tblpX="-440" w:tblpY="2427"/>
        <w:tblW w:w="15021" w:type="dxa"/>
        <w:tblLook w:val="04A0" w:firstRow="1" w:lastRow="0" w:firstColumn="1" w:lastColumn="0" w:noHBand="0" w:noVBand="1"/>
      </w:tblPr>
      <w:tblGrid>
        <w:gridCol w:w="1207"/>
        <w:gridCol w:w="2147"/>
        <w:gridCol w:w="2888"/>
        <w:gridCol w:w="1818"/>
        <w:gridCol w:w="2242"/>
        <w:gridCol w:w="2083"/>
        <w:gridCol w:w="1553"/>
        <w:gridCol w:w="1083"/>
      </w:tblGrid>
      <w:tr w:rsidR="0034600D" w:rsidRPr="00D33598" w:rsidTr="00312C3E">
        <w:trPr>
          <w:trHeight w:val="577"/>
        </w:trPr>
        <w:tc>
          <w:tcPr>
            <w:tcW w:w="1209" w:type="dxa"/>
          </w:tcPr>
          <w:bookmarkEnd w:id="3"/>
          <w:p w:rsidR="0034600D" w:rsidRPr="005A1552" w:rsidRDefault="0034600D" w:rsidP="00312C3E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552"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2188" w:type="dxa"/>
          </w:tcPr>
          <w:p w:rsidR="0034600D" w:rsidRPr="005A1552" w:rsidRDefault="0034600D" w:rsidP="00312C3E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55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977" w:type="dxa"/>
          </w:tcPr>
          <w:p w:rsidR="0034600D" w:rsidRPr="005A1552" w:rsidRDefault="0034600D" w:rsidP="00312C3E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552">
              <w:rPr>
                <w:rFonts w:ascii="Arial" w:hAnsi="Arial" w:cs="Arial"/>
                <w:b/>
                <w:sz w:val="20"/>
                <w:szCs w:val="20"/>
              </w:rPr>
              <w:t>Critical success factors</w:t>
            </w:r>
          </w:p>
        </w:tc>
        <w:tc>
          <w:tcPr>
            <w:tcW w:w="1843" w:type="dxa"/>
          </w:tcPr>
          <w:p w:rsidR="0034600D" w:rsidRPr="005A1552" w:rsidRDefault="0034600D" w:rsidP="00312C3E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552">
              <w:rPr>
                <w:rFonts w:ascii="Arial" w:hAnsi="Arial" w:cs="Arial"/>
                <w:b/>
                <w:sz w:val="20"/>
                <w:szCs w:val="20"/>
              </w:rPr>
              <w:t>Indicators</w:t>
            </w:r>
          </w:p>
        </w:tc>
        <w:tc>
          <w:tcPr>
            <w:tcW w:w="2268" w:type="dxa"/>
          </w:tcPr>
          <w:p w:rsidR="0034600D" w:rsidRPr="005A1552" w:rsidRDefault="0034600D" w:rsidP="00312C3E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552">
              <w:rPr>
                <w:rFonts w:ascii="Arial" w:hAnsi="Arial" w:cs="Arial"/>
                <w:b/>
                <w:sz w:val="20"/>
                <w:szCs w:val="20"/>
              </w:rPr>
              <w:t>Sectoral input</w:t>
            </w:r>
          </w:p>
        </w:tc>
        <w:tc>
          <w:tcPr>
            <w:tcW w:w="2126" w:type="dxa"/>
          </w:tcPr>
          <w:p w:rsidR="0034600D" w:rsidRPr="005A1552" w:rsidRDefault="0034600D" w:rsidP="00312C3E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552">
              <w:rPr>
                <w:rFonts w:ascii="Arial" w:hAnsi="Arial" w:cs="Arial"/>
                <w:b/>
                <w:sz w:val="20"/>
                <w:szCs w:val="20"/>
              </w:rPr>
              <w:t>Sectoral Output</w:t>
            </w:r>
          </w:p>
        </w:tc>
        <w:tc>
          <w:tcPr>
            <w:tcW w:w="1559" w:type="dxa"/>
          </w:tcPr>
          <w:p w:rsidR="0034600D" w:rsidRPr="005A1552" w:rsidRDefault="0034600D" w:rsidP="00312C3E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552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851" w:type="dxa"/>
          </w:tcPr>
          <w:p w:rsidR="0034600D" w:rsidRPr="005A1552" w:rsidRDefault="0034600D" w:rsidP="00312C3E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552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:rsidR="0034600D" w:rsidRPr="005A1552" w:rsidRDefault="0034600D" w:rsidP="00312C3E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600D" w:rsidRPr="00D33598" w:rsidTr="00312C3E">
        <w:trPr>
          <w:trHeight w:val="1522"/>
        </w:trPr>
        <w:tc>
          <w:tcPr>
            <w:tcW w:w="1209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nutrition</w:t>
            </w:r>
          </w:p>
        </w:tc>
        <w:tc>
          <w:tcPr>
            <w:tcW w:w="2188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Targeting of vulnerable populations.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Integration of nutrition with other sectors.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Adequate</w:t>
            </w:r>
            <w:r w:rsidRPr="00D33598">
              <w:rPr>
                <w:rFonts w:ascii="Arial" w:hAnsi="Arial" w:cs="Arial"/>
                <w:sz w:val="20"/>
                <w:szCs w:val="20"/>
              </w:rPr>
              <w:t xml:space="preserve"> implementation.</w:t>
            </w:r>
          </w:p>
        </w:tc>
        <w:tc>
          <w:tcPr>
            <w:tcW w:w="2977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Funding.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Political commitment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to</w:t>
            </w:r>
            <w:r w:rsidRPr="00D33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nutrition.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Employing efficacious intervention.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Coverage of interventions.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Sustainability.</w:t>
            </w:r>
          </w:p>
        </w:tc>
        <w:tc>
          <w:tcPr>
            <w:tcW w:w="1843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Low birth weight.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Underweight.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Increased morbidity.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Mortality rate.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Nutrition indicators and objectives in programmes.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Coverage.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Efficacious intervention.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Sustainability.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Project outcomes.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Improved nutritional status.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Improved women overall empowerment.</w:t>
            </w:r>
          </w:p>
        </w:tc>
        <w:tc>
          <w:tcPr>
            <w:tcW w:w="1559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Ministries.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Directors.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Programme implementers.</w:t>
            </w:r>
          </w:p>
        </w:tc>
        <w:tc>
          <w:tcPr>
            <w:tcW w:w="851" w:type="dxa"/>
            <w:vMerge w:val="restart"/>
            <w:textDirection w:val="tbRl"/>
          </w:tcPr>
          <w:p w:rsidR="0034600D" w:rsidRPr="00D33598" w:rsidRDefault="0034600D" w:rsidP="00312C3E">
            <w:pPr>
              <w:widowControl w:val="0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3598">
              <w:rPr>
                <w:rFonts w:ascii="Arial" w:hAnsi="Arial" w:cs="Arial"/>
                <w:b/>
                <w:sz w:val="20"/>
                <w:szCs w:val="20"/>
              </w:rPr>
              <w:t>Improved nutritional status</w:t>
            </w:r>
          </w:p>
        </w:tc>
      </w:tr>
      <w:tr w:rsidR="0034600D" w:rsidRPr="00D33598" w:rsidTr="00312C3E">
        <w:trPr>
          <w:trHeight w:val="296"/>
        </w:trPr>
        <w:tc>
          <w:tcPr>
            <w:tcW w:w="1209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188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Provision of quality ECD</w:t>
            </w:r>
            <w:r w:rsidRPr="00912703">
              <w:rPr>
                <w:rStyle w:val="FootnoteReference"/>
              </w:rPr>
              <w:footnoteReference w:id="2"/>
            </w:r>
            <w:r w:rsidRPr="00D335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Produce quality ECD teachers.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Parents understanding and support of ECD education.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Awareness of ECD education and its significance.</w:t>
            </w:r>
          </w:p>
        </w:tc>
        <w:tc>
          <w:tcPr>
            <w:tcW w:w="2977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Functional growth monitoring and tracking.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Funding.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Political commitment.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Monitoring and evaluation/quality control.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Formation of state and LGA</w:t>
            </w:r>
            <w:r w:rsidRPr="00912703">
              <w:rPr>
                <w:rStyle w:val="FootnoteReference"/>
              </w:rPr>
              <w:footnoteReference w:id="3"/>
            </w:r>
            <w:r w:rsidRPr="00D33598">
              <w:rPr>
                <w:rFonts w:ascii="Arial" w:hAnsi="Arial" w:cs="Arial"/>
                <w:sz w:val="20"/>
                <w:szCs w:val="20"/>
              </w:rPr>
              <w:t xml:space="preserve"> integrated ECD committee.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Child tracking system.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Alignment of Integrated ECD committee with SCFN.</w:t>
            </w:r>
          </w:p>
        </w:tc>
        <w:tc>
          <w:tcPr>
            <w:tcW w:w="1843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Repetition rates in primary education.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Retention rates or grade achievements.</w:t>
            </w:r>
          </w:p>
        </w:tc>
        <w:tc>
          <w:tcPr>
            <w:tcW w:w="2268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Quality teachers and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caregivers.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Functional growth monitoring and tracking.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Cultural sensitivity.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Improved ECD quality.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Improved detection of growth faltering.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Increased enrolment.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State Ministry of Education.</w:t>
            </w:r>
          </w:p>
        </w:tc>
        <w:tc>
          <w:tcPr>
            <w:tcW w:w="851" w:type="dxa"/>
            <w:vMerge/>
          </w:tcPr>
          <w:p w:rsidR="0034600D" w:rsidRPr="00D33598" w:rsidRDefault="0034600D" w:rsidP="0034600D">
            <w:pPr>
              <w:widowControl w:val="0"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00D" w:rsidRPr="00D33598" w:rsidTr="00312C3E">
        <w:trPr>
          <w:trHeight w:val="296"/>
        </w:trPr>
        <w:tc>
          <w:tcPr>
            <w:tcW w:w="1209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welfare</w:t>
            </w:r>
            <w:r w:rsidRPr="00D335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Labour market-based skills acquisition training.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Nutrition education.</w:t>
            </w:r>
          </w:p>
        </w:tc>
        <w:tc>
          <w:tcPr>
            <w:tcW w:w="2977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Targeting.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Integration.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Implementation.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Monitoring and evaluation/quality control.</w:t>
            </w:r>
          </w:p>
        </w:tc>
        <w:tc>
          <w:tcPr>
            <w:tcW w:w="1843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 xml:space="preserve">Productivity losses from manual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activities.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Productivity losses from non-manual activities.</w:t>
            </w:r>
          </w:p>
          <w:p w:rsidR="0034600D" w:rsidRPr="00D33598" w:rsidRDefault="0034600D" w:rsidP="00312C3E">
            <w:pPr>
              <w:widowControl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Political commitment.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Skills acquisition </w:t>
            </w: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training/curriculum.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Health and nutrition education components.</w:t>
            </w:r>
          </w:p>
        </w:tc>
        <w:tc>
          <w:tcPr>
            <w:tcW w:w="2126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Improved skills.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Improved nutrition </w:t>
            </w: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behaviours.</w:t>
            </w:r>
          </w:p>
        </w:tc>
        <w:tc>
          <w:tcPr>
            <w:tcW w:w="1559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State Ministry of Social Welfare.</w:t>
            </w:r>
          </w:p>
        </w:tc>
        <w:tc>
          <w:tcPr>
            <w:tcW w:w="851" w:type="dxa"/>
            <w:vMerge/>
          </w:tcPr>
          <w:p w:rsidR="0034600D" w:rsidRPr="00D33598" w:rsidRDefault="0034600D" w:rsidP="0034600D">
            <w:pPr>
              <w:widowControl w:val="0"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00D" w:rsidRPr="00D33598" w:rsidTr="00312C3E">
        <w:trPr>
          <w:trHeight w:val="1629"/>
        </w:trPr>
        <w:tc>
          <w:tcPr>
            <w:tcW w:w="1209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WASH</w:t>
            </w:r>
          </w:p>
        </w:tc>
        <w:tc>
          <w:tcPr>
            <w:tcW w:w="2188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Develop healthy habitation.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Increased citizenry sanitation awareness.</w:t>
            </w:r>
          </w:p>
        </w:tc>
        <w:tc>
          <w:tcPr>
            <w:tcW w:w="2977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Implementation.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598">
              <w:rPr>
                <w:rFonts w:ascii="Arial" w:hAnsi="Arial" w:cs="Arial"/>
                <w:sz w:val="20"/>
                <w:szCs w:val="20"/>
              </w:rPr>
              <w:t>Intersectoral</w:t>
            </w:r>
            <w:proofErr w:type="spellEnd"/>
            <w:r w:rsidRPr="00D33598">
              <w:rPr>
                <w:rFonts w:ascii="Arial" w:hAnsi="Arial" w:cs="Arial"/>
                <w:sz w:val="20"/>
                <w:szCs w:val="20"/>
              </w:rPr>
              <w:t xml:space="preserve"> collaboration.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Funding.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Political commitment.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Formation of state and LGA environmental task force.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Monitoring and evaluation/quality control.</w:t>
            </w:r>
          </w:p>
        </w:tc>
        <w:tc>
          <w:tcPr>
            <w:tcW w:w="1843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Rate of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diarrhoea</w:t>
            </w:r>
            <w:r w:rsidRPr="00D335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Rate</w:t>
            </w:r>
            <w:r w:rsidRPr="00D3359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soil-transmitted</w:t>
            </w:r>
            <w:r w:rsidRPr="00D33598">
              <w:rPr>
                <w:rFonts w:ascii="Arial" w:hAnsi="Arial" w:cs="Arial"/>
                <w:sz w:val="20"/>
                <w:szCs w:val="20"/>
              </w:rPr>
              <w:t xml:space="preserve"> helminth infections.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Rate</w:t>
            </w:r>
            <w:r w:rsidRPr="00D33598">
              <w:rPr>
                <w:rFonts w:ascii="Arial" w:hAnsi="Arial" w:cs="Arial"/>
                <w:sz w:val="20"/>
                <w:szCs w:val="20"/>
              </w:rPr>
              <w:t xml:space="preserve"> of environmental enteropathy.</w:t>
            </w:r>
          </w:p>
          <w:p w:rsidR="0034600D" w:rsidRPr="00D33598" w:rsidRDefault="0034600D" w:rsidP="00312C3E">
            <w:pPr>
              <w:widowControl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Alignment of agencies and bodies.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Integrate Ministry of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Environment</w:t>
            </w:r>
            <w:r w:rsidRPr="00D33598">
              <w:rPr>
                <w:rFonts w:ascii="Arial" w:hAnsi="Arial" w:cs="Arial"/>
                <w:sz w:val="20"/>
                <w:szCs w:val="20"/>
              </w:rPr>
              <w:t xml:space="preserve"> into National Committee for Food and Nutrition, State Committee for Food and Nutrition and Local Government Committee for Food and Nutrition.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Improved habitation.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proofErr w:type="gramStart"/>
            <w:r w:rsidRPr="00D33598">
              <w:rPr>
                <w:rFonts w:ascii="Arial" w:hAnsi="Arial" w:cs="Arial"/>
                <w:sz w:val="20"/>
                <w:szCs w:val="20"/>
              </w:rPr>
              <w:t>citizens</w:t>
            </w:r>
            <w:proofErr w:type="gramEnd"/>
            <w:r w:rsidRPr="00D33598">
              <w:rPr>
                <w:rFonts w:ascii="Arial" w:hAnsi="Arial" w:cs="Arial"/>
                <w:sz w:val="20"/>
                <w:szCs w:val="20"/>
              </w:rPr>
              <w:t xml:space="preserve"> awareness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of</w:t>
            </w:r>
            <w:r w:rsidRPr="00D33598">
              <w:rPr>
                <w:rFonts w:ascii="Arial" w:hAnsi="Arial" w:cs="Arial"/>
                <w:sz w:val="20"/>
                <w:szCs w:val="20"/>
              </w:rPr>
              <w:t xml:space="preserve"> sanitation.</w:t>
            </w:r>
          </w:p>
        </w:tc>
        <w:tc>
          <w:tcPr>
            <w:tcW w:w="1559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State Ministry of Environment.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National Committee of Food and Nutrition.</w:t>
            </w:r>
          </w:p>
        </w:tc>
        <w:tc>
          <w:tcPr>
            <w:tcW w:w="851" w:type="dxa"/>
            <w:vMerge/>
          </w:tcPr>
          <w:p w:rsidR="0034600D" w:rsidRPr="00D33598" w:rsidRDefault="0034600D" w:rsidP="0034600D">
            <w:pPr>
              <w:widowControl w:val="0"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00D" w:rsidRPr="00D33598" w:rsidTr="00312C3E">
        <w:trPr>
          <w:trHeight w:val="296"/>
        </w:trPr>
        <w:tc>
          <w:tcPr>
            <w:tcW w:w="1209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2188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Rural infrastructure development.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Commodity value chain development.</w:t>
            </w:r>
          </w:p>
        </w:tc>
        <w:tc>
          <w:tcPr>
            <w:tcW w:w="2977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Sustainability of programmes.</w:t>
            </w:r>
          </w:p>
        </w:tc>
        <w:tc>
          <w:tcPr>
            <w:tcW w:w="1843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Women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empowerment</w:t>
            </w:r>
            <w:r w:rsidRPr="00D3359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D33598">
              <w:rPr>
                <w:rFonts w:ascii="Arial" w:hAnsi="Arial" w:cs="Arial"/>
                <w:noProof/>
                <w:sz w:val="20"/>
                <w:szCs w:val="20"/>
              </w:rPr>
              <w:t>agriculture.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Income from agriculture.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Own food production.</w:t>
            </w:r>
          </w:p>
        </w:tc>
        <w:tc>
          <w:tcPr>
            <w:tcW w:w="2268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Integration.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Sustainability strategies.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Gender mainstreaming.</w:t>
            </w: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Nutrition Behavioural Change Communication.</w:t>
            </w:r>
          </w:p>
        </w:tc>
        <w:tc>
          <w:tcPr>
            <w:tcW w:w="2126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Improved nutrition delivery through agriculture.</w:t>
            </w:r>
          </w:p>
        </w:tc>
        <w:tc>
          <w:tcPr>
            <w:tcW w:w="1559" w:type="dxa"/>
          </w:tcPr>
          <w:p w:rsidR="0034600D" w:rsidRPr="00D33598" w:rsidRDefault="0034600D" w:rsidP="00312C3E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State Ministry of Agriculture.</w:t>
            </w:r>
          </w:p>
        </w:tc>
        <w:tc>
          <w:tcPr>
            <w:tcW w:w="851" w:type="dxa"/>
            <w:vMerge/>
          </w:tcPr>
          <w:p w:rsidR="0034600D" w:rsidRPr="00D33598" w:rsidRDefault="0034600D" w:rsidP="0034600D">
            <w:pPr>
              <w:widowControl w:val="0"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00D" w:rsidRDefault="0034600D" w:rsidP="0034600D">
      <w:pPr>
        <w:widowControl w:val="0"/>
        <w:spacing w:line="240" w:lineRule="auto"/>
        <w:rPr>
          <w:rFonts w:ascii="Arial" w:hAnsi="Arial" w:cs="Arial"/>
          <w:noProof/>
        </w:rPr>
      </w:pPr>
      <w:bookmarkStart w:id="4" w:name="_Ref536520883"/>
      <w:bookmarkStart w:id="5" w:name="_Toc536589897"/>
      <w:bookmarkStart w:id="6" w:name="_Hlk48751139"/>
    </w:p>
    <w:p w:rsidR="0034600D" w:rsidRDefault="0034600D" w:rsidP="0034600D">
      <w:pPr>
        <w:widowControl w:val="0"/>
        <w:spacing w:line="240" w:lineRule="auto"/>
        <w:rPr>
          <w:rFonts w:ascii="Arial" w:hAnsi="Arial" w:cs="Arial"/>
        </w:rPr>
      </w:pPr>
    </w:p>
    <w:p w:rsidR="0034600D" w:rsidRDefault="0034600D" w:rsidP="0034600D">
      <w:pPr>
        <w:widowControl w:val="0"/>
        <w:spacing w:line="240" w:lineRule="auto"/>
        <w:rPr>
          <w:rFonts w:ascii="Arial" w:hAnsi="Arial" w:cs="Arial"/>
        </w:rPr>
      </w:pPr>
    </w:p>
    <w:p w:rsidR="0034600D" w:rsidRDefault="0034600D" w:rsidP="0034600D">
      <w:pPr>
        <w:widowControl w:val="0"/>
        <w:spacing w:line="240" w:lineRule="auto"/>
        <w:rPr>
          <w:rFonts w:ascii="Arial" w:hAnsi="Arial" w:cs="Arial"/>
        </w:rPr>
      </w:pPr>
    </w:p>
    <w:p w:rsidR="0034600D" w:rsidRPr="001F66A2" w:rsidRDefault="0034600D" w:rsidP="0034600D">
      <w:pPr>
        <w:widowControl w:val="0"/>
        <w:spacing w:line="240" w:lineRule="auto"/>
        <w:rPr>
          <w:rFonts w:ascii="Arial" w:hAnsi="Arial" w:cs="Arial"/>
          <w:i/>
          <w:iCs/>
          <w:noProof/>
          <w:color w:val="1F497D"/>
          <w:sz w:val="18"/>
          <w:szCs w:val="18"/>
        </w:rPr>
      </w:pPr>
      <w:r>
        <w:rPr>
          <w:rFonts w:ascii="Arial" w:hAnsi="Arial" w:cs="Arial"/>
        </w:rPr>
        <w:t xml:space="preserve">Roadmap </w:t>
      </w:r>
      <w:r w:rsidRPr="00D33598">
        <w:rPr>
          <w:rFonts w:ascii="Arial" w:hAnsi="Arial" w:cs="Arial"/>
        </w:rPr>
        <w:t xml:space="preserve">Table </w:t>
      </w:r>
      <w:bookmarkEnd w:id="4"/>
      <w:r>
        <w:rPr>
          <w:rFonts w:ascii="Arial" w:hAnsi="Arial" w:cs="Arial"/>
        </w:rPr>
        <w:t>4.2</w:t>
      </w:r>
      <w:r w:rsidRPr="003F463C">
        <w:rPr>
          <w:rFonts w:ascii="Arial" w:hAnsi="Arial" w:cs="Arial"/>
        </w:rPr>
        <w:t>:</w:t>
      </w:r>
      <w:r w:rsidRPr="00D335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General </w:t>
      </w:r>
      <w:r w:rsidRPr="00D33598">
        <w:rPr>
          <w:rFonts w:ascii="Arial" w:hAnsi="Arial" w:cs="Arial"/>
        </w:rPr>
        <w:t>Roadmap for generating political commitment in Nigerian states</w:t>
      </w:r>
      <w:bookmarkEnd w:id="5"/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3704"/>
        <w:gridCol w:w="3705"/>
        <w:gridCol w:w="3706"/>
        <w:gridCol w:w="3706"/>
      </w:tblGrid>
      <w:tr w:rsidR="0034600D" w:rsidRPr="00D33598" w:rsidTr="00312C3E">
        <w:trPr>
          <w:jc w:val="center"/>
        </w:trPr>
        <w:tc>
          <w:tcPr>
            <w:tcW w:w="3704" w:type="dxa"/>
          </w:tcPr>
          <w:bookmarkEnd w:id="6"/>
          <w:p w:rsidR="0034600D" w:rsidRPr="00B75F00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F00">
              <w:rPr>
                <w:rFonts w:ascii="Arial" w:hAnsi="Arial" w:cs="Arial"/>
                <w:b/>
                <w:sz w:val="20"/>
                <w:szCs w:val="20"/>
              </w:rPr>
              <w:lastRenderedPageBreak/>
              <w:t>Audiences</w:t>
            </w:r>
          </w:p>
        </w:tc>
        <w:tc>
          <w:tcPr>
            <w:tcW w:w="3705" w:type="dxa"/>
          </w:tcPr>
          <w:p w:rsidR="0034600D" w:rsidRPr="00B75F00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F0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3706" w:type="dxa"/>
          </w:tcPr>
          <w:p w:rsidR="0034600D" w:rsidRPr="00B75F00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F00">
              <w:rPr>
                <w:rFonts w:ascii="Arial" w:hAnsi="Arial" w:cs="Arial"/>
                <w:b/>
                <w:sz w:val="20"/>
                <w:szCs w:val="20"/>
              </w:rPr>
              <w:t>Indicators</w:t>
            </w:r>
          </w:p>
        </w:tc>
        <w:tc>
          <w:tcPr>
            <w:tcW w:w="3706" w:type="dxa"/>
          </w:tcPr>
          <w:p w:rsidR="0034600D" w:rsidRPr="00B75F00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F00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</w:tr>
      <w:tr w:rsidR="0034600D" w:rsidRPr="00D33598" w:rsidTr="00312C3E">
        <w:trPr>
          <w:jc w:val="center"/>
        </w:trPr>
        <w:tc>
          <w:tcPr>
            <w:tcW w:w="3704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Governors and Deputy governors.</w:t>
            </w:r>
          </w:p>
        </w:tc>
        <w:tc>
          <w:tcPr>
            <w:tcW w:w="3705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Invite them to a briefing on importance of nutrition.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Follow-up state champions on using their influence for malnutrition.</w:t>
            </w:r>
          </w:p>
        </w:tc>
        <w:tc>
          <w:tcPr>
            <w:tcW w:w="370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Number of political commitment speeches.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Number of meeting held with nutrition audience. </w:t>
            </w:r>
          </w:p>
        </w:tc>
        <w:tc>
          <w:tcPr>
            <w:tcW w:w="370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State Committee for Food and Nutrition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CSO</w:t>
            </w:r>
            <w:r w:rsidRPr="00912703">
              <w:rPr>
                <w:rStyle w:val="FootnoteReference"/>
              </w:rPr>
              <w:footnoteReference w:id="4"/>
            </w:r>
            <w:r w:rsidRPr="00D335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Ministry of Health.</w:t>
            </w:r>
          </w:p>
        </w:tc>
      </w:tr>
      <w:tr w:rsidR="0034600D" w:rsidRPr="00D33598" w:rsidTr="00312C3E">
        <w:trPr>
          <w:jc w:val="center"/>
        </w:trPr>
        <w:tc>
          <w:tcPr>
            <w:tcW w:w="3704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Commissioners of key nutrition-sensitive ministries.</w:t>
            </w:r>
          </w:p>
        </w:tc>
        <w:tc>
          <w:tcPr>
            <w:tcW w:w="3705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Track nutrition-sensitive budget.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Sector specific meeting on contribution to nutrition.</w:t>
            </w:r>
          </w:p>
          <w:p w:rsidR="0034600D" w:rsidRPr="00D33598" w:rsidRDefault="0034600D" w:rsidP="00312C3E">
            <w:pPr>
              <w:widowControl w:val="0"/>
              <w:spacing w:line="36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Increased budgetary allocation to nutrition.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Percent of released funds.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Nutrition related activities in the line ministries. </w:t>
            </w:r>
          </w:p>
        </w:tc>
        <w:tc>
          <w:tcPr>
            <w:tcW w:w="370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State Committee for Food and Nutrition</w:t>
            </w:r>
            <w:r w:rsidRPr="00D33598" w:rsidDel="00380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598">
              <w:rPr>
                <w:rFonts w:ascii="Arial" w:hAnsi="Arial" w:cs="Arial"/>
                <w:sz w:val="20"/>
                <w:szCs w:val="20"/>
              </w:rPr>
              <w:t>Ministry of Budget and Economic Planning.</w:t>
            </w:r>
          </w:p>
        </w:tc>
      </w:tr>
      <w:tr w:rsidR="0034600D" w:rsidRPr="00D33598" w:rsidTr="00312C3E">
        <w:trPr>
          <w:jc w:val="center"/>
        </w:trPr>
        <w:tc>
          <w:tcPr>
            <w:tcW w:w="3704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State Committee of Food and nutrition.</w:t>
            </w:r>
          </w:p>
        </w:tc>
        <w:tc>
          <w:tcPr>
            <w:tcW w:w="3705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Training needs assessment for the various line ministries on nutrition. 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Nutrition budget strategy.</w:t>
            </w:r>
          </w:p>
        </w:tc>
        <w:tc>
          <w:tcPr>
            <w:tcW w:w="370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Number of policy documents.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Alignment of ministerial programmes.</w:t>
            </w:r>
          </w:p>
        </w:tc>
        <w:tc>
          <w:tcPr>
            <w:tcW w:w="370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Ministry of Health.</w:t>
            </w:r>
          </w:p>
        </w:tc>
      </w:tr>
      <w:tr w:rsidR="0034600D" w:rsidRPr="00D33598" w:rsidTr="00312C3E">
        <w:trPr>
          <w:jc w:val="center"/>
        </w:trPr>
        <w:tc>
          <w:tcPr>
            <w:tcW w:w="3704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Civil Society Organisations.</w:t>
            </w:r>
          </w:p>
        </w:tc>
        <w:tc>
          <w:tcPr>
            <w:tcW w:w="3705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Map active CSOs in the state.</w:t>
            </w:r>
          </w:p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Number of CSOs in the states.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Increase in number of Local Government Areas where CSOs work.</w:t>
            </w:r>
          </w:p>
        </w:tc>
        <w:tc>
          <w:tcPr>
            <w:tcW w:w="370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Ministry of Health.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State Committee for Food and Nutrition</w:t>
            </w:r>
          </w:p>
        </w:tc>
      </w:tr>
      <w:tr w:rsidR="0034600D" w:rsidRPr="00D33598" w:rsidTr="00312C3E">
        <w:trPr>
          <w:jc w:val="center"/>
        </w:trPr>
        <w:tc>
          <w:tcPr>
            <w:tcW w:w="3704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Media.</w:t>
            </w:r>
          </w:p>
        </w:tc>
        <w:tc>
          <w:tcPr>
            <w:tcW w:w="3705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Train state journalists on nutrition issues and nutrition reporting.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Follow up media houses on nutrition reporting in the state.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Regular press briefing on nutrition-related issues.</w:t>
            </w:r>
          </w:p>
        </w:tc>
        <w:tc>
          <w:tcPr>
            <w:tcW w:w="370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Number of state-based media houses reporting on nutrition.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Media database.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Press briefing on nutrition.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Number of journalists trained on nutrition.</w:t>
            </w:r>
          </w:p>
        </w:tc>
        <w:tc>
          <w:tcPr>
            <w:tcW w:w="370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State Committee for Food and Nutrition</w:t>
            </w:r>
          </w:p>
        </w:tc>
      </w:tr>
    </w:tbl>
    <w:p w:rsidR="0034600D" w:rsidRPr="00D33598" w:rsidRDefault="0034600D" w:rsidP="0034600D">
      <w:pPr>
        <w:widowControl w:val="0"/>
        <w:spacing w:line="360" w:lineRule="auto"/>
        <w:rPr>
          <w:rFonts w:ascii="Arial" w:eastAsia="Calibri" w:hAnsi="Arial" w:cs="Arial"/>
        </w:rPr>
        <w:sectPr w:rsidR="0034600D" w:rsidRPr="00D33598" w:rsidSect="00213C4D">
          <w:pgSz w:w="16838" w:h="11906" w:orient="landscape" w:code="9"/>
          <w:pgMar w:top="1440" w:right="567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</w:p>
    <w:p w:rsidR="0034600D" w:rsidRPr="00D33598" w:rsidRDefault="0034600D" w:rsidP="0034600D">
      <w:pPr>
        <w:widowControl w:val="0"/>
        <w:rPr>
          <w:rFonts w:ascii="Arial" w:eastAsia="Calibri" w:hAnsi="Arial" w:cs="Arial"/>
        </w:rPr>
      </w:pPr>
      <w:bookmarkStart w:id="7" w:name="_Hlk48751167"/>
      <w:r>
        <w:rPr>
          <w:rFonts w:ascii="Arial" w:hAnsi="Arial" w:cs="Arial"/>
        </w:rPr>
        <w:t xml:space="preserve">Roadmap </w:t>
      </w:r>
      <w:r w:rsidRPr="00D33598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4.3:</w:t>
      </w:r>
      <w:r w:rsidRPr="00D33598">
        <w:rPr>
          <w:rFonts w:ascii="Arial" w:hAnsi="Arial" w:cs="Arial"/>
        </w:rPr>
        <w:t xml:space="preserve"> Roadmap for Anambra State</w:t>
      </w:r>
    </w:p>
    <w:tbl>
      <w:tblPr>
        <w:tblStyle w:val="TableGrid11"/>
        <w:tblW w:w="14459" w:type="dxa"/>
        <w:jc w:val="center"/>
        <w:tblLook w:val="04A0" w:firstRow="1" w:lastRow="0" w:firstColumn="1" w:lastColumn="0" w:noHBand="0" w:noVBand="1"/>
      </w:tblPr>
      <w:tblGrid>
        <w:gridCol w:w="1396"/>
        <w:gridCol w:w="2463"/>
        <w:gridCol w:w="2840"/>
        <w:gridCol w:w="3243"/>
        <w:gridCol w:w="2242"/>
        <w:gridCol w:w="2275"/>
      </w:tblGrid>
      <w:tr w:rsidR="0034600D" w:rsidRPr="00D33598" w:rsidTr="00312C3E">
        <w:trPr>
          <w:trHeight w:val="367"/>
          <w:jc w:val="center"/>
        </w:trPr>
        <w:tc>
          <w:tcPr>
            <w:tcW w:w="851" w:type="dxa"/>
          </w:tcPr>
          <w:bookmarkEnd w:id="7"/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Where</w:t>
            </w:r>
          </w:p>
        </w:tc>
        <w:tc>
          <w:tcPr>
            <w:tcW w:w="2826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Goal</w:t>
            </w:r>
          </w:p>
        </w:tc>
        <w:tc>
          <w:tcPr>
            <w:tcW w:w="3009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Action</w:t>
            </w:r>
          </w:p>
        </w:tc>
        <w:tc>
          <w:tcPr>
            <w:tcW w:w="3689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Programme input</w:t>
            </w:r>
          </w:p>
        </w:tc>
        <w:tc>
          <w:tcPr>
            <w:tcW w:w="2248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Programme output</w:t>
            </w:r>
          </w:p>
        </w:tc>
        <w:tc>
          <w:tcPr>
            <w:tcW w:w="1836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Who</w:t>
            </w:r>
          </w:p>
        </w:tc>
      </w:tr>
      <w:tr w:rsidR="0034600D" w:rsidRPr="00D33598" w:rsidTr="00312C3E">
        <w:trPr>
          <w:trHeight w:val="2144"/>
          <w:jc w:val="center"/>
        </w:trPr>
        <w:tc>
          <w:tcPr>
            <w:tcW w:w="851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lastRenderedPageBreak/>
              <w:t>Education.</w:t>
            </w:r>
          </w:p>
        </w:tc>
        <w:tc>
          <w:tcPr>
            <w:tcW w:w="282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ind w:left="471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Target identified LGAs.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ind w:left="471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Increase quality of Early Childhood Development.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ind w:left="471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Increase enrolment.</w:t>
            </w:r>
          </w:p>
        </w:tc>
        <w:tc>
          <w:tcPr>
            <w:tcW w:w="300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Integration.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State level commitment.</w:t>
            </w:r>
          </w:p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8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Employ more teachers.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Enhance quality assurance.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child tracking system.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Training of parents.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Increased Funding.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Growth monitoring equipment and capacity.</w:t>
            </w:r>
          </w:p>
        </w:tc>
        <w:tc>
          <w:tcPr>
            <w:tcW w:w="2248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enrolment and access to education.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Monitoring and evaluation reports.</w:t>
            </w:r>
          </w:p>
        </w:tc>
        <w:tc>
          <w:tcPr>
            <w:tcW w:w="183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State directors.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Governor’s office.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SCFN</w:t>
            </w:r>
            <w:r w:rsidRPr="00912703">
              <w:rPr>
                <w:rStyle w:val="FootnoteReference"/>
              </w:rPr>
              <w:footnoteReference w:id="5"/>
            </w:r>
            <w:r w:rsidRPr="00D33598">
              <w:rPr>
                <w:rFonts w:ascii="Arial" w:hAnsi="Arial" w:cs="Arial"/>
                <w:sz w:val="20"/>
              </w:rPr>
              <w:t>.</w:t>
            </w:r>
          </w:p>
        </w:tc>
      </w:tr>
      <w:tr w:rsidR="0034600D" w:rsidRPr="00D33598" w:rsidTr="00312C3E">
        <w:trPr>
          <w:trHeight w:val="183"/>
          <w:jc w:val="center"/>
        </w:trPr>
        <w:tc>
          <w:tcPr>
            <w:tcW w:w="851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Social Welfare.</w:t>
            </w:r>
          </w:p>
        </w:tc>
        <w:tc>
          <w:tcPr>
            <w:tcW w:w="282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ind w:left="471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skills</w:t>
            </w:r>
            <w:r w:rsidRPr="00912703">
              <w:rPr>
                <w:rStyle w:val="FootnoteReference"/>
              </w:rPr>
              <w:footnoteReference w:id="6"/>
            </w:r>
            <w:r w:rsidRPr="00D33598">
              <w:rPr>
                <w:rFonts w:ascii="Arial" w:hAnsi="Arial" w:cs="Arial"/>
                <w:sz w:val="20"/>
              </w:rPr>
              <w:t xml:space="preserve"> for employment.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ind w:left="471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nutrition knowledge.</w:t>
            </w:r>
          </w:p>
        </w:tc>
        <w:tc>
          <w:tcPr>
            <w:tcW w:w="300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Integration with other sectors.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 xml:space="preserve">Targeting of Local Government Areas with </w:t>
            </w:r>
            <w:r w:rsidRPr="00D33598">
              <w:rPr>
                <w:rFonts w:ascii="Arial" w:hAnsi="Arial" w:cs="Arial"/>
                <w:noProof/>
                <w:sz w:val="20"/>
              </w:rPr>
              <w:t>high</w:t>
            </w:r>
            <w:r w:rsidRPr="00D33598">
              <w:rPr>
                <w:rFonts w:ascii="Arial" w:hAnsi="Arial" w:cs="Arial"/>
                <w:sz w:val="20"/>
              </w:rPr>
              <w:t xml:space="preserve"> burden.</w:t>
            </w:r>
          </w:p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8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training curriculum.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Availability of equipment</w:t>
            </w:r>
            <w:r w:rsidRPr="00912703">
              <w:rPr>
                <w:rStyle w:val="FootnoteReference"/>
              </w:rPr>
              <w:footnoteReference w:id="7"/>
            </w:r>
            <w:r w:rsidRPr="00D33598">
              <w:rPr>
                <w:rFonts w:ascii="Arial" w:hAnsi="Arial" w:cs="Arial"/>
                <w:sz w:val="20"/>
              </w:rPr>
              <w:t>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Quality assurance.</w:t>
            </w:r>
          </w:p>
        </w:tc>
        <w:tc>
          <w:tcPr>
            <w:tcW w:w="2248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skills acquisition.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Increased nutrition/health knowledge.</w:t>
            </w:r>
          </w:p>
        </w:tc>
        <w:tc>
          <w:tcPr>
            <w:tcW w:w="183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State directors.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Governor’s office.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SCFN.</w:t>
            </w:r>
          </w:p>
        </w:tc>
      </w:tr>
      <w:tr w:rsidR="0034600D" w:rsidRPr="00D33598" w:rsidTr="00312C3E">
        <w:trPr>
          <w:trHeight w:val="183"/>
          <w:jc w:val="center"/>
        </w:trPr>
        <w:tc>
          <w:tcPr>
            <w:tcW w:w="851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Environment.</w:t>
            </w:r>
          </w:p>
        </w:tc>
        <w:tc>
          <w:tcPr>
            <w:tcW w:w="282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ind w:left="471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 sanitation in the state.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ind w:left="471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 citizen environmental awareness.</w:t>
            </w:r>
          </w:p>
        </w:tc>
        <w:tc>
          <w:tcPr>
            <w:tcW w:w="300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Alignment of waste management and ministry.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Formation of state environmental task force.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Advocacy.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proofErr w:type="spellStart"/>
            <w:r w:rsidRPr="00D33598">
              <w:rPr>
                <w:rFonts w:ascii="Arial" w:hAnsi="Arial" w:cs="Arial"/>
                <w:sz w:val="20"/>
              </w:rPr>
              <w:lastRenderedPageBreak/>
              <w:t>Intersectoral</w:t>
            </w:r>
            <w:proofErr w:type="spellEnd"/>
            <w:r w:rsidRPr="00D33598">
              <w:rPr>
                <w:rFonts w:ascii="Arial" w:hAnsi="Arial" w:cs="Arial"/>
                <w:sz w:val="20"/>
              </w:rPr>
              <w:t xml:space="preserve"> collaboration.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Develop indicators.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Institutional independence.</w:t>
            </w:r>
          </w:p>
        </w:tc>
        <w:tc>
          <w:tcPr>
            <w:tcW w:w="368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lastRenderedPageBreak/>
              <w:t>Employ qualified environmental officers.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Implement environmental inspections.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Enhance quality assurance.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lastRenderedPageBreak/>
              <w:t>Active information and education campaigns and BCC</w:t>
            </w:r>
            <w:r w:rsidRPr="00912703">
              <w:rPr>
                <w:rStyle w:val="FootnoteReference"/>
              </w:rPr>
              <w:footnoteReference w:id="8"/>
            </w:r>
            <w:r w:rsidRPr="00D33598">
              <w:rPr>
                <w:rFonts w:ascii="Arial" w:hAnsi="Arial" w:cs="Arial"/>
                <w:sz w:val="20"/>
              </w:rPr>
              <w:t>.</w:t>
            </w:r>
          </w:p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lastRenderedPageBreak/>
              <w:t>Monthly reports.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sanitation.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 xml:space="preserve">Increased citizen awareness, </w:t>
            </w:r>
            <w:r w:rsidRPr="00D33598">
              <w:rPr>
                <w:rFonts w:ascii="Arial" w:hAnsi="Arial" w:cs="Arial"/>
                <w:sz w:val="20"/>
              </w:rPr>
              <w:lastRenderedPageBreak/>
              <w:t>knowledge and practice.</w:t>
            </w:r>
          </w:p>
        </w:tc>
        <w:tc>
          <w:tcPr>
            <w:tcW w:w="183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lastRenderedPageBreak/>
              <w:t>State directors.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Governor’s office.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SCFN.</w:t>
            </w:r>
          </w:p>
        </w:tc>
      </w:tr>
      <w:tr w:rsidR="0034600D" w:rsidRPr="00D33598" w:rsidTr="00312C3E">
        <w:trPr>
          <w:trHeight w:val="183"/>
          <w:jc w:val="center"/>
        </w:trPr>
        <w:tc>
          <w:tcPr>
            <w:tcW w:w="851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lastRenderedPageBreak/>
              <w:t>Agriculture.</w:t>
            </w:r>
          </w:p>
        </w:tc>
        <w:tc>
          <w:tcPr>
            <w:tcW w:w="282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ind w:left="471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 xml:space="preserve">Increased </w:t>
            </w:r>
            <w:proofErr w:type="gramStart"/>
            <w:r w:rsidRPr="00D33598">
              <w:rPr>
                <w:rFonts w:ascii="Arial" w:hAnsi="Arial" w:cs="Arial"/>
                <w:sz w:val="20"/>
              </w:rPr>
              <w:t>farmers</w:t>
            </w:r>
            <w:proofErr w:type="gramEnd"/>
            <w:r w:rsidRPr="00D33598">
              <w:rPr>
                <w:rFonts w:ascii="Arial" w:hAnsi="Arial" w:cs="Arial"/>
                <w:sz w:val="20"/>
              </w:rPr>
              <w:t xml:space="preserve"> income.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ind w:left="471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Increased nutrition knowledge.</w:t>
            </w:r>
          </w:p>
        </w:tc>
        <w:tc>
          <w:tcPr>
            <w:tcW w:w="300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Integration.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Sustainability strategies.</w:t>
            </w:r>
          </w:p>
        </w:tc>
        <w:tc>
          <w:tcPr>
            <w:tcW w:w="368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Strengthen the nutrition BCC.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Train extension agents on nutrition pathways.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Strengthen exit strategies for sustainability.</w:t>
            </w:r>
          </w:p>
        </w:tc>
        <w:tc>
          <w:tcPr>
            <w:tcW w:w="2248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 xml:space="preserve">Increased </w:t>
            </w:r>
            <w:proofErr w:type="gramStart"/>
            <w:r w:rsidRPr="00D33598">
              <w:rPr>
                <w:rFonts w:ascii="Arial" w:hAnsi="Arial" w:cs="Arial"/>
                <w:sz w:val="20"/>
              </w:rPr>
              <w:t>farmers</w:t>
            </w:r>
            <w:proofErr w:type="gramEnd"/>
            <w:r w:rsidRPr="00D33598">
              <w:rPr>
                <w:rFonts w:ascii="Arial" w:hAnsi="Arial" w:cs="Arial"/>
                <w:sz w:val="20"/>
              </w:rPr>
              <w:t xml:space="preserve"> income.</w:t>
            </w:r>
          </w:p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State directors.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Governor’s office.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SCFN.</w:t>
            </w:r>
          </w:p>
        </w:tc>
      </w:tr>
    </w:tbl>
    <w:p w:rsidR="0034600D" w:rsidRPr="00D33598" w:rsidRDefault="0034600D" w:rsidP="0034600D">
      <w:pPr>
        <w:widowControl w:val="0"/>
        <w:rPr>
          <w:rFonts w:ascii="Arial" w:hAnsi="Arial" w:cs="Arial"/>
          <w:b/>
          <w:sz w:val="24"/>
          <w:highlight w:val="lightGray"/>
        </w:rPr>
      </w:pPr>
      <w:r w:rsidRPr="00D33598">
        <w:rPr>
          <w:rFonts w:ascii="Arial" w:hAnsi="Arial" w:cs="Arial"/>
          <w:b/>
          <w:sz w:val="24"/>
          <w:highlight w:val="lightGray"/>
        </w:rPr>
        <w:br w:type="page"/>
      </w:r>
    </w:p>
    <w:p w:rsidR="0034600D" w:rsidRPr="00D33598" w:rsidRDefault="0034600D" w:rsidP="0034600D">
      <w:pPr>
        <w:widowControl w:val="0"/>
        <w:rPr>
          <w:rFonts w:ascii="Arial" w:eastAsia="Calibri" w:hAnsi="Arial" w:cs="Arial"/>
        </w:rPr>
      </w:pPr>
      <w:bookmarkStart w:id="8" w:name="_Ref536520886"/>
      <w:bookmarkStart w:id="9" w:name="_Ref529179223"/>
      <w:bookmarkStart w:id="10" w:name="_Toc536589898"/>
      <w:bookmarkStart w:id="11" w:name="_Hlk48751206"/>
      <w:r>
        <w:rPr>
          <w:rFonts w:ascii="Arial" w:hAnsi="Arial" w:cs="Arial"/>
        </w:rPr>
        <w:lastRenderedPageBreak/>
        <w:t xml:space="preserve">Roadmap </w:t>
      </w:r>
      <w:r w:rsidRPr="00D33598">
        <w:rPr>
          <w:rFonts w:ascii="Arial" w:hAnsi="Arial" w:cs="Arial"/>
        </w:rPr>
        <w:t xml:space="preserve">Table </w:t>
      </w:r>
      <w:bookmarkEnd w:id="8"/>
      <w:bookmarkEnd w:id="9"/>
      <w:r>
        <w:rPr>
          <w:rFonts w:ascii="Arial" w:hAnsi="Arial" w:cs="Arial"/>
        </w:rPr>
        <w:t>4.4</w:t>
      </w:r>
      <w:r w:rsidRPr="00D33598">
        <w:rPr>
          <w:rFonts w:ascii="Arial" w:hAnsi="Arial" w:cs="Arial"/>
        </w:rPr>
        <w:t xml:space="preserve">: Roadmap for </w:t>
      </w:r>
      <w:proofErr w:type="spellStart"/>
      <w:r w:rsidRPr="00D33598">
        <w:rPr>
          <w:rFonts w:ascii="Arial" w:hAnsi="Arial" w:cs="Arial"/>
        </w:rPr>
        <w:t>Kebbi</w:t>
      </w:r>
      <w:proofErr w:type="spellEnd"/>
      <w:r w:rsidRPr="00D33598">
        <w:rPr>
          <w:rFonts w:ascii="Arial" w:hAnsi="Arial" w:cs="Arial"/>
        </w:rPr>
        <w:t xml:space="preserve"> State</w:t>
      </w:r>
      <w:bookmarkEnd w:id="10"/>
    </w:p>
    <w:tbl>
      <w:tblPr>
        <w:tblStyle w:val="TableGrid11"/>
        <w:tblW w:w="0" w:type="auto"/>
        <w:tblInd w:w="-714" w:type="dxa"/>
        <w:tblLook w:val="04A0" w:firstRow="1" w:lastRow="0" w:firstColumn="1" w:lastColumn="0" w:noHBand="0" w:noVBand="1"/>
      </w:tblPr>
      <w:tblGrid>
        <w:gridCol w:w="1395"/>
        <w:gridCol w:w="2440"/>
        <w:gridCol w:w="3703"/>
        <w:gridCol w:w="3068"/>
        <w:gridCol w:w="2558"/>
        <w:gridCol w:w="1724"/>
      </w:tblGrid>
      <w:tr w:rsidR="0034600D" w:rsidRPr="00D33598" w:rsidTr="00312C3E">
        <w:trPr>
          <w:trHeight w:val="367"/>
        </w:trPr>
        <w:tc>
          <w:tcPr>
            <w:tcW w:w="1267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bookmarkStart w:id="12" w:name="_Hlk517091388"/>
            <w:bookmarkEnd w:id="11"/>
            <w:r w:rsidRPr="00D33598">
              <w:rPr>
                <w:rFonts w:ascii="Arial" w:hAnsi="Arial" w:cs="Arial"/>
                <w:sz w:val="20"/>
              </w:rPr>
              <w:t>Where</w:t>
            </w:r>
          </w:p>
        </w:tc>
        <w:tc>
          <w:tcPr>
            <w:tcW w:w="2561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Goal</w:t>
            </w:r>
          </w:p>
        </w:tc>
        <w:tc>
          <w:tcPr>
            <w:tcW w:w="3969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Action</w:t>
            </w:r>
          </w:p>
        </w:tc>
        <w:tc>
          <w:tcPr>
            <w:tcW w:w="3260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Programme input</w:t>
            </w:r>
          </w:p>
        </w:tc>
        <w:tc>
          <w:tcPr>
            <w:tcW w:w="2684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Programme output</w:t>
            </w:r>
          </w:p>
        </w:tc>
        <w:tc>
          <w:tcPr>
            <w:tcW w:w="1763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Who</w:t>
            </w:r>
          </w:p>
        </w:tc>
      </w:tr>
      <w:tr w:rsidR="0034600D" w:rsidRPr="00D33598" w:rsidTr="00312C3E">
        <w:trPr>
          <w:trHeight w:val="1770"/>
        </w:trPr>
        <w:tc>
          <w:tcPr>
            <w:tcW w:w="1267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Education.</w:t>
            </w:r>
          </w:p>
        </w:tc>
        <w:tc>
          <w:tcPr>
            <w:tcW w:w="2561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3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Target LGAs with high malnutrition.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3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Increase quality of ECD.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3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Increase enrolment.</w:t>
            </w:r>
          </w:p>
        </w:tc>
        <w:tc>
          <w:tcPr>
            <w:tcW w:w="396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Integration.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State level commitment.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Cultural sensitivity.</w:t>
            </w:r>
          </w:p>
        </w:tc>
        <w:tc>
          <w:tcPr>
            <w:tcW w:w="3260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Employ more teachers.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Enhance quality assurance.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child tracking system.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Training of parents.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Appropriate funding.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Growth monitoring equipment and capacity.</w:t>
            </w:r>
          </w:p>
        </w:tc>
        <w:tc>
          <w:tcPr>
            <w:tcW w:w="2684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6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enrolment and access to education.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6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Monitoring and evaluation reports</w:t>
            </w:r>
            <w:r w:rsidRPr="00912703">
              <w:rPr>
                <w:rStyle w:val="FootnoteReference"/>
              </w:rPr>
              <w:footnoteReference w:id="9"/>
            </w:r>
            <w:r w:rsidRPr="00D335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63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State directors.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Governor’s office.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State Committee for Food and Nutrition</w:t>
            </w:r>
          </w:p>
        </w:tc>
      </w:tr>
      <w:tr w:rsidR="0034600D" w:rsidRPr="00D33598" w:rsidTr="00312C3E">
        <w:trPr>
          <w:trHeight w:val="183"/>
        </w:trPr>
        <w:tc>
          <w:tcPr>
            <w:tcW w:w="1267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Social Welfare.</w:t>
            </w:r>
          </w:p>
        </w:tc>
        <w:tc>
          <w:tcPr>
            <w:tcW w:w="2561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3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skills for employment.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3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nutrition knowledge.</w:t>
            </w:r>
          </w:p>
        </w:tc>
        <w:tc>
          <w:tcPr>
            <w:tcW w:w="396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Integration with other sectors.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 xml:space="preserve">Targeting of LGAs with a </w:t>
            </w:r>
            <w:r w:rsidRPr="00D33598">
              <w:rPr>
                <w:rFonts w:ascii="Arial" w:hAnsi="Arial" w:cs="Arial"/>
                <w:noProof/>
                <w:sz w:val="20"/>
              </w:rPr>
              <w:t>high</w:t>
            </w:r>
            <w:r w:rsidRPr="00D33598">
              <w:rPr>
                <w:rFonts w:ascii="Arial" w:hAnsi="Arial" w:cs="Arial"/>
                <w:sz w:val="20"/>
              </w:rPr>
              <w:t xml:space="preserve"> burden.</w:t>
            </w:r>
          </w:p>
          <w:p w:rsidR="0034600D" w:rsidRPr="00D33598" w:rsidRDefault="0034600D" w:rsidP="00312C3E">
            <w:pPr>
              <w:widowControl w:val="0"/>
              <w:spacing w:line="360" w:lineRule="auto"/>
              <w:ind w:left="452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training curriculum.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Availability of equipment.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Quality assurance of training programme.</w:t>
            </w:r>
          </w:p>
        </w:tc>
        <w:tc>
          <w:tcPr>
            <w:tcW w:w="2684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6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skills acquisition.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6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Increased nutrition/health knowledge.</w:t>
            </w:r>
          </w:p>
        </w:tc>
        <w:tc>
          <w:tcPr>
            <w:tcW w:w="1763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State directors.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Governor’s office.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SCFN.</w:t>
            </w:r>
          </w:p>
        </w:tc>
      </w:tr>
      <w:tr w:rsidR="0034600D" w:rsidRPr="00D33598" w:rsidTr="00312C3E">
        <w:trPr>
          <w:trHeight w:val="183"/>
        </w:trPr>
        <w:tc>
          <w:tcPr>
            <w:tcW w:w="1267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Environment.</w:t>
            </w:r>
          </w:p>
        </w:tc>
        <w:tc>
          <w:tcPr>
            <w:tcW w:w="2561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3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 sanitation in the state.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3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 citizen environmental awareness.</w:t>
            </w:r>
          </w:p>
        </w:tc>
        <w:tc>
          <w:tcPr>
            <w:tcW w:w="396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Alignment of waste management and ministry.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Formation of state environmental task force.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Advocacy.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proofErr w:type="spellStart"/>
            <w:r w:rsidRPr="00D33598">
              <w:rPr>
                <w:rFonts w:ascii="Arial" w:hAnsi="Arial" w:cs="Arial"/>
                <w:sz w:val="20"/>
              </w:rPr>
              <w:t>Intersectoral</w:t>
            </w:r>
            <w:proofErr w:type="spellEnd"/>
            <w:r w:rsidRPr="00D33598">
              <w:rPr>
                <w:rFonts w:ascii="Arial" w:hAnsi="Arial" w:cs="Arial"/>
                <w:sz w:val="20"/>
              </w:rPr>
              <w:t xml:space="preserve"> collaboration.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Develop indicators.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lastRenderedPageBreak/>
              <w:t>Cultural sensitivity in employment.</w:t>
            </w:r>
          </w:p>
        </w:tc>
        <w:tc>
          <w:tcPr>
            <w:tcW w:w="3260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lastRenderedPageBreak/>
              <w:t>Employ qualified environmental officers.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Implement environmental inspections.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Enhance quality assurance.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 xml:space="preserve">Active information and </w:t>
            </w:r>
            <w:r w:rsidRPr="00D33598">
              <w:rPr>
                <w:rFonts w:ascii="Arial" w:hAnsi="Arial" w:cs="Arial"/>
                <w:sz w:val="20"/>
              </w:rPr>
              <w:lastRenderedPageBreak/>
              <w:t>education campaigns and BCC</w:t>
            </w:r>
            <w:r w:rsidRPr="00912703">
              <w:rPr>
                <w:rStyle w:val="FootnoteReference"/>
              </w:rPr>
              <w:footnoteReference w:id="10"/>
            </w:r>
            <w:r w:rsidRPr="00D33598">
              <w:rPr>
                <w:rFonts w:ascii="Arial" w:hAnsi="Arial" w:cs="Arial"/>
                <w:sz w:val="20"/>
              </w:rPr>
              <w:t>.</w:t>
            </w:r>
          </w:p>
          <w:p w:rsidR="0034600D" w:rsidRPr="00D33598" w:rsidRDefault="0034600D" w:rsidP="00312C3E">
            <w:pPr>
              <w:widowControl w:val="0"/>
              <w:spacing w:line="360" w:lineRule="auto"/>
              <w:ind w:left="454"/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6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lastRenderedPageBreak/>
              <w:t>Monthly reports.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6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Improved sanitation.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6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 xml:space="preserve">Increased citizen awareness, knowledge and practice </w:t>
            </w:r>
          </w:p>
        </w:tc>
        <w:tc>
          <w:tcPr>
            <w:tcW w:w="1763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State directors.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Governor’s office.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 xml:space="preserve">State Committee for Food and </w:t>
            </w:r>
            <w:r w:rsidRPr="00D33598">
              <w:rPr>
                <w:rFonts w:ascii="Arial" w:hAnsi="Arial" w:cs="Arial"/>
                <w:sz w:val="20"/>
                <w:szCs w:val="20"/>
              </w:rPr>
              <w:lastRenderedPageBreak/>
              <w:t>Nutrition</w:t>
            </w:r>
          </w:p>
        </w:tc>
      </w:tr>
      <w:tr w:rsidR="0034600D" w:rsidRPr="00D33598" w:rsidTr="00312C3E">
        <w:trPr>
          <w:trHeight w:val="183"/>
        </w:trPr>
        <w:tc>
          <w:tcPr>
            <w:tcW w:w="1267" w:type="dxa"/>
          </w:tcPr>
          <w:p w:rsidR="0034600D" w:rsidRPr="00D33598" w:rsidRDefault="0034600D" w:rsidP="00312C3E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lastRenderedPageBreak/>
              <w:t>Agriculture.</w:t>
            </w:r>
          </w:p>
        </w:tc>
        <w:tc>
          <w:tcPr>
            <w:tcW w:w="2561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3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 xml:space="preserve">Increased </w:t>
            </w:r>
            <w:proofErr w:type="gramStart"/>
            <w:r w:rsidRPr="00D33598">
              <w:rPr>
                <w:rFonts w:ascii="Arial" w:hAnsi="Arial" w:cs="Arial"/>
                <w:sz w:val="20"/>
              </w:rPr>
              <w:t>farmers</w:t>
            </w:r>
            <w:proofErr w:type="gramEnd"/>
            <w:r w:rsidRPr="00D33598">
              <w:rPr>
                <w:rFonts w:ascii="Arial" w:hAnsi="Arial" w:cs="Arial"/>
                <w:sz w:val="20"/>
              </w:rPr>
              <w:t xml:space="preserve"> income.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3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Increased nutrition knowledge.</w:t>
            </w:r>
          </w:p>
        </w:tc>
        <w:tc>
          <w:tcPr>
            <w:tcW w:w="3969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Integration.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2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Sustainability strategies.</w:t>
            </w:r>
          </w:p>
        </w:tc>
        <w:tc>
          <w:tcPr>
            <w:tcW w:w="3260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Strengthen the nutrition BCC.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Train extension agents on nutrition pathways.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54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Strengthen exit strategies for sustainability.</w:t>
            </w:r>
          </w:p>
        </w:tc>
        <w:tc>
          <w:tcPr>
            <w:tcW w:w="2684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46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 xml:space="preserve">Increased </w:t>
            </w:r>
            <w:proofErr w:type="gramStart"/>
            <w:r w:rsidRPr="00D33598">
              <w:rPr>
                <w:rFonts w:ascii="Arial" w:hAnsi="Arial" w:cs="Arial"/>
                <w:sz w:val="20"/>
              </w:rPr>
              <w:t>farmers</w:t>
            </w:r>
            <w:proofErr w:type="gramEnd"/>
            <w:r w:rsidRPr="00D33598">
              <w:rPr>
                <w:rFonts w:ascii="Arial" w:hAnsi="Arial" w:cs="Arial"/>
                <w:sz w:val="20"/>
              </w:rPr>
              <w:t xml:space="preserve"> income.</w:t>
            </w:r>
          </w:p>
          <w:p w:rsidR="0034600D" w:rsidRPr="00D33598" w:rsidRDefault="0034600D" w:rsidP="00312C3E">
            <w:pPr>
              <w:widowControl w:val="0"/>
              <w:spacing w:line="360" w:lineRule="auto"/>
              <w:ind w:left="465"/>
              <w:rPr>
                <w:rFonts w:ascii="Arial" w:hAnsi="Arial" w:cs="Arial"/>
                <w:sz w:val="20"/>
              </w:rPr>
            </w:pPr>
          </w:p>
        </w:tc>
        <w:tc>
          <w:tcPr>
            <w:tcW w:w="1763" w:type="dxa"/>
          </w:tcPr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State directors.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</w:rPr>
              <w:t>Governor’s office.</w:t>
            </w:r>
          </w:p>
          <w:p w:rsidR="0034600D" w:rsidRPr="00D33598" w:rsidRDefault="0034600D" w:rsidP="0034600D">
            <w:pPr>
              <w:widowControl w:val="0"/>
              <w:numPr>
                <w:ilvl w:val="0"/>
                <w:numId w:val="3"/>
              </w:numPr>
              <w:spacing w:line="360" w:lineRule="auto"/>
              <w:ind w:left="315"/>
              <w:contextualSpacing/>
              <w:rPr>
                <w:rFonts w:ascii="Arial" w:hAnsi="Arial" w:cs="Arial"/>
                <w:sz w:val="20"/>
              </w:rPr>
            </w:pPr>
            <w:r w:rsidRPr="00D33598">
              <w:rPr>
                <w:rFonts w:ascii="Arial" w:hAnsi="Arial" w:cs="Arial"/>
                <w:sz w:val="20"/>
                <w:szCs w:val="20"/>
              </w:rPr>
              <w:t>State Committee for Food and Nutrition</w:t>
            </w:r>
          </w:p>
        </w:tc>
      </w:tr>
      <w:bookmarkEnd w:id="12"/>
    </w:tbl>
    <w:p w:rsidR="0034600D" w:rsidRPr="003F463C" w:rsidRDefault="0034600D" w:rsidP="0034600D">
      <w:pPr>
        <w:widowControl w:val="0"/>
        <w:spacing w:line="480" w:lineRule="auto"/>
        <w:rPr>
          <w:rFonts w:ascii="Arial" w:hAnsi="Arial" w:cs="Arial"/>
        </w:rPr>
        <w:sectPr w:rsidR="0034600D" w:rsidRPr="003F463C" w:rsidSect="00213C4D">
          <w:type w:val="continuous"/>
          <w:pgSz w:w="16838" w:h="11906" w:orient="landscape" w:code="9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1" w:restart="continuous"/>
          <w:cols w:space="708"/>
          <w:docGrid w:linePitch="360"/>
        </w:sectPr>
      </w:pPr>
    </w:p>
    <w:p w:rsidR="000E4ECA" w:rsidRDefault="000E4ECA"/>
    <w:sectPr w:rsidR="000E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FA" w:rsidRDefault="002B4FFA" w:rsidP="0034600D">
      <w:pPr>
        <w:spacing w:after="0" w:line="240" w:lineRule="auto"/>
      </w:pPr>
      <w:r>
        <w:separator/>
      </w:r>
    </w:p>
  </w:endnote>
  <w:endnote w:type="continuationSeparator" w:id="0">
    <w:p w:rsidR="002B4FFA" w:rsidRDefault="002B4FFA" w:rsidP="0034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FA" w:rsidRDefault="002B4FFA" w:rsidP="0034600D">
      <w:pPr>
        <w:spacing w:after="0" w:line="240" w:lineRule="auto"/>
      </w:pPr>
      <w:r>
        <w:separator/>
      </w:r>
    </w:p>
  </w:footnote>
  <w:footnote w:type="continuationSeparator" w:id="0">
    <w:p w:rsidR="002B4FFA" w:rsidRDefault="002B4FFA" w:rsidP="0034600D">
      <w:pPr>
        <w:spacing w:after="0" w:line="240" w:lineRule="auto"/>
      </w:pPr>
      <w:r>
        <w:continuationSeparator/>
      </w:r>
    </w:p>
  </w:footnote>
  <w:footnote w:id="1">
    <w:p w:rsidR="0034600D" w:rsidRDefault="0034600D" w:rsidP="0034600D">
      <w:pPr>
        <w:pStyle w:val="FootnoteText"/>
      </w:pPr>
      <w:r w:rsidRPr="00912703">
        <w:rPr>
          <w:rStyle w:val="FootnoteReference"/>
        </w:rPr>
        <w:footnoteRef/>
      </w:r>
      <w:r>
        <w:t>NDHS 2013</w:t>
      </w:r>
    </w:p>
  </w:footnote>
  <w:footnote w:id="2">
    <w:p w:rsidR="0034600D" w:rsidRDefault="0034600D" w:rsidP="0034600D">
      <w:pPr>
        <w:pStyle w:val="FootnoteText"/>
      </w:pPr>
      <w:r w:rsidRPr="00912703">
        <w:rPr>
          <w:rStyle w:val="FootnoteReference"/>
        </w:rPr>
        <w:footnoteRef/>
      </w:r>
      <w:r>
        <w:t xml:space="preserve"> Early Childhood Development</w:t>
      </w:r>
    </w:p>
  </w:footnote>
  <w:footnote w:id="3">
    <w:p w:rsidR="0034600D" w:rsidRDefault="0034600D" w:rsidP="0034600D">
      <w:pPr>
        <w:pStyle w:val="FootnoteText"/>
      </w:pPr>
      <w:r w:rsidRPr="00912703">
        <w:rPr>
          <w:rStyle w:val="FootnoteReference"/>
        </w:rPr>
        <w:footnoteRef/>
      </w:r>
      <w:r>
        <w:t xml:space="preserve"> Local Government Area</w:t>
      </w:r>
    </w:p>
  </w:footnote>
  <w:footnote w:id="4">
    <w:p w:rsidR="0034600D" w:rsidRDefault="0034600D" w:rsidP="0034600D">
      <w:pPr>
        <w:pStyle w:val="FootnoteText"/>
      </w:pPr>
      <w:r w:rsidRPr="00912703">
        <w:rPr>
          <w:rStyle w:val="FootnoteReference"/>
        </w:rPr>
        <w:footnoteRef/>
      </w:r>
      <w:r>
        <w:t xml:space="preserve"> Civil Society Organisation</w:t>
      </w:r>
    </w:p>
  </w:footnote>
  <w:footnote w:id="5">
    <w:p w:rsidR="0034600D" w:rsidRDefault="0034600D" w:rsidP="0034600D">
      <w:pPr>
        <w:pStyle w:val="FootnoteText"/>
      </w:pPr>
      <w:r w:rsidRPr="00912703">
        <w:rPr>
          <w:rStyle w:val="FootnoteReference"/>
        </w:rPr>
        <w:footnoteRef/>
      </w:r>
      <w:r>
        <w:t xml:space="preserve"> State Committee for Food and Nutrition</w:t>
      </w:r>
    </w:p>
    <w:p w:rsidR="0034600D" w:rsidRDefault="0034600D" w:rsidP="0034600D">
      <w:pPr>
        <w:pStyle w:val="FootnoteText"/>
      </w:pPr>
    </w:p>
  </w:footnote>
  <w:footnote w:id="6">
    <w:p w:rsidR="0034600D" w:rsidRDefault="0034600D" w:rsidP="0034600D">
      <w:pPr>
        <w:pStyle w:val="FootnoteText"/>
      </w:pPr>
      <w:r w:rsidRPr="00912703">
        <w:rPr>
          <w:rStyle w:val="FootnoteReference"/>
        </w:rPr>
        <w:footnoteRef/>
      </w:r>
      <w:r>
        <w:t xml:space="preserve"> Refers to labour-based skills such as sewing, baking among others</w:t>
      </w:r>
    </w:p>
  </w:footnote>
  <w:footnote w:id="7">
    <w:p w:rsidR="0034600D" w:rsidRDefault="0034600D" w:rsidP="0034600D">
      <w:pPr>
        <w:pStyle w:val="FootnoteText"/>
      </w:pPr>
      <w:r w:rsidRPr="00912703">
        <w:rPr>
          <w:rStyle w:val="FootnoteReference"/>
        </w:rPr>
        <w:footnoteRef/>
      </w:r>
      <w:r>
        <w:t xml:space="preserve"> Refers to equipment for skills acquisition </w:t>
      </w:r>
    </w:p>
  </w:footnote>
  <w:footnote w:id="8">
    <w:p w:rsidR="0034600D" w:rsidRDefault="0034600D" w:rsidP="0034600D">
      <w:pPr>
        <w:pStyle w:val="FootnoteText"/>
        <w:rPr>
          <w:rFonts w:ascii="Calibri" w:eastAsia="Calibri" w:hAnsi="Calibri" w:cs="Calibri"/>
          <w:lang w:eastAsia="en-US"/>
        </w:rPr>
      </w:pPr>
      <w:r w:rsidRPr="00912703">
        <w:rPr>
          <w:rStyle w:val="FootnoteReference"/>
        </w:rPr>
        <w:footnoteRef/>
      </w:r>
      <w:r>
        <w:t xml:space="preserve"> BBC - </w:t>
      </w:r>
      <w:r w:rsidRPr="009C57F8">
        <w:rPr>
          <w:rFonts w:ascii="Calibri" w:eastAsia="Calibri" w:hAnsi="Calibri" w:cs="Calibri"/>
          <w:lang w:eastAsia="en-US"/>
        </w:rPr>
        <w:t>Behavioural Change Communication</w:t>
      </w:r>
    </w:p>
    <w:p w:rsidR="0034600D" w:rsidRPr="00B17C8F" w:rsidRDefault="0034600D" w:rsidP="0034600D">
      <w:pPr>
        <w:suppressLineNumbers/>
        <w:spacing w:line="360" w:lineRule="auto"/>
        <w:rPr>
          <w:rFonts w:ascii="Arial" w:eastAsia="Calibri" w:hAnsi="Arial" w:cs="Arial"/>
          <w:sz w:val="18"/>
          <w:szCs w:val="18"/>
        </w:rPr>
      </w:pPr>
      <w:r w:rsidRPr="00B17C8F">
        <w:rPr>
          <w:rFonts w:ascii="Arial" w:eastAsia="Calibri" w:hAnsi="Arial" w:cs="Arial"/>
          <w:sz w:val="18"/>
          <w:szCs w:val="18"/>
        </w:rPr>
        <w:t xml:space="preserve">The LGAs with the highest burden of stunting in Anambra State, by percentage, </w:t>
      </w:r>
      <w:r w:rsidRPr="00B17C8F">
        <w:rPr>
          <w:rFonts w:ascii="Arial" w:eastAsia="Calibri" w:hAnsi="Arial" w:cs="Arial"/>
          <w:noProof/>
          <w:sz w:val="18"/>
          <w:szCs w:val="18"/>
        </w:rPr>
        <w:t>is</w:t>
      </w:r>
      <w:r w:rsidRPr="00B17C8F">
        <w:rPr>
          <w:rFonts w:ascii="Arial" w:eastAsia="Calibri" w:hAnsi="Arial" w:cs="Arial"/>
          <w:sz w:val="18"/>
          <w:szCs w:val="18"/>
        </w:rPr>
        <w:t xml:space="preserve"> Anambra West (25.5 percent), </w:t>
      </w:r>
      <w:proofErr w:type="spellStart"/>
      <w:r w:rsidRPr="00B17C8F">
        <w:rPr>
          <w:rFonts w:ascii="Arial" w:eastAsia="Calibri" w:hAnsi="Arial" w:cs="Arial"/>
          <w:sz w:val="18"/>
          <w:szCs w:val="18"/>
        </w:rPr>
        <w:t>Ayamelum</w:t>
      </w:r>
      <w:proofErr w:type="spellEnd"/>
      <w:r w:rsidRPr="00B17C8F">
        <w:rPr>
          <w:rFonts w:ascii="Arial" w:eastAsia="Calibri" w:hAnsi="Arial" w:cs="Arial"/>
          <w:sz w:val="18"/>
          <w:szCs w:val="18"/>
        </w:rPr>
        <w:t xml:space="preserve"> (22.9 percent), </w:t>
      </w:r>
      <w:proofErr w:type="spellStart"/>
      <w:r w:rsidRPr="00B17C8F">
        <w:rPr>
          <w:rFonts w:ascii="Arial" w:eastAsia="Calibri" w:hAnsi="Arial" w:cs="Arial"/>
          <w:sz w:val="18"/>
          <w:szCs w:val="18"/>
        </w:rPr>
        <w:t>Ogbaru</w:t>
      </w:r>
      <w:proofErr w:type="spellEnd"/>
      <w:r w:rsidRPr="00B17C8F">
        <w:rPr>
          <w:rFonts w:ascii="Arial" w:eastAsia="Calibri" w:hAnsi="Arial" w:cs="Arial"/>
          <w:sz w:val="18"/>
          <w:szCs w:val="18"/>
        </w:rPr>
        <w:t xml:space="preserve"> (22.2 percent), Anambra East (20 percent), </w:t>
      </w:r>
      <w:proofErr w:type="spellStart"/>
      <w:r w:rsidRPr="00B17C8F">
        <w:rPr>
          <w:rFonts w:ascii="Arial" w:eastAsia="Calibri" w:hAnsi="Arial" w:cs="Arial"/>
          <w:sz w:val="18"/>
          <w:szCs w:val="18"/>
        </w:rPr>
        <w:t>Awka</w:t>
      </w:r>
      <w:proofErr w:type="spellEnd"/>
      <w:r w:rsidRPr="00B17C8F">
        <w:rPr>
          <w:rFonts w:ascii="Arial" w:eastAsia="Calibri" w:hAnsi="Arial" w:cs="Arial"/>
          <w:sz w:val="18"/>
          <w:szCs w:val="18"/>
        </w:rPr>
        <w:t xml:space="preserve"> North (19.9 percent), Onitsha North (19.8 percent), and </w:t>
      </w:r>
      <w:proofErr w:type="spellStart"/>
      <w:r w:rsidRPr="00B17C8F">
        <w:rPr>
          <w:rFonts w:ascii="Arial" w:eastAsia="Calibri" w:hAnsi="Arial" w:cs="Arial"/>
          <w:sz w:val="18"/>
          <w:szCs w:val="18"/>
        </w:rPr>
        <w:t>Dunukofia</w:t>
      </w:r>
      <w:proofErr w:type="spellEnd"/>
      <w:r w:rsidRPr="00B17C8F">
        <w:rPr>
          <w:rFonts w:ascii="Arial" w:eastAsia="Calibri" w:hAnsi="Arial" w:cs="Arial"/>
          <w:sz w:val="18"/>
          <w:szCs w:val="18"/>
        </w:rPr>
        <w:t xml:space="preserve"> (19.2 percent)</w:t>
      </w:r>
      <w:r w:rsidRPr="00B17C8F">
        <w:rPr>
          <w:rFonts w:ascii="Arial" w:hAnsi="Arial" w:cs="Arial"/>
          <w:sz w:val="18"/>
          <w:szCs w:val="18"/>
          <w:vertAlign w:val="superscript"/>
        </w:rPr>
        <w:footnoteRef/>
      </w:r>
      <w:r w:rsidRPr="00B17C8F">
        <w:rPr>
          <w:rFonts w:ascii="Arial" w:eastAsia="Calibri" w:hAnsi="Arial" w:cs="Arial"/>
          <w:sz w:val="18"/>
          <w:szCs w:val="18"/>
        </w:rPr>
        <w:t>. The state stunting average is 19 percent.</w:t>
      </w:r>
    </w:p>
    <w:p w:rsidR="0034600D" w:rsidRDefault="0034600D" w:rsidP="0034600D">
      <w:pPr>
        <w:pStyle w:val="FootnoteText"/>
      </w:pPr>
    </w:p>
  </w:footnote>
  <w:footnote w:id="9">
    <w:p w:rsidR="0034600D" w:rsidRDefault="0034600D" w:rsidP="0034600D">
      <w:pPr>
        <w:pStyle w:val="FootnoteText"/>
      </w:pPr>
      <w:r w:rsidRPr="00912703">
        <w:rPr>
          <w:rStyle w:val="FootnoteReference"/>
        </w:rPr>
        <w:footnoteRef/>
      </w:r>
      <w:r>
        <w:t xml:space="preserve"> This includes annual, biannual or midterm reports.</w:t>
      </w:r>
    </w:p>
  </w:footnote>
  <w:footnote w:id="10">
    <w:p w:rsidR="0034600D" w:rsidRDefault="0034600D" w:rsidP="0034600D">
      <w:pPr>
        <w:pStyle w:val="FootnoteText"/>
        <w:rPr>
          <w:rFonts w:ascii="Calibri" w:eastAsia="Calibri" w:hAnsi="Calibri" w:cs="Calibri"/>
          <w:lang w:eastAsia="en-US"/>
        </w:rPr>
      </w:pPr>
      <w:r w:rsidRPr="00912703">
        <w:rPr>
          <w:rStyle w:val="FootnoteReference"/>
        </w:rPr>
        <w:footnoteRef/>
      </w:r>
      <w:r>
        <w:t xml:space="preserve">BCC -  </w:t>
      </w:r>
      <w:r w:rsidRPr="009C57F8">
        <w:rPr>
          <w:rFonts w:ascii="Calibri" w:eastAsia="Calibri" w:hAnsi="Calibri" w:cs="Calibri"/>
          <w:lang w:eastAsia="en-US"/>
        </w:rPr>
        <w:t>Behavioural Change Communication</w:t>
      </w:r>
    </w:p>
    <w:p w:rsidR="0034600D" w:rsidRDefault="0034600D" w:rsidP="0034600D">
      <w:pPr>
        <w:pStyle w:val="FootnoteText"/>
      </w:pPr>
      <w:r w:rsidRPr="00535066">
        <w:t xml:space="preserve">All LGAs’ stunting prevalence in </w:t>
      </w:r>
      <w:proofErr w:type="spellStart"/>
      <w:r w:rsidRPr="00535066">
        <w:t>Kebbi</w:t>
      </w:r>
      <w:proofErr w:type="spellEnd"/>
      <w:r w:rsidRPr="00535066">
        <w:t xml:space="preserve"> State </w:t>
      </w:r>
      <w:proofErr w:type="gramStart"/>
      <w:r w:rsidRPr="00535066">
        <w:t>are</w:t>
      </w:r>
      <w:proofErr w:type="gramEnd"/>
      <w:r w:rsidRPr="00535066">
        <w:t xml:space="preserve"> higher than the country average of 37 percent and 20 percent cut-off for public health problems. When categorised according to burden the local governments with the highest prevalence of malnutrition in </w:t>
      </w:r>
      <w:proofErr w:type="spellStart"/>
      <w:r w:rsidRPr="00535066">
        <w:t>Kebbi</w:t>
      </w:r>
      <w:proofErr w:type="spellEnd"/>
      <w:r w:rsidRPr="00535066">
        <w:t xml:space="preserve"> State include </w:t>
      </w:r>
      <w:proofErr w:type="spellStart"/>
      <w:r w:rsidRPr="00535066">
        <w:t>Maiyama</w:t>
      </w:r>
      <w:proofErr w:type="spellEnd"/>
      <w:r w:rsidRPr="00535066">
        <w:t xml:space="preserve"> (66.8 percent), </w:t>
      </w:r>
      <w:proofErr w:type="spellStart"/>
      <w:r w:rsidRPr="00535066">
        <w:t>Suru</w:t>
      </w:r>
      <w:proofErr w:type="spellEnd"/>
      <w:r w:rsidRPr="00535066">
        <w:t xml:space="preserve"> (66.5 percent), </w:t>
      </w:r>
      <w:proofErr w:type="spellStart"/>
      <w:r w:rsidRPr="00535066">
        <w:t>Kalgo</w:t>
      </w:r>
      <w:proofErr w:type="spellEnd"/>
      <w:r w:rsidRPr="00535066">
        <w:t xml:space="preserve"> (66.3 percent), </w:t>
      </w:r>
      <w:proofErr w:type="spellStart"/>
      <w:r w:rsidRPr="00535066">
        <w:t>Bunza</w:t>
      </w:r>
      <w:proofErr w:type="spellEnd"/>
      <w:r w:rsidRPr="00535066">
        <w:t xml:space="preserve"> (66.3 percent), </w:t>
      </w:r>
      <w:proofErr w:type="spellStart"/>
      <w:r w:rsidRPr="00535066">
        <w:t>Jega</w:t>
      </w:r>
      <w:proofErr w:type="spellEnd"/>
      <w:r w:rsidRPr="00535066">
        <w:t xml:space="preserve"> (65.4 percent), </w:t>
      </w:r>
      <w:proofErr w:type="spellStart"/>
      <w:r w:rsidRPr="00535066">
        <w:t>Wasagu</w:t>
      </w:r>
      <w:proofErr w:type="spellEnd"/>
      <w:r w:rsidRPr="00535066">
        <w:t>/</w:t>
      </w:r>
      <w:proofErr w:type="spellStart"/>
      <w:r w:rsidRPr="00535066">
        <w:t>Danko</w:t>
      </w:r>
      <w:proofErr w:type="spellEnd"/>
      <w:r w:rsidRPr="00535066">
        <w:t xml:space="preserve"> (64.9 percent), and Gwandu (63.2 percent</w:t>
      </w:r>
      <w:proofErr w:type="gramStart"/>
      <w:r w:rsidRPr="00535066">
        <w:t>) .</w:t>
      </w:r>
      <w:proofErr w:type="gramEnd"/>
      <w:r w:rsidRPr="00535066">
        <w:t xml:space="preserve"> With the state stunting average being 63.5 percent, all LGAs in the state still need urgent action.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498"/>
    <w:multiLevelType w:val="hybridMultilevel"/>
    <w:tmpl w:val="88803E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93E92"/>
    <w:multiLevelType w:val="hybridMultilevel"/>
    <w:tmpl w:val="63E26A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43BA4"/>
    <w:multiLevelType w:val="hybridMultilevel"/>
    <w:tmpl w:val="90688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631E"/>
    <w:multiLevelType w:val="multilevel"/>
    <w:tmpl w:val="617C2E3C"/>
    <w:lvl w:ilvl="0">
      <w:start w:val="1"/>
      <w:numFmt w:val="lowerLetter"/>
      <w:lvlText w:val="%1.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6535776"/>
    <w:multiLevelType w:val="hybridMultilevel"/>
    <w:tmpl w:val="1FF687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34600D"/>
    <w:rsid w:val="000948C4"/>
    <w:rsid w:val="000B07E9"/>
    <w:rsid w:val="000D555E"/>
    <w:rsid w:val="000E4ECA"/>
    <w:rsid w:val="001324F9"/>
    <w:rsid w:val="00136D5E"/>
    <w:rsid w:val="001517A4"/>
    <w:rsid w:val="00185454"/>
    <w:rsid w:val="001F2727"/>
    <w:rsid w:val="002075AB"/>
    <w:rsid w:val="002449B9"/>
    <w:rsid w:val="00262FB6"/>
    <w:rsid w:val="002A6DB8"/>
    <w:rsid w:val="002B4FFA"/>
    <w:rsid w:val="002E64ED"/>
    <w:rsid w:val="002F3B54"/>
    <w:rsid w:val="00330A93"/>
    <w:rsid w:val="0034600D"/>
    <w:rsid w:val="003548D6"/>
    <w:rsid w:val="00390017"/>
    <w:rsid w:val="00413294"/>
    <w:rsid w:val="00423DF3"/>
    <w:rsid w:val="00457EC6"/>
    <w:rsid w:val="00476544"/>
    <w:rsid w:val="004D3723"/>
    <w:rsid w:val="0053474E"/>
    <w:rsid w:val="005501DB"/>
    <w:rsid w:val="0058282C"/>
    <w:rsid w:val="005C5F7F"/>
    <w:rsid w:val="005E324B"/>
    <w:rsid w:val="005E7B6C"/>
    <w:rsid w:val="005F539A"/>
    <w:rsid w:val="00603DCD"/>
    <w:rsid w:val="006839B4"/>
    <w:rsid w:val="006957DC"/>
    <w:rsid w:val="006E6DF4"/>
    <w:rsid w:val="006F2921"/>
    <w:rsid w:val="00775719"/>
    <w:rsid w:val="007D629B"/>
    <w:rsid w:val="008366DC"/>
    <w:rsid w:val="0088438C"/>
    <w:rsid w:val="00892033"/>
    <w:rsid w:val="008D5AB6"/>
    <w:rsid w:val="0093603C"/>
    <w:rsid w:val="00985B21"/>
    <w:rsid w:val="009A6716"/>
    <w:rsid w:val="009E7D6D"/>
    <w:rsid w:val="00A22A6B"/>
    <w:rsid w:val="00B764A2"/>
    <w:rsid w:val="00BC72BE"/>
    <w:rsid w:val="00BE051E"/>
    <w:rsid w:val="00BF6DEB"/>
    <w:rsid w:val="00C47C23"/>
    <w:rsid w:val="00C66812"/>
    <w:rsid w:val="00CE62B4"/>
    <w:rsid w:val="00D30F08"/>
    <w:rsid w:val="00D446A6"/>
    <w:rsid w:val="00D97424"/>
    <w:rsid w:val="00DE00D4"/>
    <w:rsid w:val="00E02167"/>
    <w:rsid w:val="00E151B0"/>
    <w:rsid w:val="00E70AF8"/>
    <w:rsid w:val="00EE38CF"/>
    <w:rsid w:val="00F024C5"/>
    <w:rsid w:val="00F5162E"/>
    <w:rsid w:val="00F55BBE"/>
    <w:rsid w:val="00FB4C7F"/>
    <w:rsid w:val="00FC1845"/>
    <w:rsid w:val="00FC274E"/>
    <w:rsid w:val="00FD12F4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21"/>
  </w:style>
  <w:style w:type="paragraph" w:styleId="Heading1">
    <w:name w:val="heading 1"/>
    <w:basedOn w:val="Normal"/>
    <w:next w:val="Normal"/>
    <w:link w:val="Heading1Char"/>
    <w:uiPriority w:val="9"/>
    <w:qFormat/>
    <w:rsid w:val="006F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r,X.X Sub heading"/>
    <w:next w:val="Normal"/>
    <w:link w:val="Heading2Char"/>
    <w:unhideWhenUsed/>
    <w:qFormat/>
    <w:rsid w:val="006F2921"/>
    <w:pPr>
      <w:keepNext/>
      <w:spacing w:before="240" w:after="120" w:line="240" w:lineRule="auto"/>
      <w:outlineLvl w:val="1"/>
    </w:pPr>
    <w:rPr>
      <w:rFonts w:ascii="Verdana" w:eastAsia="Times New Roman" w:hAnsi="Verdan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Char Char,X.X Sub heading Char"/>
    <w:basedOn w:val="DefaultParagraphFont"/>
    <w:link w:val="Heading2"/>
    <w:rsid w:val="006F2921"/>
    <w:rPr>
      <w:rFonts w:ascii="Verdana" w:eastAsia="Times New Roman" w:hAnsi="Verdana" w:cs="Times New Roman"/>
      <w:b/>
      <w:sz w:val="28"/>
      <w:szCs w:val="20"/>
    </w:rPr>
  </w:style>
  <w:style w:type="character" w:styleId="Emphasis">
    <w:name w:val="Emphasis"/>
    <w:basedOn w:val="DefaultParagraphFont"/>
    <w:uiPriority w:val="20"/>
    <w:qFormat/>
    <w:rsid w:val="006F2921"/>
    <w:rPr>
      <w:i/>
      <w:iCs/>
    </w:rPr>
  </w:style>
  <w:style w:type="paragraph" w:styleId="NoSpacing">
    <w:name w:val="No Spacing"/>
    <w:uiPriority w:val="1"/>
    <w:qFormat/>
    <w:rsid w:val="006F292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F29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2921"/>
  </w:style>
  <w:style w:type="paragraph" w:styleId="TOCHeading">
    <w:name w:val="TOC Heading"/>
    <w:basedOn w:val="Heading1"/>
    <w:next w:val="Normal"/>
    <w:uiPriority w:val="39"/>
    <w:unhideWhenUsed/>
    <w:qFormat/>
    <w:rsid w:val="006F2921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600D"/>
    <w:pPr>
      <w:spacing w:after="0" w:line="240" w:lineRule="auto"/>
      <w:jc w:val="both"/>
    </w:pPr>
    <w:rPr>
      <w:rFonts w:ascii="Quattrocento Sans" w:eastAsia="Quattrocento Sans" w:hAnsi="Quattrocento Sans" w:cs="Quattrocento Sans"/>
      <w:sz w:val="20"/>
      <w:szCs w:val="20"/>
      <w:lang w:val="en-ZA" w:eastAsia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00D"/>
    <w:rPr>
      <w:rFonts w:ascii="Quattrocento Sans" w:eastAsia="Quattrocento Sans" w:hAnsi="Quattrocento Sans" w:cs="Quattrocento Sans"/>
      <w:sz w:val="20"/>
      <w:szCs w:val="20"/>
      <w:lang w:val="en-ZA"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34600D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34600D"/>
    <w:pPr>
      <w:spacing w:after="0" w:line="240" w:lineRule="auto"/>
      <w:jc w:val="both"/>
    </w:pPr>
    <w:rPr>
      <w:rFonts w:ascii="Quattrocento Sans" w:eastAsia="Quattrocento Sans" w:hAnsi="Quattrocento Sans" w:cs="Quattrocento Sans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4600D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4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21"/>
  </w:style>
  <w:style w:type="paragraph" w:styleId="Heading1">
    <w:name w:val="heading 1"/>
    <w:basedOn w:val="Normal"/>
    <w:next w:val="Normal"/>
    <w:link w:val="Heading1Char"/>
    <w:uiPriority w:val="9"/>
    <w:qFormat/>
    <w:rsid w:val="006F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r,X.X Sub heading"/>
    <w:next w:val="Normal"/>
    <w:link w:val="Heading2Char"/>
    <w:unhideWhenUsed/>
    <w:qFormat/>
    <w:rsid w:val="006F2921"/>
    <w:pPr>
      <w:keepNext/>
      <w:spacing w:before="240" w:after="120" w:line="240" w:lineRule="auto"/>
      <w:outlineLvl w:val="1"/>
    </w:pPr>
    <w:rPr>
      <w:rFonts w:ascii="Verdana" w:eastAsia="Times New Roman" w:hAnsi="Verdan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Char Char,X.X Sub heading Char"/>
    <w:basedOn w:val="DefaultParagraphFont"/>
    <w:link w:val="Heading2"/>
    <w:rsid w:val="006F2921"/>
    <w:rPr>
      <w:rFonts w:ascii="Verdana" w:eastAsia="Times New Roman" w:hAnsi="Verdana" w:cs="Times New Roman"/>
      <w:b/>
      <w:sz w:val="28"/>
      <w:szCs w:val="20"/>
    </w:rPr>
  </w:style>
  <w:style w:type="character" w:styleId="Emphasis">
    <w:name w:val="Emphasis"/>
    <w:basedOn w:val="DefaultParagraphFont"/>
    <w:uiPriority w:val="20"/>
    <w:qFormat/>
    <w:rsid w:val="006F2921"/>
    <w:rPr>
      <w:i/>
      <w:iCs/>
    </w:rPr>
  </w:style>
  <w:style w:type="paragraph" w:styleId="NoSpacing">
    <w:name w:val="No Spacing"/>
    <w:uiPriority w:val="1"/>
    <w:qFormat/>
    <w:rsid w:val="006F292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F29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2921"/>
  </w:style>
  <w:style w:type="paragraph" w:styleId="TOCHeading">
    <w:name w:val="TOC Heading"/>
    <w:basedOn w:val="Heading1"/>
    <w:next w:val="Normal"/>
    <w:uiPriority w:val="39"/>
    <w:unhideWhenUsed/>
    <w:qFormat/>
    <w:rsid w:val="006F2921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600D"/>
    <w:pPr>
      <w:spacing w:after="0" w:line="240" w:lineRule="auto"/>
      <w:jc w:val="both"/>
    </w:pPr>
    <w:rPr>
      <w:rFonts w:ascii="Quattrocento Sans" w:eastAsia="Quattrocento Sans" w:hAnsi="Quattrocento Sans" w:cs="Quattrocento Sans"/>
      <w:sz w:val="20"/>
      <w:szCs w:val="20"/>
      <w:lang w:val="en-ZA" w:eastAsia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00D"/>
    <w:rPr>
      <w:rFonts w:ascii="Quattrocento Sans" w:eastAsia="Quattrocento Sans" w:hAnsi="Quattrocento Sans" w:cs="Quattrocento Sans"/>
      <w:sz w:val="20"/>
      <w:szCs w:val="20"/>
      <w:lang w:val="en-ZA"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34600D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34600D"/>
    <w:pPr>
      <w:spacing w:after="0" w:line="240" w:lineRule="auto"/>
      <w:jc w:val="both"/>
    </w:pPr>
    <w:rPr>
      <w:rFonts w:ascii="Quattrocento Sans" w:eastAsia="Quattrocento Sans" w:hAnsi="Quattrocento Sans" w:cs="Quattrocento Sans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4600D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4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1204</Words>
  <Characters>8610</Characters>
  <Application>Microsoft Office Word</Application>
  <DocSecurity>0</DocSecurity>
  <Lines>662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2</cp:revision>
  <dcterms:created xsi:type="dcterms:W3CDTF">2020-08-29T03:49:00Z</dcterms:created>
  <dcterms:modified xsi:type="dcterms:W3CDTF">2020-08-29T03:51:00Z</dcterms:modified>
</cp:coreProperties>
</file>