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B" w:rsidRPr="00C107BB" w:rsidRDefault="00EC5E4B" w:rsidP="000A0FC6">
      <w:pPr>
        <w:spacing w:line="480" w:lineRule="auto"/>
        <w:jc w:val="both"/>
        <w:rPr>
          <w:rFonts w:ascii="Times New Roman" w:hAnsi="Times New Roman" w:cs="Times New Roman"/>
        </w:rPr>
      </w:pPr>
      <w:r w:rsidRPr="00C107BB">
        <w:rPr>
          <w:rFonts w:ascii="Times New Roman" w:eastAsia="DFKai-SB" w:hAnsi="Times New Roman" w:cs="Times New Roman"/>
          <w:b/>
          <w:bCs/>
          <w:szCs w:val="24"/>
        </w:rPr>
        <w:t>Title:</w:t>
      </w:r>
      <w:r w:rsidRPr="00C107BB">
        <w:rPr>
          <w:rFonts w:ascii="Times New Roman" w:hAnsi="Times New Roman" w:cs="Times New Roman"/>
        </w:rPr>
        <w:t xml:space="preserve"> </w:t>
      </w:r>
    </w:p>
    <w:p w:rsidR="00EC5E4B" w:rsidRPr="006145D0" w:rsidRDefault="00EC5E4B" w:rsidP="006145D0">
      <w:pPr>
        <w:spacing w:line="480" w:lineRule="auto"/>
        <w:jc w:val="both"/>
        <w:rPr>
          <w:rFonts w:ascii="Times New Roman" w:eastAsia="DFKai-SB" w:hAnsi="Times New Roman" w:cs="Times New Roman"/>
          <w:b/>
          <w:bCs/>
          <w:szCs w:val="24"/>
        </w:rPr>
      </w:pPr>
      <w:r w:rsidRPr="00C107BB">
        <w:rPr>
          <w:rFonts w:ascii="Times New Roman" w:eastAsia="DFKai-SB" w:hAnsi="Times New Roman" w:cs="Times New Roman"/>
          <w:b/>
          <w:bCs/>
          <w:szCs w:val="24"/>
        </w:rPr>
        <w:t>Humanized Bispecific Antibody (mPEG×HER2) Rapidly Confers PEGylated Nanoparticles Tumor Specificity for Multimodality Imaging in Breast Cancer</w:t>
      </w:r>
    </w:p>
    <w:p w:rsidR="00EC5E4B" w:rsidRPr="006145D0" w:rsidRDefault="00EC5E4B" w:rsidP="000A0FC6">
      <w:pPr>
        <w:spacing w:line="480" w:lineRule="auto"/>
        <w:rPr>
          <w:rFonts w:ascii="Times New Roman" w:hAnsi="Times New Roman" w:cs="Times New Roman"/>
        </w:rPr>
      </w:pPr>
      <w:r w:rsidRPr="00C107BB">
        <w:rPr>
          <w:rFonts w:ascii="Times New Roman" w:hAnsi="Times New Roman" w:cs="Times New Roman"/>
        </w:rPr>
        <w:t>Yi-An Cheng#, Tung-Ho Wu#, Yun-Ming Wang, Tian-Lu Cheng, I-Ju Chen, Yun-Chi Lu1, Kuo-Hsiang Chuang, Chih-Kuang Wang, Chiao-Yun Chen, Rui-An Lin, Huei-Jen Chen, Tzu-Yi Liao, En-Shuo Liu, Fang-Ming Chen*</w:t>
      </w:r>
    </w:p>
    <w:p w:rsidR="00EC5E4B" w:rsidRPr="000A0FC6" w:rsidRDefault="001932D5" w:rsidP="000A0FC6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Additional file 1</w:t>
      </w:r>
    </w:p>
    <w:p w:rsidR="007B025F" w:rsidRPr="00C107BB" w:rsidRDefault="007B025F" w:rsidP="000A0FC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107BB">
        <w:rPr>
          <w:rFonts w:ascii="Times New Roman" w:hAnsi="Times New Roman" w:cs="Times New Roman"/>
          <w:b/>
        </w:rPr>
        <w:t xml:space="preserve">Table </w:t>
      </w:r>
      <w:r w:rsidR="008C742E">
        <w:rPr>
          <w:rFonts w:ascii="Times New Roman" w:hAnsi="Times New Roman" w:cs="Times New Roman"/>
          <w:b/>
        </w:rPr>
        <w:t>S</w:t>
      </w:r>
      <w:r w:rsidRPr="00C107BB">
        <w:rPr>
          <w:rFonts w:ascii="Times New Roman" w:hAnsi="Times New Roman" w:cs="Times New Roman"/>
          <w:b/>
        </w:rPr>
        <w:t>1. The BsAb-conjugation rate of αHER2/PEG-NPs</w:t>
      </w:r>
    </w:p>
    <w:tbl>
      <w:tblPr>
        <w:tblW w:w="9760" w:type="dxa"/>
        <w:tblInd w:w="-709" w:type="dxa"/>
        <w:tblCellMar>
          <w:left w:w="0" w:type="dxa"/>
          <w:right w:w="0" w:type="dxa"/>
        </w:tblCellMar>
        <w:tblLook w:val="0420"/>
      </w:tblPr>
      <w:tblGrid>
        <w:gridCol w:w="1600"/>
        <w:gridCol w:w="1160"/>
        <w:gridCol w:w="1160"/>
        <w:gridCol w:w="1160"/>
        <w:gridCol w:w="1160"/>
        <w:gridCol w:w="1160"/>
        <w:gridCol w:w="1160"/>
        <w:gridCol w:w="1200"/>
      </w:tblGrid>
      <w:tr w:rsidR="000A0FC6" w:rsidRPr="000A0FC6" w:rsidTr="000A0FC6">
        <w:trPr>
          <w:trHeight w:val="56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  <w:b/>
                <w:bCs/>
              </w:rPr>
              <w:t>BsAb:mPEG molar ratio</w:t>
            </w:r>
          </w:p>
        </w:tc>
      </w:tr>
      <w:tr w:rsidR="000A0FC6" w:rsidRPr="000A0FC6" w:rsidTr="000A0FC6">
        <w:trPr>
          <w:trHeight w:val="567"/>
        </w:trPr>
        <w:tc>
          <w:tcPr>
            <w:tcW w:w="16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PEG-NPs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64:360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32:360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16:360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8:360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4:360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2:360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1:360</w:t>
            </w:r>
          </w:p>
        </w:tc>
      </w:tr>
      <w:tr w:rsidR="000A0FC6" w:rsidRPr="000A0FC6" w:rsidTr="000A0FC6">
        <w:trPr>
          <w:trHeight w:val="584"/>
        </w:trPr>
        <w:tc>
          <w:tcPr>
            <w:tcW w:w="160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Lipo-DiR</w:t>
            </w: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94.6%, P</w:t>
            </w: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94.9%</w:t>
            </w: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&gt;99%*</w:t>
            </w:r>
          </w:p>
        </w:tc>
        <w:tc>
          <w:tcPr>
            <w:tcW w:w="120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&gt;99%*</w:t>
            </w:r>
          </w:p>
        </w:tc>
      </w:tr>
      <w:tr w:rsidR="000A0FC6" w:rsidRPr="000A0FC6" w:rsidTr="000A0FC6">
        <w:trPr>
          <w:trHeight w:val="624"/>
        </w:trPr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SPIO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98.6%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&gt;99%*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&gt;99%*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</w:tr>
      <w:tr w:rsidR="000A0FC6" w:rsidRPr="000A0FC6" w:rsidTr="000A0FC6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Qdot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91.2%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&gt;99%*</w:t>
            </w:r>
          </w:p>
        </w:tc>
      </w:tr>
      <w:tr w:rsidR="000A0FC6" w:rsidRPr="000A0FC6" w:rsidTr="000A0FC6">
        <w:trPr>
          <w:trHeight w:val="584"/>
        </w:trPr>
        <w:tc>
          <w:tcPr>
            <w:tcW w:w="16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Au-NP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90.8%, P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84.7%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88.9%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-295" w:left="-708" w:rightChars="-378" w:right="-907"/>
              <w:jc w:val="center"/>
              <w:rPr>
                <w:rFonts w:ascii="Times New Roman" w:hAnsi="Times New Roman" w:cs="Times New Roman"/>
              </w:rPr>
            </w:pPr>
            <w:r w:rsidRPr="000A0FC6">
              <w:rPr>
                <w:rFonts w:ascii="Times New Roman" w:hAnsi="Times New Roman" w:cs="Times New Roman"/>
              </w:rPr>
              <w:t>N</w:t>
            </w:r>
          </w:p>
        </w:tc>
      </w:tr>
    </w:tbl>
    <w:p w:rsidR="000A0FC6" w:rsidRPr="000A0FC6" w:rsidRDefault="000A0FC6" w:rsidP="000A0FC6">
      <w:pPr>
        <w:spacing w:line="480" w:lineRule="auto"/>
        <w:ind w:leftChars="-295" w:left="-708" w:rightChars="-378" w:right="-907"/>
        <w:rPr>
          <w:rFonts w:ascii="Times New Roman" w:hAnsi="Times New Roman" w:cs="Times New Roman"/>
        </w:rPr>
      </w:pPr>
      <w:r w:rsidRPr="000A0FC6">
        <w:rPr>
          <w:rFonts w:ascii="Times New Roman" w:hAnsi="Times New Roman" w:cs="Times New Roman"/>
        </w:rPr>
        <w:t>P: Observing the precipitate within 1 hour at 4</w:t>
      </w:r>
      <w:r w:rsidRPr="000A0FC6">
        <w:rPr>
          <w:rFonts w:ascii="Times New Roman" w:hAnsi="Times New Roman" w:cs="Times New Roman"/>
          <w:vertAlign w:val="superscript"/>
          <w:lang w:val="en-GB"/>
        </w:rPr>
        <w:t>o</w:t>
      </w:r>
      <w:r w:rsidRPr="000A0FC6">
        <w:rPr>
          <w:rFonts w:ascii="Times New Roman" w:hAnsi="Times New Roman" w:cs="Times New Roman"/>
          <w:lang w:val="en-GB"/>
        </w:rPr>
        <w:t>C</w:t>
      </w:r>
    </w:p>
    <w:p w:rsidR="000A0FC6" w:rsidRPr="000A0FC6" w:rsidRDefault="000A0FC6" w:rsidP="000A0FC6">
      <w:pPr>
        <w:spacing w:line="480" w:lineRule="auto"/>
        <w:ind w:leftChars="-295" w:left="-708" w:rightChars="-378" w:right="-907"/>
        <w:rPr>
          <w:rFonts w:ascii="Times New Roman" w:hAnsi="Times New Roman" w:cs="Times New Roman"/>
        </w:rPr>
      </w:pPr>
      <w:r w:rsidRPr="000A0FC6">
        <w:rPr>
          <w:rFonts w:ascii="Times New Roman" w:hAnsi="Times New Roman" w:cs="Times New Roman"/>
          <w:lang w:val="en-GB"/>
        </w:rPr>
        <w:t>N: No result</w:t>
      </w:r>
    </w:p>
    <w:p w:rsidR="000A0FC6" w:rsidRDefault="000A0FC6" w:rsidP="000A0FC6">
      <w:pPr>
        <w:spacing w:line="480" w:lineRule="auto"/>
        <w:ind w:leftChars="-295" w:left="-708" w:rightChars="-378" w:right="-907"/>
        <w:rPr>
          <w:rFonts w:ascii="Times New Roman" w:hAnsi="Times New Roman" w:cs="Times New Roman"/>
        </w:rPr>
      </w:pPr>
      <w:r w:rsidRPr="000A0FC6">
        <w:rPr>
          <w:rFonts w:ascii="Times New Roman" w:hAnsi="Times New Roman" w:cs="Times New Roman"/>
        </w:rPr>
        <w:t>*: Undetectable of unconjugated BsAb</w:t>
      </w:r>
    </w:p>
    <w:p w:rsidR="006145D0" w:rsidRDefault="006145D0" w:rsidP="000A0FC6">
      <w:pPr>
        <w:spacing w:line="480" w:lineRule="auto"/>
        <w:ind w:leftChars="-295" w:left="-708" w:rightChars="-378" w:right="-907"/>
        <w:rPr>
          <w:rFonts w:ascii="Times New Roman" w:hAnsi="Times New Roman" w:cs="Times New Roman"/>
        </w:rPr>
      </w:pPr>
    </w:p>
    <w:p w:rsidR="006145D0" w:rsidRPr="00C107BB" w:rsidRDefault="006145D0" w:rsidP="000A0FC6">
      <w:pPr>
        <w:spacing w:line="480" w:lineRule="auto"/>
        <w:ind w:leftChars="-295" w:left="-708" w:rightChars="-378" w:right="-907"/>
        <w:rPr>
          <w:rFonts w:ascii="Times New Roman" w:hAnsi="Times New Roman" w:cs="Times New Roman"/>
        </w:rPr>
      </w:pPr>
      <w:bookmarkStart w:id="0" w:name="_GoBack"/>
      <w:bookmarkEnd w:id="0"/>
    </w:p>
    <w:p w:rsidR="007B025F" w:rsidRPr="00C107BB" w:rsidRDefault="007B025F" w:rsidP="000A0FC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107BB">
        <w:rPr>
          <w:rFonts w:ascii="Times New Roman" w:hAnsi="Times New Roman" w:cs="Times New Roman"/>
          <w:b/>
        </w:rPr>
        <w:lastRenderedPageBreak/>
        <w:t xml:space="preserve">Table </w:t>
      </w:r>
      <w:r w:rsidR="008C742E">
        <w:rPr>
          <w:rFonts w:ascii="Times New Roman" w:hAnsi="Times New Roman" w:cs="Times New Roman"/>
          <w:b/>
        </w:rPr>
        <w:t>S</w:t>
      </w:r>
      <w:r w:rsidRPr="00C107BB">
        <w:rPr>
          <w:rFonts w:ascii="Times New Roman" w:hAnsi="Times New Roman" w:cs="Times New Roman"/>
          <w:b/>
        </w:rPr>
        <w:t>2. The Characterization of BsAb/mPEG-NPs</w:t>
      </w:r>
    </w:p>
    <w:tbl>
      <w:tblPr>
        <w:tblW w:w="8222" w:type="dxa"/>
        <w:tblCellMar>
          <w:left w:w="0" w:type="dxa"/>
          <w:right w:w="0" w:type="dxa"/>
        </w:tblCellMar>
        <w:tblLook w:val="0600"/>
      </w:tblPr>
      <w:tblGrid>
        <w:gridCol w:w="1831"/>
        <w:gridCol w:w="1975"/>
        <w:gridCol w:w="1259"/>
        <w:gridCol w:w="1561"/>
        <w:gridCol w:w="1596"/>
      </w:tblGrid>
      <w:tr w:rsidR="000A0FC6" w:rsidRPr="000A0FC6" w:rsidTr="000A0FC6">
        <w:trPr>
          <w:trHeight w:val="459"/>
        </w:trPr>
        <w:tc>
          <w:tcPr>
            <w:tcW w:w="19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  <w:lang w:val="el-GR"/>
              </w:rPr>
              <w:t>α</w:t>
            </w: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HER2/Lipo-DiR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Lipo-DiR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  <w:lang w:val="el-GR"/>
              </w:rPr>
              <w:t>α</w:t>
            </w: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HER2/SPIO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SPIO</w:t>
            </w:r>
          </w:p>
        </w:tc>
      </w:tr>
      <w:tr w:rsidR="000A0FC6" w:rsidRPr="000A0FC6" w:rsidTr="000A0FC6">
        <w:trPr>
          <w:trHeight w:val="253"/>
        </w:trPr>
        <w:tc>
          <w:tcPr>
            <w:tcW w:w="19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Particle size (nm)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96.6 ± 17.2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90.4 ± 19.8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100.5 ± 72.7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95.1 ± 61.2</w:t>
            </w:r>
          </w:p>
        </w:tc>
      </w:tr>
      <w:tr w:rsidR="000A0FC6" w:rsidRPr="000A0FC6" w:rsidTr="000A0FC6">
        <w:trPr>
          <w:trHeight w:val="253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PDI*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0.131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0.102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0.089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0.13</w:t>
            </w:r>
          </w:p>
        </w:tc>
      </w:tr>
      <w:tr w:rsidR="000A0FC6" w:rsidRPr="000A0FC6" w:rsidTr="000A0FC6">
        <w:trPr>
          <w:trHeight w:val="19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/>
                <w:bCs/>
                <w:szCs w:val="24"/>
              </w:rPr>
              <w:t>Zeta potential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-10.6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-10.13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-5.28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A0FC6" w:rsidRPr="000A0FC6" w:rsidRDefault="000A0FC6" w:rsidP="000A0FC6">
            <w:pPr>
              <w:spacing w:line="276" w:lineRule="auto"/>
              <w:ind w:leftChars="59" w:left="142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0A0FC6">
              <w:rPr>
                <w:rFonts w:ascii="Times New Roman" w:eastAsia="DFKai-SB" w:hAnsi="Times New Roman" w:cs="Times New Roman"/>
                <w:bCs/>
                <w:szCs w:val="24"/>
              </w:rPr>
              <w:t>-5.18</w:t>
            </w:r>
          </w:p>
        </w:tc>
      </w:tr>
    </w:tbl>
    <w:p w:rsidR="000A0FC6" w:rsidRDefault="000A0FC6" w:rsidP="000A0FC6">
      <w:pPr>
        <w:spacing w:line="276" w:lineRule="auto"/>
        <w:ind w:leftChars="59" w:left="142"/>
        <w:rPr>
          <w:rFonts w:ascii="Times New Roman" w:eastAsia="DFKai-SB" w:hAnsi="Times New Roman" w:cs="Times New Roman"/>
          <w:bCs/>
          <w:szCs w:val="24"/>
        </w:rPr>
      </w:pPr>
    </w:p>
    <w:p w:rsidR="000A0FC6" w:rsidRPr="000A0FC6" w:rsidRDefault="000A0FC6" w:rsidP="000A0FC6">
      <w:pPr>
        <w:spacing w:line="480" w:lineRule="auto"/>
        <w:ind w:leftChars="59" w:left="142"/>
        <w:rPr>
          <w:rFonts w:ascii="Times New Roman" w:eastAsia="DFKai-SB" w:hAnsi="Times New Roman" w:cs="Times New Roman"/>
          <w:bCs/>
          <w:szCs w:val="24"/>
        </w:rPr>
      </w:pPr>
      <w:r w:rsidRPr="000A0FC6">
        <w:rPr>
          <w:rFonts w:ascii="Times New Roman" w:eastAsia="DFKai-SB" w:hAnsi="Times New Roman" w:cs="Times New Roman"/>
          <w:bCs/>
          <w:szCs w:val="24"/>
        </w:rPr>
        <w:t>*</w:t>
      </w:r>
      <w:r w:rsidRPr="000A0FC6">
        <w:rPr>
          <w:rFonts w:ascii="Times New Roman" w:eastAsia="DFKai-SB" w:hAnsi="Times New Roman" w:cs="Times New Roman"/>
          <w:b/>
          <w:bCs/>
          <w:szCs w:val="24"/>
        </w:rPr>
        <w:t xml:space="preserve">PDI: </w:t>
      </w:r>
      <w:r w:rsidRPr="000A0FC6">
        <w:rPr>
          <w:rFonts w:ascii="Times New Roman" w:eastAsia="DFKai-SB" w:hAnsi="Times New Roman" w:cs="Times New Roman"/>
          <w:bCs/>
          <w:szCs w:val="24"/>
        </w:rPr>
        <w:t>polydispersity index</w:t>
      </w:r>
    </w:p>
    <w:p w:rsidR="007B025F" w:rsidRPr="000A0FC6" w:rsidRDefault="000A0FC6" w:rsidP="000A0FC6">
      <w:pPr>
        <w:spacing w:line="480" w:lineRule="auto"/>
        <w:ind w:leftChars="59" w:left="142"/>
        <w:rPr>
          <w:rFonts w:ascii="Times New Roman" w:eastAsia="DFKai-SB" w:hAnsi="Times New Roman" w:cs="Times New Roman"/>
          <w:bCs/>
          <w:szCs w:val="24"/>
        </w:rPr>
      </w:pPr>
      <w:r w:rsidRPr="000A0FC6">
        <w:rPr>
          <w:rFonts w:ascii="Times New Roman" w:eastAsia="DFKai-SB" w:hAnsi="Times New Roman" w:cs="Times New Roman"/>
          <w:bCs/>
          <w:szCs w:val="24"/>
        </w:rPr>
        <w:t xml:space="preserve">Particle size data were expressed as mean </w:t>
      </w:r>
      <w:r w:rsidRPr="000A0FC6">
        <w:rPr>
          <w:rFonts w:ascii="Times New Roman" w:eastAsia="DFKai-SB" w:hAnsi="Times New Roman" w:cs="Times New Roman" w:hint="eastAsia"/>
          <w:bCs/>
          <w:szCs w:val="24"/>
        </w:rPr>
        <w:t>±</w:t>
      </w:r>
      <w:r w:rsidRPr="000A0FC6">
        <w:rPr>
          <w:rFonts w:ascii="Times New Roman" w:eastAsia="DFKai-SB" w:hAnsi="Times New Roman" w:cs="Times New Roman" w:hint="eastAsia"/>
          <w:bCs/>
          <w:szCs w:val="24"/>
        </w:rPr>
        <w:t xml:space="preserve"> SD (n = 3).</w:t>
      </w:r>
    </w:p>
    <w:p w:rsidR="007B025F" w:rsidRPr="00C107BB" w:rsidRDefault="00467803" w:rsidP="007B025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800856" cy="3023616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4B" w:rsidRPr="00C107BB" w:rsidRDefault="00C107BB" w:rsidP="000A0FC6">
      <w:pPr>
        <w:spacing w:line="480" w:lineRule="auto"/>
        <w:rPr>
          <w:rFonts w:ascii="Times New Roman" w:hAnsi="Times New Roman" w:cs="Times New Roman"/>
          <w:b/>
        </w:rPr>
      </w:pPr>
      <w:r w:rsidRPr="00C107BB">
        <w:rPr>
          <w:rFonts w:ascii="Times New Roman" w:hAnsi="Times New Roman" w:cs="Times New Roman"/>
          <w:b/>
        </w:rPr>
        <w:t xml:space="preserve">Figure </w:t>
      </w:r>
      <w:r w:rsidR="008C742E">
        <w:rPr>
          <w:rFonts w:ascii="Times New Roman" w:hAnsi="Times New Roman" w:cs="Times New Roman"/>
          <w:b/>
        </w:rPr>
        <w:t>S</w:t>
      </w:r>
      <w:r w:rsidRPr="00C107BB">
        <w:rPr>
          <w:rFonts w:ascii="Times New Roman" w:hAnsi="Times New Roman" w:cs="Times New Roman"/>
          <w:b/>
        </w:rPr>
        <w:t>1. Immunogenicity of humanized BsAbs</w:t>
      </w:r>
    </w:p>
    <w:p w:rsidR="00C107BB" w:rsidRPr="00C107BB" w:rsidRDefault="00C107BB" w:rsidP="000A0FC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C107BB">
        <w:rPr>
          <w:rFonts w:ascii="Times New Roman" w:hAnsi="Times New Roman" w:cs="Times New Roman"/>
        </w:rPr>
        <w:t>We cocultured dendritic cells differentiated from human PBMCs with autologous CD4</w:t>
      </w:r>
      <w:r w:rsidRPr="00C107BB">
        <w:rPr>
          <w:rFonts w:ascii="Times New Roman" w:hAnsi="Times New Roman" w:cs="Times New Roman"/>
          <w:vertAlign w:val="superscript"/>
        </w:rPr>
        <w:t>+</w:t>
      </w:r>
      <w:r w:rsidRPr="00C107BB">
        <w:rPr>
          <w:rFonts w:ascii="Times New Roman" w:hAnsi="Times New Roman" w:cs="Times New Roman"/>
        </w:rPr>
        <w:t xml:space="preserve"> T cells and stimulated with control medium (represented as DC+T), PHA (as positive control), PEG</w:t>
      </w:r>
      <w:r w:rsidRPr="00C107BB">
        <w:rPr>
          <w:rFonts w:ascii="Times New Roman" w:hAnsi="Times New Roman" w:cs="Times New Roman" w:hint="eastAsia"/>
        </w:rPr>
        <w:t>×</w:t>
      </w:r>
      <w:r w:rsidRPr="00C107BB">
        <w:rPr>
          <w:rFonts w:ascii="Times New Roman" w:hAnsi="Times New Roman" w:cs="Times New Roman"/>
        </w:rPr>
        <w:t>HER2, PEG</w:t>
      </w:r>
      <w:r w:rsidRPr="00C107BB">
        <w:rPr>
          <w:rFonts w:ascii="Times New Roman" w:hAnsi="Times New Roman" w:cs="Times New Roman" w:hint="eastAsia"/>
        </w:rPr>
        <w:t>×</w:t>
      </w:r>
      <w:r w:rsidRPr="00C107BB">
        <w:rPr>
          <w:rFonts w:ascii="Times New Roman" w:hAnsi="Times New Roman" w:cs="Times New Roman"/>
        </w:rPr>
        <w:t>DNS</w:t>
      </w:r>
      <w:r w:rsidR="008C6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107BB">
        <w:rPr>
          <w:rFonts w:ascii="Times New Roman" w:hAnsi="Times New Roman" w:cs="Times New Roman"/>
        </w:rPr>
        <w:t xml:space="preserve">respectively, for 5 days. Then, we detected the proliferation of CD4+ T cells by ATPlite </w:t>
      </w:r>
      <w:r w:rsidR="008C6A4D">
        <w:rPr>
          <w:rFonts w:ascii="Times New Roman" w:hAnsi="Times New Roman" w:cs="Times New Roman"/>
        </w:rPr>
        <w:t>a</w:t>
      </w:r>
      <w:r w:rsidRPr="00C107BB">
        <w:rPr>
          <w:rFonts w:ascii="Times New Roman" w:hAnsi="Times New Roman" w:cs="Times New Roman"/>
        </w:rPr>
        <w:t>ssay. B</w:t>
      </w:r>
      <w:r>
        <w:rPr>
          <w:rFonts w:ascii="Times New Roman" w:hAnsi="Times New Roman" w:cs="Times New Roman"/>
        </w:rPr>
        <w:t>ars, SD. CPM, counts per minute</w:t>
      </w:r>
      <w:r w:rsidRPr="00C107BB">
        <w:rPr>
          <w:rFonts w:ascii="Times New Roman" w:hAnsi="Times New Roman" w:cs="Times New Roman"/>
        </w:rPr>
        <w:t>; PBMC, peripheral blood mononuclear cell; PHA, phytohemagglutinin.</w:t>
      </w:r>
    </w:p>
    <w:sectPr w:rsidR="00C107BB" w:rsidRPr="00C107BB" w:rsidSect="00E97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00" w:rsidRDefault="001B0F00" w:rsidP="00C107BB">
      <w:r>
        <w:separator/>
      </w:r>
    </w:p>
  </w:endnote>
  <w:endnote w:type="continuationSeparator" w:id="0">
    <w:p w:rsidR="001B0F00" w:rsidRDefault="001B0F00" w:rsidP="00C1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00" w:rsidRDefault="001B0F00" w:rsidP="00C107BB">
      <w:r>
        <w:separator/>
      </w:r>
    </w:p>
  </w:footnote>
  <w:footnote w:type="continuationSeparator" w:id="0">
    <w:p w:rsidR="001B0F00" w:rsidRDefault="001B0F00" w:rsidP="00C10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4B"/>
    <w:rsid w:val="000A0FC6"/>
    <w:rsid w:val="000F1ADB"/>
    <w:rsid w:val="001932D5"/>
    <w:rsid w:val="001B0F00"/>
    <w:rsid w:val="0039106A"/>
    <w:rsid w:val="00467803"/>
    <w:rsid w:val="0049245D"/>
    <w:rsid w:val="006145D0"/>
    <w:rsid w:val="00694442"/>
    <w:rsid w:val="00697595"/>
    <w:rsid w:val="007B025F"/>
    <w:rsid w:val="008C6A4D"/>
    <w:rsid w:val="008C742E"/>
    <w:rsid w:val="008F486D"/>
    <w:rsid w:val="00973356"/>
    <w:rsid w:val="00C107BB"/>
    <w:rsid w:val="00E97EC9"/>
    <w:rsid w:val="00E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C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07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07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以安 鄭</dc:creator>
  <cp:keywords/>
  <dc:description/>
  <cp:lastModifiedBy>Jasmine H.</cp:lastModifiedBy>
  <cp:revision>11</cp:revision>
  <dcterms:created xsi:type="dcterms:W3CDTF">2020-07-15T03:29:00Z</dcterms:created>
  <dcterms:modified xsi:type="dcterms:W3CDTF">2020-08-20T06:07:00Z</dcterms:modified>
</cp:coreProperties>
</file>