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57" w:rsidRPr="00286CE0" w:rsidRDefault="00331557" w:rsidP="00331557">
      <w:pPr>
        <w:spacing w:after="0" w:line="360" w:lineRule="auto"/>
        <w:rPr>
          <w:b/>
          <w:lang w:val="en-GB"/>
        </w:rPr>
      </w:pPr>
      <w:r>
        <w:rPr>
          <w:b/>
          <w:lang w:val="en-GB"/>
        </w:rPr>
        <w:t>Additional file 1</w:t>
      </w:r>
    </w:p>
    <w:p w:rsidR="00331557" w:rsidRDefault="00331557" w:rsidP="00331557">
      <w:pPr>
        <w:spacing w:after="0" w:line="360" w:lineRule="auto"/>
        <w:rPr>
          <w:lang w:val="en-GB"/>
        </w:rPr>
      </w:pPr>
    </w:p>
    <w:p w:rsidR="00EF4DE4" w:rsidRDefault="00EF4DE4" w:rsidP="00331557">
      <w:pPr>
        <w:spacing w:after="0" w:line="360" w:lineRule="auto"/>
        <w:rPr>
          <w:sz w:val="28"/>
          <w:lang w:val="en-GB"/>
        </w:rPr>
      </w:pPr>
      <w:r w:rsidRPr="00EF4DE4">
        <w:rPr>
          <w:sz w:val="28"/>
          <w:lang w:val="en-GB"/>
        </w:rPr>
        <w:t>Expert panel assessment</w:t>
      </w:r>
    </w:p>
    <w:p w:rsidR="002D0DD0" w:rsidRPr="00EF4DE4" w:rsidRDefault="002D0DD0" w:rsidP="00331557">
      <w:pPr>
        <w:spacing w:after="0" w:line="360" w:lineRule="auto"/>
        <w:rPr>
          <w:sz w:val="28"/>
          <w:lang w:val="en-GB"/>
        </w:rPr>
      </w:pPr>
    </w:p>
    <w:p w:rsidR="00DC5FB0" w:rsidRDefault="00EF4DE4" w:rsidP="00331557">
      <w:pPr>
        <w:spacing w:after="0" w:line="360" w:lineRule="auto"/>
        <w:rPr>
          <w:lang w:val="en-GB"/>
        </w:rPr>
      </w:pPr>
      <w:r>
        <w:rPr>
          <w:lang w:val="en-GB"/>
        </w:rPr>
        <w:t xml:space="preserve">All members of the </w:t>
      </w:r>
      <w:r w:rsidR="00F06F87">
        <w:rPr>
          <w:lang w:val="en-GB"/>
        </w:rPr>
        <w:t>expert panel</w:t>
      </w:r>
      <w:r>
        <w:rPr>
          <w:lang w:val="en-GB"/>
        </w:rPr>
        <w:t xml:space="preserve"> use a secure online tool (</w:t>
      </w:r>
      <w:proofErr w:type="spellStart"/>
      <w:r>
        <w:rPr>
          <w:lang w:val="en-GB"/>
        </w:rPr>
        <w:t>Sharepoint</w:t>
      </w:r>
      <w:proofErr w:type="spellEnd"/>
      <w:r>
        <w:rPr>
          <w:lang w:val="en-GB"/>
        </w:rPr>
        <w:t>)</w:t>
      </w:r>
      <w:r w:rsidR="00DC5FB0">
        <w:rPr>
          <w:lang w:val="en-GB"/>
        </w:rPr>
        <w:t xml:space="preserve"> for the assessment of the cases. All relevant medical information from the hospital and GP is presented in this online tool without any personal</w:t>
      </w:r>
      <w:r>
        <w:rPr>
          <w:lang w:val="en-GB"/>
        </w:rPr>
        <w:t xml:space="preserve"> </w:t>
      </w:r>
      <w:r w:rsidR="00DC5FB0">
        <w:rPr>
          <w:lang w:val="en-GB"/>
        </w:rPr>
        <w:t>information of the patients or other persons such as healthcare providers</w:t>
      </w:r>
      <w:r w:rsidR="00F06F87">
        <w:rPr>
          <w:lang w:val="en-GB"/>
        </w:rPr>
        <w:t xml:space="preserve"> (pseudo-anonymis</w:t>
      </w:r>
      <w:r w:rsidR="00DC5FB0">
        <w:rPr>
          <w:lang w:val="en-GB"/>
        </w:rPr>
        <w:t xml:space="preserve">ed). </w:t>
      </w:r>
    </w:p>
    <w:p w:rsidR="00DC5FB0" w:rsidRDefault="00DC5FB0" w:rsidP="00331557">
      <w:pPr>
        <w:spacing w:after="0" w:line="360" w:lineRule="auto"/>
        <w:rPr>
          <w:lang w:val="en-GB"/>
        </w:rPr>
      </w:pPr>
    </w:p>
    <w:p w:rsidR="00DC5FB0" w:rsidRDefault="00DC5FB0" w:rsidP="00331557">
      <w:pPr>
        <w:spacing w:after="0" w:line="360" w:lineRule="auto"/>
        <w:rPr>
          <w:lang w:val="en-GB"/>
        </w:rPr>
      </w:pPr>
      <w:r>
        <w:rPr>
          <w:lang w:val="en-GB"/>
        </w:rPr>
        <w:t>The experts have to answer 5 questions:</w:t>
      </w:r>
    </w:p>
    <w:p w:rsidR="00DC5FB0" w:rsidRDefault="00DC5FB0" w:rsidP="00331557">
      <w:pPr>
        <w:spacing w:after="0" w:line="360" w:lineRule="auto"/>
        <w:rPr>
          <w:lang w:val="en-GB"/>
        </w:rPr>
      </w:pPr>
      <w:r>
        <w:rPr>
          <w:lang w:val="en-GB"/>
        </w:rPr>
        <w:t>1: Is an infection the cause of the  acute complaints  the patients presented at inclusion?</w:t>
      </w:r>
      <w:r w:rsidR="002D0DD0">
        <w:rPr>
          <w:lang w:val="en-GB"/>
        </w:rPr>
        <w:t xml:space="preserve"> (Yes/No)</w:t>
      </w:r>
    </w:p>
    <w:p w:rsidR="00DC5FB0" w:rsidRDefault="00DC5FB0" w:rsidP="00331557">
      <w:pPr>
        <w:spacing w:after="0" w:line="360" w:lineRule="auto"/>
        <w:rPr>
          <w:lang w:val="en-GB"/>
        </w:rPr>
      </w:pPr>
      <w:r>
        <w:rPr>
          <w:lang w:val="en-GB"/>
        </w:rPr>
        <w:t>2: Is there an pre-existing condition causing a baseline SOFA-score &gt;0?</w:t>
      </w:r>
      <w:r w:rsidR="002D0DD0">
        <w:rPr>
          <w:lang w:val="en-GB"/>
        </w:rPr>
        <w:t xml:space="preserve"> </w:t>
      </w:r>
    </w:p>
    <w:p w:rsidR="002D0DD0" w:rsidRDefault="00DC5FB0" w:rsidP="00331557">
      <w:pPr>
        <w:spacing w:after="0" w:line="360" w:lineRule="auto"/>
        <w:rPr>
          <w:lang w:val="en-GB"/>
        </w:rPr>
      </w:pPr>
      <w:r>
        <w:rPr>
          <w:lang w:val="en-GB"/>
        </w:rPr>
        <w:t xml:space="preserve">3: </w:t>
      </w:r>
      <w:r w:rsidR="002D0DD0">
        <w:rPr>
          <w:lang w:val="en-GB"/>
        </w:rPr>
        <w:t>Does the patient meet the criteria for sepsis within 72 hours of inclusion? (Yes/No)</w:t>
      </w:r>
    </w:p>
    <w:p w:rsidR="002D0DD0" w:rsidRDefault="002D0DD0" w:rsidP="00331557">
      <w:pPr>
        <w:spacing w:after="0" w:line="360" w:lineRule="auto"/>
        <w:rPr>
          <w:lang w:val="en-GB"/>
        </w:rPr>
      </w:pPr>
      <w:r>
        <w:rPr>
          <w:lang w:val="en-GB"/>
        </w:rPr>
        <w:t>4: What is the likelihood of sepsis on a scale from 0-10?</w:t>
      </w:r>
    </w:p>
    <w:p w:rsidR="002D0DD0" w:rsidRDefault="002D0DD0" w:rsidP="00331557">
      <w:pPr>
        <w:spacing w:after="0" w:line="360" w:lineRule="auto"/>
        <w:rPr>
          <w:lang w:val="en-GB"/>
        </w:rPr>
      </w:pPr>
      <w:r>
        <w:rPr>
          <w:lang w:val="en-GB"/>
        </w:rPr>
        <w:t>5: How certain are you of the need for hospital treatment on a scale from 0-10?</w:t>
      </w:r>
    </w:p>
    <w:p w:rsidR="002D0DD0" w:rsidRDefault="002D0DD0" w:rsidP="00331557">
      <w:pPr>
        <w:spacing w:after="0" w:line="360" w:lineRule="auto"/>
        <w:rPr>
          <w:lang w:val="en-GB"/>
        </w:rPr>
      </w:pPr>
    </w:p>
    <w:p w:rsidR="002D0DD0" w:rsidRDefault="002D0DD0" w:rsidP="00331557">
      <w:pPr>
        <w:spacing w:after="0" w:line="360" w:lineRule="auto"/>
        <w:rPr>
          <w:lang w:val="en-GB"/>
        </w:rPr>
      </w:pPr>
      <w:r>
        <w:rPr>
          <w:lang w:val="en-GB"/>
        </w:rPr>
        <w:t>The information presented to the experts is the following:</w:t>
      </w:r>
    </w:p>
    <w:p w:rsidR="002D0DD0" w:rsidRDefault="002D0DD0" w:rsidP="00331557">
      <w:pPr>
        <w:spacing w:after="0" w:line="360" w:lineRule="auto"/>
        <w:rPr>
          <w:lang w:val="en-GB"/>
        </w:rPr>
      </w:pPr>
      <w:r>
        <w:rPr>
          <w:lang w:val="en-GB"/>
        </w:rPr>
        <w:t>- Letter from the GP visits during with the patient was included in the study</w:t>
      </w:r>
      <w:r w:rsidR="00F06F87">
        <w:rPr>
          <w:lang w:val="en-GB"/>
        </w:rPr>
        <w:t>.</w:t>
      </w:r>
    </w:p>
    <w:p w:rsidR="002D0DD0" w:rsidRDefault="002D0DD0" w:rsidP="00331557">
      <w:pPr>
        <w:spacing w:after="0" w:line="360" w:lineRule="auto"/>
        <w:rPr>
          <w:lang w:val="en-GB"/>
        </w:rPr>
      </w:pPr>
      <w:r>
        <w:rPr>
          <w:lang w:val="en-GB"/>
        </w:rPr>
        <w:t>- Discharge letters form ED visits within 72 hours.</w:t>
      </w:r>
    </w:p>
    <w:p w:rsidR="002D0DD0" w:rsidRDefault="002D0DD0" w:rsidP="00331557">
      <w:pPr>
        <w:spacing w:after="0" w:line="360" w:lineRule="auto"/>
        <w:rPr>
          <w:lang w:val="en-GB"/>
        </w:rPr>
      </w:pPr>
      <w:r>
        <w:rPr>
          <w:lang w:val="en-GB"/>
        </w:rPr>
        <w:t xml:space="preserve">- Discharge letters form </w:t>
      </w:r>
      <w:r w:rsidR="00F06F87">
        <w:rPr>
          <w:lang w:val="en-GB"/>
        </w:rPr>
        <w:t>hospitalisation</w:t>
      </w:r>
      <w:r>
        <w:rPr>
          <w:lang w:val="en-GB"/>
        </w:rPr>
        <w:t xml:space="preserve"> </w:t>
      </w:r>
      <w:r w:rsidR="00F06F87">
        <w:rPr>
          <w:lang w:val="en-GB"/>
        </w:rPr>
        <w:t>starting</w:t>
      </w:r>
      <w:r>
        <w:rPr>
          <w:lang w:val="en-GB"/>
        </w:rPr>
        <w:t xml:space="preserve"> within 72 hours.</w:t>
      </w:r>
    </w:p>
    <w:p w:rsidR="002D0DD0" w:rsidRDefault="002D0DD0" w:rsidP="00331557">
      <w:pPr>
        <w:spacing w:after="0" w:line="360" w:lineRule="auto"/>
        <w:rPr>
          <w:lang w:val="en-GB"/>
        </w:rPr>
      </w:pPr>
      <w:r>
        <w:rPr>
          <w:lang w:val="en-GB"/>
        </w:rPr>
        <w:t>- Medical record from GP contacts in the first 72 hours</w:t>
      </w:r>
      <w:r w:rsidR="00F06F87">
        <w:rPr>
          <w:lang w:val="en-GB"/>
        </w:rPr>
        <w:t>.</w:t>
      </w:r>
      <w:r>
        <w:rPr>
          <w:lang w:val="en-GB"/>
        </w:rPr>
        <w:t xml:space="preserve"> </w:t>
      </w:r>
    </w:p>
    <w:p w:rsidR="002D0DD0" w:rsidRDefault="002D0DD0" w:rsidP="00331557">
      <w:pPr>
        <w:spacing w:after="0" w:line="360" w:lineRule="auto"/>
        <w:rPr>
          <w:lang w:val="en-GB"/>
        </w:rPr>
      </w:pPr>
      <w:r>
        <w:rPr>
          <w:lang w:val="en-GB"/>
        </w:rPr>
        <w:t>-</w:t>
      </w:r>
      <w:r w:rsidR="00E26390">
        <w:rPr>
          <w:lang w:val="en-GB"/>
        </w:rPr>
        <w:t xml:space="preserve"> </w:t>
      </w:r>
      <w:r w:rsidR="00F06F87">
        <w:rPr>
          <w:lang w:val="en-GB"/>
        </w:rPr>
        <w:t>Microbiology</w:t>
      </w:r>
      <w:r>
        <w:rPr>
          <w:lang w:val="en-GB"/>
        </w:rPr>
        <w:t xml:space="preserve"> reports from cultures taken in the first 72 hours</w:t>
      </w:r>
      <w:r w:rsidR="00F06F87">
        <w:rPr>
          <w:lang w:val="en-GB"/>
        </w:rPr>
        <w:t>.</w:t>
      </w:r>
    </w:p>
    <w:p w:rsidR="002D0DD0" w:rsidRDefault="002D0DD0" w:rsidP="00331557">
      <w:pPr>
        <w:spacing w:after="0" w:line="360" w:lineRule="auto"/>
        <w:rPr>
          <w:lang w:val="en-GB"/>
        </w:rPr>
      </w:pPr>
      <w:r>
        <w:rPr>
          <w:lang w:val="en-GB"/>
        </w:rPr>
        <w:t xml:space="preserve">- Radiology reports </w:t>
      </w:r>
      <w:r w:rsidR="00E26390">
        <w:rPr>
          <w:lang w:val="en-GB"/>
        </w:rPr>
        <w:t xml:space="preserve">of all </w:t>
      </w:r>
      <w:r w:rsidR="00F06F87">
        <w:rPr>
          <w:lang w:val="en-GB"/>
        </w:rPr>
        <w:t>instigations</w:t>
      </w:r>
      <w:r w:rsidR="00E26390">
        <w:rPr>
          <w:lang w:val="en-GB"/>
        </w:rPr>
        <w:t xml:space="preserve"> in the first 7days after inclusion.</w:t>
      </w:r>
    </w:p>
    <w:p w:rsidR="00E26390" w:rsidRDefault="00E26390" w:rsidP="00331557">
      <w:pPr>
        <w:spacing w:after="0" w:line="360" w:lineRule="auto"/>
        <w:rPr>
          <w:lang w:val="en-GB"/>
        </w:rPr>
      </w:pPr>
      <w:r>
        <w:rPr>
          <w:lang w:val="en-GB"/>
        </w:rPr>
        <w:t>- Antibiotic treatment during hospitalisation.</w:t>
      </w:r>
    </w:p>
    <w:p w:rsidR="00E26390" w:rsidRDefault="00E26390" w:rsidP="00331557">
      <w:pPr>
        <w:spacing w:after="0" w:line="360" w:lineRule="auto"/>
        <w:rPr>
          <w:lang w:val="en-GB"/>
        </w:rPr>
      </w:pPr>
      <w:r>
        <w:rPr>
          <w:lang w:val="en-GB"/>
        </w:rPr>
        <w:t xml:space="preserve">- All relevant vital signs and laboratory values of the first 72 hours. The most abnormal  value for every </w:t>
      </w:r>
      <w:r w:rsidR="00F06F87">
        <w:rPr>
          <w:lang w:val="en-GB"/>
        </w:rPr>
        <w:t>calendar</w:t>
      </w:r>
      <w:r>
        <w:rPr>
          <w:lang w:val="en-GB"/>
        </w:rPr>
        <w:t xml:space="preserve"> day is presented in a table as shown below. The first </w:t>
      </w:r>
      <w:r w:rsidR="00F06F87">
        <w:rPr>
          <w:lang w:val="en-GB"/>
        </w:rPr>
        <w:t>calendar</w:t>
      </w:r>
      <w:r>
        <w:rPr>
          <w:lang w:val="en-GB"/>
        </w:rPr>
        <w:t xml:space="preserve"> day starts at the time of inclusion and the fourth calendar day ends exactly 72 hours after inclusion. </w:t>
      </w:r>
    </w:p>
    <w:p w:rsidR="005D30E6" w:rsidRDefault="00DC5FB0" w:rsidP="00331557">
      <w:pPr>
        <w:spacing w:after="0" w:line="360" w:lineRule="auto"/>
        <w:rPr>
          <w:lang w:val="en-GB"/>
        </w:rPr>
      </w:pPr>
      <w:r>
        <w:rPr>
          <w:lang w:val="en-GB"/>
        </w:rPr>
        <w:lastRenderedPageBreak/>
        <w:t xml:space="preserve"> </w:t>
      </w:r>
      <w:r w:rsidR="00EF4DE4">
        <w:rPr>
          <w:lang w:val="en-GB"/>
        </w:rPr>
        <w:t xml:space="preserve">  </w:t>
      </w:r>
      <w:r w:rsidR="00EF4DE4">
        <w:rPr>
          <w:noProof/>
          <w:lang w:val="nl-NL" w:eastAsia="nl-NL"/>
        </w:rPr>
        <w:drawing>
          <wp:inline distT="0" distB="0" distL="0" distR="0" wp14:anchorId="576EC3AB" wp14:editId="4F5555C1">
            <wp:extent cx="5943600" cy="2693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693135"/>
                    </a:xfrm>
                    <a:prstGeom prst="rect">
                      <a:avLst/>
                    </a:prstGeom>
                  </pic:spPr>
                </pic:pic>
              </a:graphicData>
            </a:graphic>
          </wp:inline>
        </w:drawing>
      </w:r>
    </w:p>
    <w:p w:rsidR="00F06F87" w:rsidRDefault="00F06F87" w:rsidP="00AD1DA6">
      <w:pPr>
        <w:spacing w:after="0" w:line="360" w:lineRule="auto"/>
        <w:rPr>
          <w:lang w:val="en-GB"/>
        </w:rPr>
      </w:pPr>
      <w:r>
        <w:rPr>
          <w:lang w:val="en-GB"/>
        </w:rPr>
        <w:t xml:space="preserve">All vital signs and laboratory values that can be digitally extracted from the electronic medical records are used, as well as the vital signs recorded on the case report form at inclusion. </w:t>
      </w:r>
      <w:r w:rsidR="00CE52BD">
        <w:rPr>
          <w:lang w:val="en-GB"/>
        </w:rPr>
        <w:t xml:space="preserve">Analyses of the blood samples collected for the study are not used to inform the experts. </w:t>
      </w:r>
    </w:p>
    <w:p w:rsidR="00F06F87" w:rsidRDefault="00F06F87" w:rsidP="00AD1DA6">
      <w:pPr>
        <w:spacing w:after="0" w:line="360" w:lineRule="auto"/>
        <w:rPr>
          <w:lang w:val="en-GB"/>
        </w:rPr>
      </w:pPr>
    </w:p>
    <w:p w:rsidR="009E79A3" w:rsidRDefault="009E79A3" w:rsidP="00AD1DA6">
      <w:pPr>
        <w:spacing w:after="0" w:line="360" w:lineRule="auto"/>
        <w:rPr>
          <w:lang w:val="en-GB"/>
        </w:rPr>
      </w:pPr>
      <w:r>
        <w:rPr>
          <w:lang w:val="en-GB"/>
        </w:rPr>
        <w:t xml:space="preserve">The experts are instructed </w:t>
      </w:r>
      <w:r w:rsidR="0057117E">
        <w:rPr>
          <w:lang w:val="en-GB"/>
        </w:rPr>
        <w:t xml:space="preserve">to use </w:t>
      </w:r>
      <w:r>
        <w:rPr>
          <w:lang w:val="en-GB"/>
        </w:rPr>
        <w:t>the S</w:t>
      </w:r>
      <w:r w:rsidR="00F06F87">
        <w:rPr>
          <w:lang w:val="en-GB"/>
        </w:rPr>
        <w:t>epsis</w:t>
      </w:r>
      <w:r>
        <w:rPr>
          <w:lang w:val="en-GB"/>
        </w:rPr>
        <w:t xml:space="preserve">-3 criteria for the determination of the primary outcome “sepsis within 72 hours”.  This </w:t>
      </w:r>
      <w:r w:rsidR="00BF2F12">
        <w:rPr>
          <w:lang w:val="en-GB"/>
        </w:rPr>
        <w:t>means</w:t>
      </w:r>
      <w:r>
        <w:rPr>
          <w:lang w:val="en-GB"/>
        </w:rPr>
        <w:t xml:space="preserve"> that sepsis is present i</w:t>
      </w:r>
      <w:r w:rsidR="006C1FDF">
        <w:rPr>
          <w:lang w:val="en-GB"/>
        </w:rPr>
        <w:t>f</w:t>
      </w:r>
      <w:r>
        <w:rPr>
          <w:lang w:val="en-GB"/>
        </w:rPr>
        <w:t xml:space="preserve"> an infection is the </w:t>
      </w:r>
      <w:r w:rsidR="00BF2F12">
        <w:rPr>
          <w:lang w:val="en-GB"/>
        </w:rPr>
        <w:t>cause</w:t>
      </w:r>
      <w:r>
        <w:rPr>
          <w:lang w:val="en-GB"/>
        </w:rPr>
        <w:t xml:space="preserve"> of the complaints</w:t>
      </w:r>
      <w:r w:rsidR="00BF2F12">
        <w:rPr>
          <w:lang w:val="en-GB"/>
        </w:rPr>
        <w:t xml:space="preserve"> in combination with </w:t>
      </w:r>
      <w:r>
        <w:rPr>
          <w:lang w:val="en-GB"/>
        </w:rPr>
        <w:t xml:space="preserve"> a</w:t>
      </w:r>
      <w:r w:rsidR="00F06F87">
        <w:rPr>
          <w:lang w:val="en-GB"/>
        </w:rPr>
        <w:t xml:space="preserve">n increase of the </w:t>
      </w:r>
      <w:r>
        <w:rPr>
          <w:lang w:val="en-GB"/>
        </w:rPr>
        <w:t xml:space="preserve"> SOFA score of</w:t>
      </w:r>
      <w:r w:rsidR="00F06F87">
        <w:rPr>
          <w:lang w:val="en-GB"/>
        </w:rPr>
        <w:t xml:space="preserve"> </w:t>
      </w:r>
      <w:r w:rsidR="00F06F87" w:rsidRPr="00AD1DA6">
        <w:rPr>
          <w:lang w:val="en-GB"/>
        </w:rPr>
        <w:t>≥</w:t>
      </w:r>
      <w:r>
        <w:rPr>
          <w:lang w:val="en-GB"/>
        </w:rPr>
        <w:t xml:space="preserve"> 2 </w:t>
      </w:r>
      <w:r w:rsidR="00F06F87">
        <w:rPr>
          <w:lang w:val="en-GB"/>
        </w:rPr>
        <w:t>from baseline,</w:t>
      </w:r>
      <w:r w:rsidR="00BF2F12">
        <w:rPr>
          <w:lang w:val="en-GB"/>
        </w:rPr>
        <w:t xml:space="preserve"> within 72 hours. The experts are instructed to </w:t>
      </w:r>
      <w:r w:rsidR="00F06F87">
        <w:rPr>
          <w:lang w:val="en-GB"/>
        </w:rPr>
        <w:t xml:space="preserve">take </w:t>
      </w:r>
      <w:r w:rsidR="0057117E">
        <w:rPr>
          <w:lang w:val="en-GB"/>
        </w:rPr>
        <w:t>pre-existing condition</w:t>
      </w:r>
      <w:r w:rsidR="00F06F87">
        <w:rPr>
          <w:lang w:val="en-GB"/>
        </w:rPr>
        <w:t xml:space="preserve">s into account to estimate what the baseline SOFA score of the patient most likely was. </w:t>
      </w:r>
      <w:r w:rsidR="0057117E">
        <w:rPr>
          <w:lang w:val="en-GB"/>
        </w:rPr>
        <w:t xml:space="preserve"> </w:t>
      </w:r>
    </w:p>
    <w:p w:rsidR="009E79A3" w:rsidRDefault="009E79A3" w:rsidP="00AD1DA6">
      <w:pPr>
        <w:spacing w:after="0"/>
        <w:rPr>
          <w:lang w:val="en-GB"/>
        </w:rPr>
      </w:pPr>
    </w:p>
    <w:p w:rsidR="00331557" w:rsidRPr="00AD1DA6" w:rsidRDefault="00F06F87" w:rsidP="00AD1DA6">
      <w:pPr>
        <w:spacing w:after="0" w:line="360" w:lineRule="auto"/>
        <w:rPr>
          <w:lang w:val="en-GB"/>
        </w:rPr>
      </w:pPr>
      <w:r w:rsidRPr="00AD1DA6">
        <w:rPr>
          <w:lang w:val="en-GB"/>
        </w:rPr>
        <w:t>Handling of missing</w:t>
      </w:r>
      <w:r w:rsidR="00331557" w:rsidRPr="00AD1DA6">
        <w:rPr>
          <w:lang w:val="en-GB"/>
        </w:rPr>
        <w:t xml:space="preserve"> SOFA points:</w:t>
      </w:r>
    </w:p>
    <w:p w:rsidR="00331557" w:rsidRDefault="00331557" w:rsidP="00AD1DA6">
      <w:pPr>
        <w:spacing w:after="0" w:line="360" w:lineRule="auto"/>
        <w:rPr>
          <w:lang w:val="en-GB"/>
        </w:rPr>
      </w:pPr>
    </w:p>
    <w:p w:rsidR="00BF2F12" w:rsidRDefault="00BF2F12" w:rsidP="00AD1DA6">
      <w:pPr>
        <w:spacing w:after="0" w:line="360" w:lineRule="auto"/>
        <w:rPr>
          <w:lang w:val="en-GB"/>
        </w:rPr>
      </w:pPr>
      <w:r>
        <w:rPr>
          <w:lang w:val="en-GB"/>
        </w:rPr>
        <w:t xml:space="preserve">Missing SOFA points are only imputed using direct information of the missing parameter. In the absence of direct information, the missing parameters are considered normal. </w:t>
      </w:r>
    </w:p>
    <w:p w:rsidR="00331557" w:rsidRDefault="00331557" w:rsidP="00AD1DA6">
      <w:pPr>
        <w:spacing w:after="0" w:line="360" w:lineRule="auto"/>
        <w:rPr>
          <w:lang w:val="en-GB"/>
        </w:rPr>
      </w:pPr>
      <w:r w:rsidRPr="00AD1DA6">
        <w:rPr>
          <w:lang w:val="en-GB"/>
        </w:rPr>
        <w:t xml:space="preserve">In case blood results needed for the calculation of SOFA points (platelets, creatinine and/or bilirubin) are not available on one or more of the four calendar days in the first 72 hours, no points are given to that part of the SOFA score. The only exception is in case the missing value is between two days on which the blood values are available. In that case the blood result is imputed with the assumption there was a linear trend between the two measured values. For </w:t>
      </w:r>
      <w:r w:rsidRPr="00AD1DA6">
        <w:rPr>
          <w:lang w:val="en-GB"/>
        </w:rPr>
        <w:lastRenderedPageBreak/>
        <w:t>example, if on Day 1 the creatinine is 130 and on Day 3 100, the imputed value for Day 2 is 115 (Day 4 is not imputed). If the creatinine is 130 on Day 1 and 100 on Day 4, a value of 120 is imputed on Day 2 and 110 on Day 3. Only blood results from the hospital within the first 72 hours are used.</w:t>
      </w:r>
    </w:p>
    <w:p w:rsidR="00331557" w:rsidRDefault="00331557" w:rsidP="00AD1DA6">
      <w:pPr>
        <w:spacing w:after="0" w:line="360" w:lineRule="auto"/>
        <w:rPr>
          <w:lang w:val="en-GB"/>
        </w:rPr>
      </w:pPr>
    </w:p>
    <w:p w:rsidR="00331557" w:rsidRPr="00AD1DA6" w:rsidRDefault="00331557" w:rsidP="00AD1DA6">
      <w:pPr>
        <w:spacing w:after="0" w:line="360" w:lineRule="auto"/>
        <w:rPr>
          <w:lang w:val="en-GB"/>
        </w:rPr>
      </w:pPr>
      <w:r w:rsidRPr="00AD1DA6">
        <w:rPr>
          <w:lang w:val="en-GB"/>
        </w:rPr>
        <w:t xml:space="preserve">Peripheral oxygen saturation (SpO2) and supplemented oxygen are used to estimate respectively the </w:t>
      </w:r>
      <w:r w:rsidR="00DB4FC8" w:rsidRPr="00AD1DA6">
        <w:rPr>
          <w:lang w:val="en-GB"/>
        </w:rPr>
        <w:t>Pa</w:t>
      </w:r>
      <w:r w:rsidRPr="00AD1DA6">
        <w:rPr>
          <w:lang w:val="en-GB"/>
        </w:rPr>
        <w:t xml:space="preserve">O2 and FiO2 for calculation of the </w:t>
      </w:r>
      <w:r w:rsidR="00DB4FC8" w:rsidRPr="00AD1DA6">
        <w:rPr>
          <w:lang w:val="en-GB"/>
        </w:rPr>
        <w:t>Pa</w:t>
      </w:r>
      <w:r w:rsidRPr="00AD1DA6">
        <w:rPr>
          <w:lang w:val="en-GB"/>
        </w:rPr>
        <w:t xml:space="preserve">O2/FiO2 ratio. Results from blood gas analyses are (outside the ICU) are not taken into account as the amount of oxygen supplied at the time of blood collection is unknown. For the estimation of the </w:t>
      </w:r>
      <w:r w:rsidR="00DB4FC8" w:rsidRPr="00AD1DA6">
        <w:rPr>
          <w:lang w:val="en-GB"/>
        </w:rPr>
        <w:t>Pa</w:t>
      </w:r>
      <w:r w:rsidRPr="00AD1DA6">
        <w:rPr>
          <w:lang w:val="en-GB"/>
        </w:rPr>
        <w:t>O2 and FiO2, the following conversion tables are used:</w:t>
      </w:r>
    </w:p>
    <w:p w:rsidR="00331557" w:rsidRDefault="00331557" w:rsidP="00331557"/>
    <w:tbl>
      <w:tblPr>
        <w:tblStyle w:val="Tabelraster"/>
        <w:tblW w:w="8045" w:type="dxa"/>
        <w:tblLayout w:type="fixed"/>
        <w:tblLook w:val="0000" w:firstRow="0" w:lastRow="0" w:firstColumn="0" w:lastColumn="0" w:noHBand="0" w:noVBand="0"/>
      </w:tblPr>
      <w:tblGrid>
        <w:gridCol w:w="1661"/>
        <w:gridCol w:w="1596"/>
        <w:gridCol w:w="1596"/>
        <w:gridCol w:w="1596"/>
        <w:gridCol w:w="1596"/>
      </w:tblGrid>
      <w:tr w:rsidR="00647AF7" w:rsidRPr="00647AF7" w:rsidTr="00647AF7">
        <w:trPr>
          <w:trHeight w:val="290"/>
        </w:trPr>
        <w:tc>
          <w:tcPr>
            <w:tcW w:w="1661" w:type="dxa"/>
          </w:tcPr>
          <w:p w:rsidR="00647AF7" w:rsidRPr="00647AF7" w:rsidRDefault="00647AF7" w:rsidP="009678E9">
            <w:pPr>
              <w:autoSpaceDE w:val="0"/>
              <w:autoSpaceDN w:val="0"/>
              <w:adjustRightInd w:val="0"/>
              <w:rPr>
                <w:rFonts w:ascii="Calibri" w:hAnsi="Calibri" w:cs="Calibri"/>
                <w:bCs/>
                <w:color w:val="000000" w:themeColor="text1"/>
                <w:lang w:val="nl-NL"/>
              </w:rPr>
            </w:pPr>
            <w:r w:rsidRPr="00647AF7">
              <w:rPr>
                <w:rFonts w:ascii="Calibri" w:hAnsi="Calibri" w:cs="Calibri"/>
                <w:bCs/>
                <w:color w:val="000000" w:themeColor="text1"/>
                <w:lang w:val="nl-NL"/>
              </w:rPr>
              <w:t>SpO</w:t>
            </w:r>
            <w:r w:rsidRPr="00647AF7">
              <w:rPr>
                <w:rFonts w:ascii="Calibri" w:hAnsi="Calibri" w:cs="Calibri"/>
                <w:bCs/>
                <w:color w:val="000000" w:themeColor="text1"/>
                <w:vertAlign w:val="subscript"/>
                <w:lang w:val="nl-NL"/>
              </w:rPr>
              <w:t>2</w:t>
            </w:r>
            <w:r w:rsidRPr="00647AF7">
              <w:rPr>
                <w:rFonts w:ascii="Calibri" w:hAnsi="Calibri" w:cs="Calibri"/>
                <w:bCs/>
                <w:color w:val="000000" w:themeColor="text1"/>
                <w:lang w:val="nl-NL"/>
              </w:rPr>
              <w:t xml:space="preserve"> (%)</w:t>
            </w:r>
          </w:p>
        </w:tc>
        <w:tc>
          <w:tcPr>
            <w:tcW w:w="1596" w:type="dxa"/>
          </w:tcPr>
          <w:p w:rsidR="00647AF7" w:rsidRPr="00647AF7" w:rsidRDefault="00647AF7" w:rsidP="009678E9">
            <w:pPr>
              <w:autoSpaceDE w:val="0"/>
              <w:autoSpaceDN w:val="0"/>
              <w:adjustRightInd w:val="0"/>
              <w:rPr>
                <w:rFonts w:ascii="Calibri" w:hAnsi="Calibri" w:cs="Calibri"/>
                <w:bCs/>
                <w:color w:val="000000" w:themeColor="text1"/>
                <w:lang w:val="nl-NL"/>
              </w:rPr>
            </w:pPr>
            <w:r w:rsidRPr="00647AF7">
              <w:rPr>
                <w:rFonts w:ascii="Calibri" w:hAnsi="Calibri" w:cs="Calibri"/>
                <w:bCs/>
                <w:color w:val="000000" w:themeColor="text1"/>
                <w:lang w:val="nl-NL"/>
              </w:rPr>
              <w:t>PaO</w:t>
            </w:r>
            <w:r w:rsidRPr="00647AF7">
              <w:rPr>
                <w:rFonts w:ascii="Calibri" w:hAnsi="Calibri" w:cs="Calibri"/>
                <w:bCs/>
                <w:color w:val="000000" w:themeColor="text1"/>
                <w:vertAlign w:val="subscript"/>
                <w:lang w:val="nl-NL"/>
              </w:rPr>
              <w:t>2</w:t>
            </w:r>
            <w:r w:rsidRPr="00647AF7">
              <w:rPr>
                <w:rFonts w:ascii="Calibri" w:hAnsi="Calibri" w:cs="Calibri"/>
                <w:bCs/>
                <w:color w:val="000000" w:themeColor="text1"/>
                <w:lang w:val="nl-NL"/>
              </w:rPr>
              <w:t xml:space="preserve"> (</w:t>
            </w:r>
            <w:proofErr w:type="spellStart"/>
            <w:r w:rsidRPr="00647AF7">
              <w:rPr>
                <w:rFonts w:ascii="Calibri" w:hAnsi="Calibri" w:cs="Calibri"/>
                <w:bCs/>
                <w:color w:val="000000" w:themeColor="text1"/>
                <w:lang w:val="nl-NL"/>
              </w:rPr>
              <w:t>mmHg</w:t>
            </w:r>
            <w:proofErr w:type="spellEnd"/>
            <w:r w:rsidRPr="00647AF7">
              <w:rPr>
                <w:rFonts w:ascii="Calibri" w:hAnsi="Calibri" w:cs="Calibri"/>
                <w:bCs/>
                <w:color w:val="000000" w:themeColor="text1"/>
                <w:lang w:val="nl-NL"/>
              </w:rPr>
              <w:t>)</w:t>
            </w:r>
          </w:p>
        </w:tc>
        <w:tc>
          <w:tcPr>
            <w:tcW w:w="1596" w:type="dxa"/>
            <w:tcBorders>
              <w:top w:val="nil"/>
              <w:bottom w:val="nil"/>
            </w:tcBorders>
          </w:tcPr>
          <w:p w:rsidR="00647AF7" w:rsidRPr="00647AF7" w:rsidRDefault="00647AF7" w:rsidP="009678E9">
            <w:pPr>
              <w:autoSpaceDE w:val="0"/>
              <w:autoSpaceDN w:val="0"/>
              <w:adjustRightInd w:val="0"/>
              <w:rPr>
                <w:rFonts w:ascii="Calibri" w:hAnsi="Calibri" w:cs="Calibri"/>
                <w:bCs/>
                <w:color w:val="000000" w:themeColor="text1"/>
                <w:lang w:val="nl-NL"/>
              </w:rPr>
            </w:pPr>
          </w:p>
        </w:tc>
        <w:tc>
          <w:tcPr>
            <w:tcW w:w="1596" w:type="dxa"/>
            <w:tcBorders>
              <w:bottom w:val="single" w:sz="4" w:space="0" w:color="auto"/>
            </w:tcBorders>
          </w:tcPr>
          <w:p w:rsidR="00647AF7" w:rsidRPr="00647AF7" w:rsidRDefault="00647AF7" w:rsidP="00B04C39">
            <w:pPr>
              <w:autoSpaceDE w:val="0"/>
              <w:autoSpaceDN w:val="0"/>
              <w:adjustRightInd w:val="0"/>
              <w:rPr>
                <w:rFonts w:ascii="Calibri" w:hAnsi="Calibri" w:cs="Calibri"/>
                <w:bCs/>
                <w:lang w:val="nl-NL"/>
              </w:rPr>
            </w:pPr>
            <w:r w:rsidRPr="00647AF7">
              <w:rPr>
                <w:rFonts w:ascii="Calibri" w:hAnsi="Calibri" w:cs="Calibri"/>
                <w:bCs/>
                <w:lang w:val="nl-NL"/>
              </w:rPr>
              <w:t>O</w:t>
            </w:r>
            <w:r w:rsidRPr="00647AF7">
              <w:rPr>
                <w:rFonts w:ascii="Calibri" w:hAnsi="Calibri" w:cs="Calibri"/>
                <w:bCs/>
                <w:vertAlign w:val="subscript"/>
                <w:lang w:val="nl-NL"/>
              </w:rPr>
              <w:t>2</w:t>
            </w:r>
            <w:r w:rsidRPr="00647AF7">
              <w:rPr>
                <w:rFonts w:ascii="Calibri" w:hAnsi="Calibri" w:cs="Calibri"/>
                <w:bCs/>
                <w:lang w:val="nl-NL"/>
              </w:rPr>
              <w:t xml:space="preserve"> flow (l/min)</w:t>
            </w:r>
          </w:p>
        </w:tc>
        <w:tc>
          <w:tcPr>
            <w:tcW w:w="1596" w:type="dxa"/>
          </w:tcPr>
          <w:p w:rsidR="00647AF7" w:rsidRPr="00647AF7" w:rsidRDefault="00647AF7" w:rsidP="00B04C39">
            <w:pPr>
              <w:autoSpaceDE w:val="0"/>
              <w:autoSpaceDN w:val="0"/>
              <w:adjustRightInd w:val="0"/>
              <w:rPr>
                <w:rFonts w:ascii="Calibri" w:hAnsi="Calibri" w:cs="Calibri"/>
                <w:bCs/>
                <w:lang w:val="nl-NL"/>
              </w:rPr>
            </w:pPr>
            <w:r w:rsidRPr="00647AF7">
              <w:rPr>
                <w:rFonts w:ascii="Calibri" w:hAnsi="Calibri" w:cs="Calibri"/>
                <w:bCs/>
                <w:lang w:val="nl-NL"/>
              </w:rPr>
              <w:t>FiO</w:t>
            </w:r>
            <w:r w:rsidRPr="00647AF7">
              <w:rPr>
                <w:rFonts w:ascii="Calibri" w:hAnsi="Calibri" w:cs="Calibri"/>
                <w:bCs/>
                <w:vertAlign w:val="subscript"/>
                <w:lang w:val="nl-NL"/>
              </w:rPr>
              <w:t>2</w:t>
            </w:r>
            <w:r w:rsidRPr="00647AF7">
              <w:rPr>
                <w:rFonts w:ascii="Calibri" w:hAnsi="Calibri" w:cs="Calibri"/>
                <w:bCs/>
                <w:lang w:val="nl-NL"/>
              </w:rPr>
              <w:t xml:space="preserve"> (%)</w:t>
            </w: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≤80</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44</w:t>
            </w:r>
          </w:p>
        </w:tc>
        <w:tc>
          <w:tcPr>
            <w:tcW w:w="1596" w:type="dxa"/>
            <w:tcBorders>
              <w:top w:val="nil"/>
              <w:left w:val="single" w:sz="4" w:space="0" w:color="auto"/>
              <w:bottom w:val="nil"/>
              <w:right w:val="single" w:sz="4" w:space="0" w:color="auto"/>
            </w:tcBorders>
          </w:tcPr>
          <w:p w:rsidR="00647AF7" w:rsidRPr="00647AF7" w:rsidRDefault="00647AF7" w:rsidP="009678E9">
            <w:pPr>
              <w:autoSpaceDE w:val="0"/>
              <w:autoSpaceDN w:val="0"/>
              <w:adjustRightInd w:val="0"/>
              <w:jc w:val="right"/>
              <w:rPr>
                <w:rFonts w:ascii="Calibri" w:hAnsi="Calibri" w:cs="Calibri"/>
                <w:b/>
                <w:bCs/>
                <w:color w:val="000000" w:themeColor="text1"/>
                <w:lang w:val="nl-NL"/>
              </w:rPr>
            </w:pPr>
          </w:p>
        </w:tc>
        <w:tc>
          <w:tcPr>
            <w:tcW w:w="1596" w:type="dxa"/>
            <w:tcBorders>
              <w:top w:val="single" w:sz="4" w:space="0" w:color="auto"/>
              <w:left w:val="single" w:sz="4" w:space="0" w:color="auto"/>
              <w:bottom w:val="single" w:sz="4" w:space="0" w:color="auto"/>
              <w:righ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0</w:t>
            </w:r>
          </w:p>
        </w:tc>
        <w:tc>
          <w:tcPr>
            <w:tcW w:w="1596" w:type="dxa"/>
            <w:tcBorders>
              <w:lef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21</w:t>
            </w: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81</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45</w:t>
            </w:r>
          </w:p>
        </w:tc>
        <w:tc>
          <w:tcPr>
            <w:tcW w:w="1596" w:type="dxa"/>
            <w:tcBorders>
              <w:top w:val="nil"/>
              <w:left w:val="single" w:sz="4" w:space="0" w:color="auto"/>
              <w:bottom w:val="nil"/>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single" w:sz="4" w:space="0" w:color="auto"/>
              <w:left w:val="single" w:sz="4" w:space="0" w:color="auto"/>
              <w:bottom w:val="single" w:sz="4" w:space="0" w:color="auto"/>
              <w:righ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1</w:t>
            </w:r>
          </w:p>
        </w:tc>
        <w:tc>
          <w:tcPr>
            <w:tcW w:w="1596" w:type="dxa"/>
            <w:tcBorders>
              <w:lef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24</w:t>
            </w: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82</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46</w:t>
            </w:r>
          </w:p>
        </w:tc>
        <w:tc>
          <w:tcPr>
            <w:tcW w:w="1596" w:type="dxa"/>
            <w:tcBorders>
              <w:top w:val="nil"/>
              <w:left w:val="single" w:sz="4" w:space="0" w:color="auto"/>
              <w:bottom w:val="nil"/>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single" w:sz="4" w:space="0" w:color="auto"/>
              <w:left w:val="single" w:sz="4" w:space="0" w:color="auto"/>
              <w:bottom w:val="single" w:sz="4" w:space="0" w:color="auto"/>
              <w:righ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2</w:t>
            </w:r>
          </w:p>
        </w:tc>
        <w:tc>
          <w:tcPr>
            <w:tcW w:w="1596" w:type="dxa"/>
            <w:tcBorders>
              <w:lef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28</w:t>
            </w: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83</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47</w:t>
            </w:r>
          </w:p>
        </w:tc>
        <w:tc>
          <w:tcPr>
            <w:tcW w:w="1596" w:type="dxa"/>
            <w:tcBorders>
              <w:top w:val="nil"/>
              <w:left w:val="single" w:sz="4" w:space="0" w:color="auto"/>
              <w:bottom w:val="nil"/>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single" w:sz="4" w:space="0" w:color="auto"/>
              <w:left w:val="single" w:sz="4" w:space="0" w:color="auto"/>
              <w:bottom w:val="single" w:sz="4" w:space="0" w:color="auto"/>
              <w:righ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3</w:t>
            </w:r>
          </w:p>
        </w:tc>
        <w:tc>
          <w:tcPr>
            <w:tcW w:w="1596" w:type="dxa"/>
            <w:tcBorders>
              <w:lef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32</w:t>
            </w: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84</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49</w:t>
            </w:r>
          </w:p>
        </w:tc>
        <w:tc>
          <w:tcPr>
            <w:tcW w:w="1596" w:type="dxa"/>
            <w:tcBorders>
              <w:top w:val="nil"/>
              <w:left w:val="single" w:sz="4" w:space="0" w:color="auto"/>
              <w:bottom w:val="nil"/>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single" w:sz="4" w:space="0" w:color="auto"/>
              <w:left w:val="single" w:sz="4" w:space="0" w:color="auto"/>
              <w:bottom w:val="single" w:sz="4" w:space="0" w:color="auto"/>
              <w:righ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4</w:t>
            </w:r>
          </w:p>
        </w:tc>
        <w:tc>
          <w:tcPr>
            <w:tcW w:w="1596" w:type="dxa"/>
            <w:tcBorders>
              <w:lef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36</w:t>
            </w: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85</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50</w:t>
            </w:r>
          </w:p>
        </w:tc>
        <w:tc>
          <w:tcPr>
            <w:tcW w:w="1596" w:type="dxa"/>
            <w:tcBorders>
              <w:top w:val="nil"/>
              <w:left w:val="single" w:sz="4" w:space="0" w:color="auto"/>
              <w:bottom w:val="nil"/>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single" w:sz="4" w:space="0" w:color="auto"/>
              <w:left w:val="single" w:sz="4" w:space="0" w:color="auto"/>
              <w:bottom w:val="single" w:sz="4" w:space="0" w:color="auto"/>
              <w:righ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5</w:t>
            </w:r>
          </w:p>
        </w:tc>
        <w:tc>
          <w:tcPr>
            <w:tcW w:w="1596" w:type="dxa"/>
            <w:tcBorders>
              <w:lef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40</w:t>
            </w: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86</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52</w:t>
            </w:r>
          </w:p>
        </w:tc>
        <w:tc>
          <w:tcPr>
            <w:tcW w:w="1596" w:type="dxa"/>
            <w:tcBorders>
              <w:top w:val="nil"/>
              <w:left w:val="single" w:sz="4" w:space="0" w:color="auto"/>
              <w:bottom w:val="nil"/>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single" w:sz="4" w:space="0" w:color="auto"/>
              <w:left w:val="single" w:sz="4" w:space="0" w:color="auto"/>
              <w:bottom w:val="single" w:sz="4" w:space="0" w:color="auto"/>
              <w:right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≥6</w:t>
            </w:r>
          </w:p>
        </w:tc>
        <w:tc>
          <w:tcPr>
            <w:tcW w:w="1596" w:type="dxa"/>
            <w:tcBorders>
              <w:left w:val="single" w:sz="4" w:space="0" w:color="auto"/>
              <w:bottom w:val="single" w:sz="4" w:space="0" w:color="auto"/>
            </w:tcBorders>
          </w:tcPr>
          <w:p w:rsidR="00647AF7" w:rsidRPr="00647AF7" w:rsidRDefault="00647AF7" w:rsidP="00B04C39">
            <w:pPr>
              <w:autoSpaceDE w:val="0"/>
              <w:autoSpaceDN w:val="0"/>
              <w:adjustRightInd w:val="0"/>
              <w:jc w:val="right"/>
              <w:rPr>
                <w:rFonts w:ascii="Calibri" w:hAnsi="Calibri" w:cs="Calibri"/>
                <w:bCs/>
                <w:lang w:val="nl-NL"/>
              </w:rPr>
            </w:pPr>
            <w:r w:rsidRPr="00647AF7">
              <w:rPr>
                <w:rFonts w:ascii="Calibri" w:hAnsi="Calibri" w:cs="Calibri"/>
                <w:bCs/>
                <w:lang w:val="nl-NL"/>
              </w:rPr>
              <w:t>44</w:t>
            </w: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87</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53</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single" w:sz="4" w:space="0" w:color="auto"/>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single" w:sz="4" w:space="0" w:color="auto"/>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88</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55</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89</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57</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90</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60</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91</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62</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92</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65</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93</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69</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94</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73</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95</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79</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96</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86</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97</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96</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98</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112</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99</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145</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r w:rsidR="00647AF7" w:rsidRPr="00647AF7" w:rsidTr="00647AF7">
        <w:trPr>
          <w:trHeight w:val="290"/>
        </w:trPr>
        <w:tc>
          <w:tcPr>
            <w:tcW w:w="1661" w:type="dxa"/>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100</w:t>
            </w:r>
          </w:p>
        </w:tc>
        <w:tc>
          <w:tcPr>
            <w:tcW w:w="1596" w:type="dxa"/>
            <w:tcBorders>
              <w:right w:val="single" w:sz="4" w:space="0" w:color="auto"/>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r w:rsidRPr="00647AF7">
              <w:rPr>
                <w:rFonts w:ascii="Calibri" w:hAnsi="Calibri" w:cs="Calibri"/>
                <w:bCs/>
                <w:color w:val="000000" w:themeColor="text1"/>
                <w:lang w:val="nl-NL"/>
              </w:rPr>
              <w:t>200</w:t>
            </w:r>
          </w:p>
        </w:tc>
        <w:tc>
          <w:tcPr>
            <w:tcW w:w="1596" w:type="dxa"/>
            <w:tcBorders>
              <w:top w:val="nil"/>
              <w:left w:val="single" w:sz="4" w:space="0" w:color="auto"/>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c>
          <w:tcPr>
            <w:tcW w:w="1596" w:type="dxa"/>
            <w:tcBorders>
              <w:top w:val="nil"/>
              <w:left w:val="nil"/>
              <w:bottom w:val="nil"/>
              <w:right w:val="nil"/>
            </w:tcBorders>
          </w:tcPr>
          <w:p w:rsidR="00647AF7" w:rsidRPr="00647AF7" w:rsidRDefault="00647AF7" w:rsidP="009678E9">
            <w:pPr>
              <w:autoSpaceDE w:val="0"/>
              <w:autoSpaceDN w:val="0"/>
              <w:adjustRightInd w:val="0"/>
              <w:jc w:val="right"/>
              <w:rPr>
                <w:rFonts w:ascii="Calibri" w:hAnsi="Calibri" w:cs="Calibri"/>
                <w:bCs/>
                <w:color w:val="000000" w:themeColor="text1"/>
                <w:lang w:val="nl-NL"/>
              </w:rPr>
            </w:pPr>
          </w:p>
        </w:tc>
      </w:tr>
    </w:tbl>
    <w:p w:rsidR="00331557" w:rsidRPr="00647AF7" w:rsidRDefault="00331557" w:rsidP="00331557"/>
    <w:p w:rsidR="00647AF7" w:rsidRDefault="00647AF7">
      <w:r>
        <w:br w:type="page"/>
      </w:r>
    </w:p>
    <w:p w:rsidR="00331557" w:rsidRPr="00AD1DA6" w:rsidRDefault="00331557" w:rsidP="00AD1DA6">
      <w:pPr>
        <w:spacing w:after="0" w:line="360" w:lineRule="auto"/>
        <w:rPr>
          <w:lang w:val="en-GB"/>
        </w:rPr>
      </w:pPr>
      <w:bookmarkStart w:id="0" w:name="_GoBack"/>
      <w:r w:rsidRPr="00AD1DA6">
        <w:rPr>
          <w:lang w:val="en-GB"/>
        </w:rPr>
        <w:lastRenderedPageBreak/>
        <w:t>Mean arterial blood pressure (MAP) is calculated using the formula: (2 x diastolic blood pressure + systolic blood pressure)/3.</w:t>
      </w:r>
    </w:p>
    <w:p w:rsidR="00331557" w:rsidRPr="00AD1DA6" w:rsidRDefault="00331557" w:rsidP="00AD1DA6">
      <w:pPr>
        <w:spacing w:after="0" w:line="360" w:lineRule="auto"/>
        <w:rPr>
          <w:lang w:val="en-GB"/>
        </w:rPr>
      </w:pPr>
      <w:r w:rsidRPr="00AD1DA6">
        <w:rPr>
          <w:lang w:val="en-GB"/>
        </w:rPr>
        <w:t xml:space="preserve">The AVPU scale (an acronym for "alert, verbal, pain, unresponsive") is used to impute the Glasgow Coma Score. For “A” a score of 15 is imputed, for “V” a score of 12, for “P” a score of 8 and for “U” a Glasgow Coma Score of 3. In case the AVPU scale is extended with “D” for “delirium”, a score of 14 is imputed. </w:t>
      </w:r>
      <w:r w:rsidR="00CE52BD" w:rsidRPr="00AD1DA6">
        <w:rPr>
          <w:lang w:val="en-GB"/>
        </w:rPr>
        <w:t>In case on the case report form the m</w:t>
      </w:r>
      <w:r w:rsidR="00647AF7" w:rsidRPr="00AD1DA6">
        <w:rPr>
          <w:lang w:val="en-GB"/>
        </w:rPr>
        <w:t>e</w:t>
      </w:r>
      <w:r w:rsidR="00CE52BD" w:rsidRPr="00AD1DA6">
        <w:rPr>
          <w:lang w:val="en-GB"/>
        </w:rPr>
        <w:t>nt</w:t>
      </w:r>
      <w:r w:rsidR="00647AF7" w:rsidRPr="00AD1DA6">
        <w:rPr>
          <w:lang w:val="en-GB"/>
        </w:rPr>
        <w:t>a</w:t>
      </w:r>
      <w:r w:rsidR="00CE52BD" w:rsidRPr="00AD1DA6">
        <w:rPr>
          <w:lang w:val="en-GB"/>
        </w:rPr>
        <w:t xml:space="preserve">l status is recorded as  “altered”, a Glasgow Coma Score of 14 is imputed. </w:t>
      </w:r>
    </w:p>
    <w:p w:rsidR="00331557" w:rsidRDefault="00331557" w:rsidP="00AD1DA6">
      <w:pPr>
        <w:spacing w:after="0" w:line="360" w:lineRule="auto"/>
        <w:rPr>
          <w:lang w:val="en-GB"/>
        </w:rPr>
      </w:pPr>
      <w:r>
        <w:rPr>
          <w:lang w:val="en-GB"/>
        </w:rPr>
        <w:t xml:space="preserve">In case patients were admitted in the ICU on a specific day within 72 hours of inclusion, SOFA points are </w:t>
      </w:r>
      <w:r w:rsidR="001D3230">
        <w:rPr>
          <w:lang w:val="en-GB"/>
        </w:rPr>
        <w:t xml:space="preserve">obtained </w:t>
      </w:r>
      <w:r>
        <w:rPr>
          <w:lang w:val="en-GB"/>
        </w:rPr>
        <w:t xml:space="preserve">from the electronic medical records from the ICU. </w:t>
      </w:r>
    </w:p>
    <w:bookmarkEnd w:id="0"/>
    <w:p w:rsidR="000D0A08" w:rsidRPr="00331557" w:rsidRDefault="000D0A08" w:rsidP="00AD1DA6">
      <w:pPr>
        <w:spacing w:after="0" w:line="360" w:lineRule="auto"/>
        <w:rPr>
          <w:lang w:val="en-GB"/>
        </w:rPr>
      </w:pPr>
    </w:p>
    <w:sectPr w:rsidR="000D0A08" w:rsidRPr="0033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57"/>
    <w:rsid w:val="00021BC3"/>
    <w:rsid w:val="000D0A08"/>
    <w:rsid w:val="001D3230"/>
    <w:rsid w:val="002D0DD0"/>
    <w:rsid w:val="00331557"/>
    <w:rsid w:val="0057117E"/>
    <w:rsid w:val="005D30E6"/>
    <w:rsid w:val="00647AF7"/>
    <w:rsid w:val="006C1FDF"/>
    <w:rsid w:val="009E79A3"/>
    <w:rsid w:val="00AD1DA6"/>
    <w:rsid w:val="00BF2F12"/>
    <w:rsid w:val="00CE52BD"/>
    <w:rsid w:val="00DB4FC8"/>
    <w:rsid w:val="00DC5FB0"/>
    <w:rsid w:val="00E26390"/>
    <w:rsid w:val="00EF4DE4"/>
    <w:rsid w:val="00F06F87"/>
    <w:rsid w:val="00F6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15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Standaardalinea-lettertype"/>
    <w:rsid w:val="00331557"/>
  </w:style>
  <w:style w:type="paragraph" w:styleId="Ballontekst">
    <w:name w:val="Balloon Text"/>
    <w:basedOn w:val="Standaard"/>
    <w:link w:val="BallontekstChar"/>
    <w:uiPriority w:val="99"/>
    <w:semiHidden/>
    <w:unhideWhenUsed/>
    <w:rsid w:val="00EF4D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15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Standaardalinea-lettertype"/>
    <w:rsid w:val="00331557"/>
  </w:style>
  <w:style w:type="paragraph" w:styleId="Ballontekst">
    <w:name w:val="Balloon Text"/>
    <w:basedOn w:val="Standaard"/>
    <w:link w:val="BallontekstChar"/>
    <w:uiPriority w:val="99"/>
    <w:semiHidden/>
    <w:unhideWhenUsed/>
    <w:rsid w:val="00EF4D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BB4F33C4</Template>
  <TotalTime>13</TotalTime>
  <Pages>4</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Feike Loots</dc:creator>
  <cp:lastModifiedBy>Feike Loots</cp:lastModifiedBy>
  <cp:revision>5</cp:revision>
  <dcterms:created xsi:type="dcterms:W3CDTF">2020-04-14T06:53:00Z</dcterms:created>
  <dcterms:modified xsi:type="dcterms:W3CDTF">2020-04-14T07:14:00Z</dcterms:modified>
</cp:coreProperties>
</file>