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0" w:rsidRPr="00E84622" w:rsidRDefault="00614D0B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E84622">
        <w:rPr>
          <w:rFonts w:ascii="Times New Roman" w:hAnsi="Times New Roman" w:cs="Times New Roman"/>
          <w:sz w:val="28"/>
          <w:szCs w:val="24"/>
          <w:lang w:val="en-US"/>
        </w:rPr>
        <w:t>Additional</w:t>
      </w:r>
      <w:r w:rsidR="00C83CEF" w:rsidRPr="00E84622">
        <w:rPr>
          <w:rFonts w:ascii="Times New Roman" w:hAnsi="Times New Roman" w:cs="Times New Roman"/>
          <w:sz w:val="28"/>
          <w:szCs w:val="24"/>
          <w:lang w:val="en-US"/>
        </w:rPr>
        <w:t xml:space="preserve"> Information</w:t>
      </w:r>
    </w:p>
    <w:p w:rsidR="000F3F9F" w:rsidRPr="00E84622" w:rsidRDefault="000F3F9F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C83CEF" w:rsidRPr="00E84622" w:rsidRDefault="003B387E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846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2. </w:t>
      </w:r>
      <w:r w:rsidR="00C83CEF" w:rsidRPr="00E84622">
        <w:rPr>
          <w:rFonts w:ascii="Times New Roman" w:hAnsi="Times New Roman" w:cs="Times New Roman"/>
          <w:b/>
          <w:sz w:val="28"/>
          <w:szCs w:val="24"/>
          <w:lang w:val="en-US"/>
        </w:rPr>
        <w:t>Materials and Methods.</w:t>
      </w:r>
    </w:p>
    <w:p w:rsidR="00C83CEF" w:rsidRPr="00E84622" w:rsidRDefault="00C83CEF" w:rsidP="00C83C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CEF" w:rsidRPr="00E84622" w:rsidRDefault="00C83CEF" w:rsidP="00C83CE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Characterization of hASC. 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hASC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passages 2 to 5 </w:t>
      </w:r>
      <w:r w:rsidRPr="00E84622">
        <w:rPr>
          <w:rFonts w:ascii="Times New Roman" w:hAnsi="Times New Roman" w:cs="Times New Roman"/>
          <w:sz w:val="24"/>
          <w:szCs w:val="24"/>
        </w:rPr>
        <w:t>were characterized for the expression markers of mesenchymal stem cells by flow cytometry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. After trypsinization, detached cells were </w:t>
      </w:r>
      <w:r w:rsidR="003F670A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washed with PBS 1X and 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resuspended and then incubated with primary antibodies for 30 min at 4°C in darkness. After washing, cells were analyzed 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>Coulter Epics flow cytomet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r using FCS Express 4 software. Antibodies for flow cytometric analysis were: 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IgG1k-FITC (Invitrogen, code MG101), IgG1k-PE (Invitrogen, code MG104), CD90-FITC (BD, code 555595), CD105-PE (BD, code 560839), CD45-FITC (Beckman C, code IM078211), CD34-PE (Beckman C, code IM1871U), CD44-FITC (BD, code 347943), CD73-PE (BD, code 550257), CD19-FITC (Invitrogen, code MHCD1901), CD29-PE (BD, code CD2904), IgG1k-AF488 (Invitrogen, code MG120), IgG2bk-PE (Invitrogen, code MG2B04), CD11b-AF488 (BD, code 557701), HLADR-PE (Invitrogen, code MHLDR04).</w:t>
      </w:r>
    </w:p>
    <w:p w:rsidR="00C83CEF" w:rsidRPr="00E84622" w:rsidRDefault="00C83C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3CEF" w:rsidRPr="00E84622" w:rsidRDefault="00C83CEF" w:rsidP="00C83CEF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of </w:t>
      </w:r>
      <w:proofErr w:type="spellStart"/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>multidifferentiation</w:t>
      </w:r>
      <w:proofErr w:type="spellEnd"/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potential of </w:t>
      </w:r>
      <w:proofErr w:type="spellStart"/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>hASC</w:t>
      </w:r>
      <w:proofErr w:type="spellEnd"/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. Adipogenic, chondrogenic and osteogenic differentiation potential was evaluated using commercials kits: 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Adipogenesis Differentiation Kit, Chondrogenesis Differentiation Kit and Osteogenesis Differentiation Kit (STEMPRO®, Gibco) following manufacturer’s instructions. After 21 days</w:t>
      </w:r>
      <w:r w:rsidR="00306A32"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culture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proofErr w:type="spellStart"/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multidifferentiation</w:t>
      </w:r>
      <w:proofErr w:type="spellEnd"/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potential </w:t>
      </w:r>
      <w:r w:rsidR="003F14C2"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confirmed</w:t>
      </w:r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optic microscopy with chemical cell staining using Oil red for adipogenic phenotype, Alcian blue for chondrogenic phenotype and finally, Von </w:t>
      </w:r>
      <w:proofErr w:type="spellStart"/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Kossa</w:t>
      </w:r>
      <w:proofErr w:type="spellEnd"/>
      <w:r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staining for osteogenic differentiation.</w:t>
      </w:r>
    </w:p>
    <w:p w:rsidR="00DF5989" w:rsidRPr="00E84622" w:rsidRDefault="00F763FC" w:rsidP="00131205">
      <w:pPr>
        <w:tabs>
          <w:tab w:val="left" w:pos="28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2.3</w:t>
      </w:r>
      <w:r w:rsidR="00C83CEF"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Microencapsulation of BSA and </w:t>
      </w:r>
      <w:proofErr w:type="spellStart"/>
      <w:r w:rsidR="00C83CEF" w:rsidRPr="00E84622">
        <w:rPr>
          <w:rFonts w:ascii="Times New Roman" w:hAnsi="Times New Roman" w:cs="Times New Roman"/>
          <w:b/>
          <w:sz w:val="24"/>
          <w:szCs w:val="24"/>
          <w:lang w:val="en-US"/>
        </w:rPr>
        <w:t>SpA</w:t>
      </w:r>
      <w:proofErr w:type="spellEnd"/>
      <w:r w:rsidR="00C83CEF"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proteins. 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Alginate microgels were automatically produced using the dripping technique. As a polymer, 1,5% (MW medium) sodium alginate (Sigma- Aldrich) dissolved in 0,9% NaCl was used. The stabilizing solutions of calcium and barium chloride w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maintained at pH 7.0 and w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composed of (in mM): BaCl</w:t>
      </w:r>
      <w:r w:rsidR="00C83CEF" w:rsidRPr="00E846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(20), NaCl (115), and histidine (50), or CaCl</w:t>
      </w:r>
      <w:r w:rsidR="00C83CEF" w:rsidRPr="00E846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(40), NaCl (85), HEPES (10).</w:t>
      </w:r>
      <w:r w:rsidR="00131205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531CC3" w:rsidRPr="00E846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the sodium alginate </w:t>
      </w:r>
      <w:r w:rsidR="00531CC3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solution 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(1,5% w/v) was mixed with BSA (66 kDa) or Staphylococcal protein A (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SpA</w:t>
      </w:r>
      <w:proofErr w:type="spellEnd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) (40 kDa) 1 mg/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his anionic suspension was pumped using a 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Microencapsulator</w:t>
      </w:r>
      <w:proofErr w:type="spellEnd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B-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395Pro</w:t>
      </w:r>
      <w:proofErr w:type="spellEnd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Büchi</w:t>
      </w:r>
      <w:proofErr w:type="spellEnd"/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0839" w:rsidRPr="00E8462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r w:rsidR="00100839" w:rsidRPr="00E84622">
        <w:rPr>
          <w:rFonts w:ascii="Times New Roman" w:hAnsi="Times New Roman" w:cs="Times New Roman"/>
          <w:sz w:val="24"/>
          <w:szCs w:val="24"/>
          <w:lang w:val="en-US"/>
        </w:rPr>
        <w:t>Switzerland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) equipped with a 150 µm nozzle over a stirring barium or calcium chloride solution during 30 seconds, with a 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dripping 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flow of 32 mL/min, </w:t>
      </w:r>
      <w:r w:rsidR="00D64B8A" w:rsidRPr="00E846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000 Hz 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B012E2" w:rsidRPr="00E846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6A32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>and 1000 V</w:t>
      </w:r>
      <w:r w:rsidR="00100839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voltage</w:t>
      </w:r>
      <w:r w:rsidR="00C83CEF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After </w:t>
      </w:r>
      <w:r w:rsidR="00A74704" w:rsidRPr="00E84622">
        <w:rPr>
          <w:rFonts w:ascii="Times New Roman" w:hAnsi="Times New Roman" w:cs="Times New Roman"/>
          <w:sz w:val="24"/>
          <w:szCs w:val="24"/>
        </w:rPr>
        <w:t>their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 formation, the microgels </w:t>
      </w:r>
      <w:r w:rsidR="00A74704" w:rsidRPr="00E84622">
        <w:rPr>
          <w:rFonts w:ascii="Times New Roman" w:hAnsi="Times New Roman" w:cs="Times New Roman"/>
          <w:sz w:val="24"/>
          <w:szCs w:val="24"/>
        </w:rPr>
        <w:t>we</w:t>
      </w:r>
      <w:r w:rsidR="00C83CEF" w:rsidRPr="00E84622">
        <w:rPr>
          <w:rFonts w:ascii="Times New Roman" w:hAnsi="Times New Roman" w:cs="Times New Roman"/>
          <w:sz w:val="24"/>
          <w:szCs w:val="24"/>
        </w:rPr>
        <w:t>re washed with 0.9% NaCl and incubated under physiological conditions (37 °C, 5.0% CO</w:t>
      </w:r>
      <w:r w:rsidR="00C83CEF" w:rsidRPr="00E846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3CEF" w:rsidRPr="00E84622">
        <w:rPr>
          <w:rFonts w:ascii="Times New Roman" w:hAnsi="Times New Roman" w:cs="Times New Roman"/>
          <w:sz w:val="24"/>
          <w:szCs w:val="24"/>
        </w:rPr>
        <w:t>) in KRB (without BSA)</w:t>
      </w:r>
      <w:r w:rsidR="00A74704" w:rsidRPr="00E84622">
        <w:rPr>
          <w:rFonts w:ascii="Times New Roman" w:hAnsi="Times New Roman" w:cs="Times New Roman"/>
          <w:sz w:val="24"/>
          <w:szCs w:val="24"/>
        </w:rPr>
        <w:t>, to then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 evaluate the</w:t>
      </w:r>
      <w:r w:rsidR="00C83CEF" w:rsidRPr="00E846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release of the protein from the microgel to the BKR at times 0, 5, 10, 15 and 20 minutes</w:t>
      </w:r>
      <w:r w:rsidR="00C83CEF" w:rsidRPr="00E84622">
        <w:rPr>
          <w:rFonts w:ascii="Times New Roman" w:hAnsi="Times New Roman" w:cs="Times New Roman"/>
          <w:sz w:val="24"/>
          <w:szCs w:val="24"/>
        </w:rPr>
        <w:t>.</w:t>
      </w:r>
      <w:r w:rsidR="00F1544B"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In supernatant samples, 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proteins were quantified using </w:t>
      </w:r>
      <w:r w:rsidR="00A74704" w:rsidRPr="00E84622">
        <w:rPr>
          <w:rFonts w:ascii="Times New Roman" w:hAnsi="Times New Roman" w:cs="Times New Roman"/>
          <w:sz w:val="24"/>
          <w:szCs w:val="24"/>
        </w:rPr>
        <w:t xml:space="preserve">the </w:t>
      </w:r>
      <w:r w:rsidR="00C83CEF" w:rsidRPr="00E84622">
        <w:rPr>
          <w:rFonts w:ascii="Times New Roman" w:hAnsi="Times New Roman" w:cs="Times New Roman"/>
          <w:sz w:val="24"/>
          <w:szCs w:val="24"/>
        </w:rPr>
        <w:t>Bradford reagent</w:t>
      </w:r>
      <w:r w:rsidR="00A74704" w:rsidRPr="00E84622">
        <w:rPr>
          <w:rFonts w:ascii="Times New Roman" w:hAnsi="Times New Roman" w:cs="Times New Roman"/>
          <w:sz w:val="24"/>
          <w:szCs w:val="24"/>
        </w:rPr>
        <w:t xml:space="preserve">, measured at 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595nm. </w:t>
      </w:r>
      <w:r w:rsidR="00F97DA2" w:rsidRPr="00E84622">
        <w:rPr>
          <w:rFonts w:ascii="Times New Roman" w:hAnsi="Times New Roman" w:cs="Times New Roman"/>
          <w:sz w:val="24"/>
          <w:szCs w:val="24"/>
        </w:rPr>
        <w:t>The e</w:t>
      </w:r>
      <w:r w:rsidR="00C75998" w:rsidRPr="00E84622">
        <w:rPr>
          <w:rFonts w:ascii="Times New Roman" w:hAnsi="Times New Roman" w:cs="Times New Roman"/>
          <w:sz w:val="24"/>
          <w:szCs w:val="24"/>
        </w:rPr>
        <w:t>ncapsulation efficiency and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 </w:t>
      </w:r>
      <w:r w:rsidR="00A74704" w:rsidRPr="00E84622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C83CEF" w:rsidRPr="00E84622">
        <w:rPr>
          <w:rFonts w:ascii="Times New Roman" w:hAnsi="Times New Roman" w:cs="Times New Roman"/>
          <w:sz w:val="24"/>
          <w:szCs w:val="24"/>
        </w:rPr>
        <w:t>of protein released to the medium w</w:t>
      </w:r>
      <w:r w:rsidR="00A74704" w:rsidRPr="00E84622">
        <w:rPr>
          <w:rFonts w:ascii="Times New Roman" w:hAnsi="Times New Roman" w:cs="Times New Roman"/>
          <w:sz w:val="24"/>
          <w:szCs w:val="24"/>
        </w:rPr>
        <w:t>ere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 analyzed according to </w:t>
      </w:r>
      <w:r w:rsidR="00A74704" w:rsidRPr="00E84622">
        <w:rPr>
          <w:rFonts w:ascii="Times New Roman" w:hAnsi="Times New Roman" w:cs="Times New Roman"/>
          <w:sz w:val="24"/>
          <w:szCs w:val="24"/>
        </w:rPr>
        <w:t>a</w:t>
      </w:r>
      <w:r w:rsidR="00C83CEF" w:rsidRPr="00E84622">
        <w:rPr>
          <w:rFonts w:ascii="Times New Roman" w:hAnsi="Times New Roman" w:cs="Times New Roman"/>
          <w:sz w:val="24"/>
          <w:szCs w:val="24"/>
        </w:rPr>
        <w:t xml:space="preserve"> BSA calibration curve: 0-0.02-0.04-0.06-0.08-0.1- 0.2 mg / </w:t>
      </w:r>
      <w:proofErr w:type="spellStart"/>
      <w:r w:rsidR="00C83CEF" w:rsidRPr="00E84622">
        <w:rPr>
          <w:rFonts w:ascii="Times New Roman" w:hAnsi="Times New Roman" w:cs="Times New Roman"/>
          <w:sz w:val="24"/>
          <w:szCs w:val="24"/>
        </w:rPr>
        <w:t>mL</w:t>
      </w:r>
      <w:r w:rsidR="00C874B9" w:rsidRPr="00E8462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874B9" w:rsidRPr="00E84622">
        <w:rPr>
          <w:rFonts w:ascii="Times New Roman" w:hAnsi="Times New Roman" w:cs="Times New Roman"/>
          <w:sz w:val="24"/>
          <w:szCs w:val="24"/>
        </w:rPr>
        <w:t xml:space="preserve"> Finally, </w:t>
      </w:r>
      <w:r w:rsidR="00872866" w:rsidRPr="00E84622">
        <w:rPr>
          <w:rFonts w:ascii="Times New Roman" w:hAnsi="Times New Roman" w:cs="Times New Roman"/>
          <w:sz w:val="24"/>
          <w:szCs w:val="24"/>
        </w:rPr>
        <w:t xml:space="preserve">alginate was dissolved </w:t>
      </w:r>
      <w:r w:rsidR="002658AC" w:rsidRPr="00E84622">
        <w:rPr>
          <w:rFonts w:ascii="Times New Roman" w:hAnsi="Times New Roman" w:cs="Times New Roman"/>
          <w:sz w:val="24"/>
          <w:szCs w:val="24"/>
        </w:rPr>
        <w:t xml:space="preserve">as reported in </w:t>
      </w:r>
      <w:r w:rsidR="00770AB6" w:rsidRPr="00E84622">
        <w:rPr>
          <w:rFonts w:ascii="Times New Roman" w:hAnsi="Times New Roman" w:cs="Times New Roman"/>
          <w:sz w:val="24"/>
          <w:szCs w:val="24"/>
        </w:rPr>
        <w:t>[</w:t>
      </w:r>
      <w:r w:rsidR="00210F4D" w:rsidRPr="00E84622">
        <w:rPr>
          <w:rFonts w:ascii="Times New Roman" w:hAnsi="Times New Roman" w:cs="Times New Roman"/>
          <w:sz w:val="24"/>
          <w:szCs w:val="24"/>
        </w:rPr>
        <w:t>29</w:t>
      </w:r>
      <w:r w:rsidR="00770AB6" w:rsidRPr="00E84622">
        <w:rPr>
          <w:rFonts w:ascii="Times New Roman" w:hAnsi="Times New Roman" w:cs="Times New Roman"/>
          <w:sz w:val="24"/>
          <w:szCs w:val="24"/>
        </w:rPr>
        <w:t>]</w:t>
      </w:r>
      <w:r w:rsidR="002658AC" w:rsidRPr="00E84622">
        <w:rPr>
          <w:rFonts w:ascii="Times New Roman" w:hAnsi="Times New Roman" w:cs="Times New Roman"/>
          <w:sz w:val="24"/>
          <w:szCs w:val="24"/>
        </w:rPr>
        <w:t xml:space="preserve"> using </w:t>
      </w:r>
      <w:r w:rsidR="00872866" w:rsidRPr="00E84622">
        <w:rPr>
          <w:rFonts w:ascii="Times New Roman" w:hAnsi="Times New Roman" w:cs="Times New Roman"/>
          <w:sz w:val="24"/>
          <w:szCs w:val="24"/>
        </w:rPr>
        <w:t>a solution composed of 100 mM sodium citrate, 10 mM MOPS and 27 mM NaCl to corroborate the release results.</w:t>
      </w:r>
    </w:p>
    <w:p w:rsidR="003F14C2" w:rsidRPr="00E84622" w:rsidRDefault="00DF5989" w:rsidP="002658AC">
      <w:pPr>
        <w:rPr>
          <w:rFonts w:ascii="Times New Roman" w:hAnsi="Times New Roman" w:cs="Times New Roman"/>
          <w:sz w:val="24"/>
          <w:szCs w:val="24"/>
        </w:rPr>
      </w:pPr>
      <w:r w:rsidRPr="00E846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/>
      </w:tblPr>
      <w:tblGrid>
        <w:gridCol w:w="1340"/>
        <w:gridCol w:w="811"/>
        <w:gridCol w:w="810"/>
        <w:gridCol w:w="1102"/>
        <w:gridCol w:w="810"/>
        <w:gridCol w:w="878"/>
        <w:gridCol w:w="1024"/>
        <w:gridCol w:w="565"/>
      </w:tblGrid>
      <w:tr w:rsidR="00F155FF" w:rsidRPr="00E84622" w:rsidTr="002658AC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proofErr w:type="spellStart"/>
            <w:r w:rsidRPr="00E84622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Expression</w:t>
            </w:r>
            <w:proofErr w:type="spellEnd"/>
            <w:r w:rsidRPr="00E84622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E84622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marker</w:t>
            </w:r>
            <w:proofErr w:type="spellEnd"/>
          </w:p>
        </w:tc>
        <w:tc>
          <w:tcPr>
            <w:tcW w:w="60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% positive </w:t>
            </w:r>
            <w:proofErr w:type="spellStart"/>
            <w:r w:rsidRPr="00E84622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cells</w:t>
            </w:r>
            <w:proofErr w:type="spellEnd"/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hASC1</w:t>
            </w:r>
            <w:proofErr w:type="spellEnd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hASC2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hASC3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hASC4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hASC</w:t>
            </w:r>
            <w:proofErr w:type="spellEnd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Average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SD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98.31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97.31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98.60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98.62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0.88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CD105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94.50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98.16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2.44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3.30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1.50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11.67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6.60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3.50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4.62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4.65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97.25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96.31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96.90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97.82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1.41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0.29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11.40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3.20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4.66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95.90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99.00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1.75</w:t>
            </w:r>
          </w:p>
        </w:tc>
      </w:tr>
      <w:tr w:rsidR="00F155FF" w:rsidRPr="00E84622" w:rsidTr="002658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CD11b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3.30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1.31</w:t>
            </w:r>
          </w:p>
        </w:tc>
      </w:tr>
      <w:tr w:rsidR="00F155FF" w:rsidRPr="00E84622" w:rsidTr="002658A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FF" w:rsidRPr="00E84622" w:rsidRDefault="00F155FF" w:rsidP="00F15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HLADR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5.19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0.26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1.68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FF" w:rsidRPr="00E84622" w:rsidRDefault="00F155FF" w:rsidP="00F15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84622">
              <w:rPr>
                <w:rFonts w:ascii="Calibri" w:eastAsia="Times New Roman" w:hAnsi="Calibri" w:cs="Times New Roman"/>
                <w:color w:val="000000"/>
                <w:lang w:eastAsia="es-CL"/>
              </w:rPr>
              <w:t>2.27</w:t>
            </w:r>
          </w:p>
        </w:tc>
      </w:tr>
    </w:tbl>
    <w:p w:rsidR="002E284D" w:rsidRPr="00E84622" w:rsidRDefault="002E284D" w:rsidP="00B012E2">
      <w:pPr>
        <w:tabs>
          <w:tab w:val="left" w:pos="283"/>
        </w:tabs>
        <w:spacing w:line="48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44B" w:rsidRPr="00E84622" w:rsidRDefault="00F1544B" w:rsidP="00131205">
      <w:pPr>
        <w:tabs>
          <w:tab w:val="left" w:pos="283"/>
        </w:tabs>
        <w:spacing w:line="48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E8462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F670A" w:rsidRPr="00E84622">
        <w:rPr>
          <w:rFonts w:ascii="Times New Roman" w:hAnsi="Times New Roman" w:cs="Times New Roman"/>
          <w:b/>
          <w:sz w:val="24"/>
          <w:szCs w:val="24"/>
        </w:rPr>
        <w:t>S</w:t>
      </w:r>
      <w:r w:rsidRPr="00E84622">
        <w:rPr>
          <w:rFonts w:ascii="Times New Roman" w:hAnsi="Times New Roman" w:cs="Times New Roman"/>
          <w:b/>
          <w:sz w:val="24"/>
          <w:szCs w:val="24"/>
        </w:rPr>
        <w:t>1: Analysis of mesenchymal stem cell markers in hASC by flow cytometry</w:t>
      </w:r>
      <w:r w:rsidRPr="00E84622">
        <w:rPr>
          <w:rFonts w:ascii="Times New Roman" w:hAnsi="Times New Roman" w:cs="Times New Roman"/>
          <w:sz w:val="24"/>
          <w:szCs w:val="24"/>
        </w:rPr>
        <w:t xml:space="preserve">. </w:t>
      </w:r>
      <w:r w:rsidR="00DB685D" w:rsidRPr="00E84622">
        <w:rPr>
          <w:rFonts w:ascii="Times New Roman" w:hAnsi="Times New Roman" w:cs="Times New Roman"/>
          <w:sz w:val="24"/>
          <w:szCs w:val="24"/>
        </w:rPr>
        <w:t xml:space="preserve">The table presents cell marker studies from five different donors, carried out in subculture 2 to 5. </w:t>
      </w:r>
      <w:r w:rsidR="00A07A7E" w:rsidRPr="00E84622">
        <w:rPr>
          <w:rFonts w:ascii="Times New Roman" w:hAnsi="Times New Roman" w:cs="Times New Roman"/>
          <w:sz w:val="24"/>
          <w:szCs w:val="24"/>
        </w:rPr>
        <w:t>10,000 events were used per sample donor.</w:t>
      </w:r>
      <w:r w:rsidR="00B9485F" w:rsidRPr="00E84622">
        <w:rPr>
          <w:rFonts w:ascii="Times New Roman" w:hAnsi="Times New Roman" w:cs="Times New Roman"/>
          <w:sz w:val="24"/>
          <w:szCs w:val="24"/>
        </w:rPr>
        <w:t xml:space="preserve"> </w:t>
      </w:r>
      <w:r w:rsidRPr="00E84622">
        <w:rPr>
          <w:rFonts w:ascii="Times New Roman" w:hAnsi="Times New Roman" w:cs="Times New Roman"/>
          <w:sz w:val="24"/>
          <w:szCs w:val="24"/>
        </w:rPr>
        <w:t>The</w:t>
      </w:r>
      <w:r w:rsidR="00B012E2" w:rsidRPr="00E84622">
        <w:rPr>
          <w:rFonts w:ascii="Times New Roman" w:hAnsi="Times New Roman" w:cs="Times New Roman"/>
          <w:sz w:val="24"/>
          <w:szCs w:val="24"/>
        </w:rPr>
        <w:t xml:space="preserve"> r</w:t>
      </w:r>
      <w:r w:rsidRPr="00E84622">
        <w:rPr>
          <w:rFonts w:ascii="Times New Roman" w:hAnsi="Times New Roman" w:cs="Times New Roman"/>
          <w:sz w:val="24"/>
          <w:szCs w:val="24"/>
        </w:rPr>
        <w:t>esults are expressed as a percentage of positive cells. Labeled cells were read in a Beckman</w:t>
      </w:r>
      <w:r w:rsidR="00DB685D" w:rsidRPr="00E84622">
        <w:rPr>
          <w:rFonts w:ascii="Times New Roman" w:hAnsi="Times New Roman" w:cs="Times New Roman"/>
          <w:sz w:val="24"/>
          <w:szCs w:val="24"/>
        </w:rPr>
        <w:t xml:space="preserve"> </w:t>
      </w:r>
      <w:r w:rsidRPr="00E84622">
        <w:rPr>
          <w:rFonts w:ascii="Times New Roman" w:hAnsi="Times New Roman" w:cs="Times New Roman"/>
          <w:sz w:val="24"/>
          <w:szCs w:val="24"/>
        </w:rPr>
        <w:t xml:space="preserve">Coulter Epics cytometer and data were analyzed using </w:t>
      </w:r>
      <w:r w:rsidR="00A74704" w:rsidRPr="00E84622">
        <w:rPr>
          <w:rFonts w:ascii="Times New Roman" w:hAnsi="Times New Roman" w:cs="Times New Roman"/>
          <w:sz w:val="24"/>
          <w:szCs w:val="24"/>
        </w:rPr>
        <w:t xml:space="preserve">the </w:t>
      </w:r>
      <w:r w:rsidRPr="00E84622">
        <w:rPr>
          <w:rFonts w:ascii="Times New Roman" w:hAnsi="Times New Roman" w:cs="Times New Roman"/>
          <w:sz w:val="24"/>
          <w:szCs w:val="24"/>
        </w:rPr>
        <w:t xml:space="preserve">software FCS Express 4. </w:t>
      </w:r>
      <w:r w:rsidR="00DB685D" w:rsidRPr="00E84622">
        <w:rPr>
          <w:rFonts w:ascii="Times New Roman" w:hAnsi="Times New Roman" w:cs="Times New Roman"/>
          <w:sz w:val="24"/>
          <w:szCs w:val="24"/>
        </w:rPr>
        <w:t xml:space="preserve">Each tissue sample </w:t>
      </w:r>
      <w:r w:rsidR="00CC7976" w:rsidRPr="00E84622">
        <w:rPr>
          <w:rFonts w:ascii="Times New Roman" w:hAnsi="Times New Roman" w:cs="Times New Roman"/>
          <w:sz w:val="24"/>
          <w:szCs w:val="24"/>
        </w:rPr>
        <w:t>was studied using 10</w:t>
      </w:r>
      <w:r w:rsidR="002E284D" w:rsidRPr="00E84622">
        <w:rPr>
          <w:rFonts w:ascii="Times New Roman" w:hAnsi="Times New Roman" w:cs="Times New Roman"/>
          <w:sz w:val="24"/>
          <w:szCs w:val="24"/>
        </w:rPr>
        <w:t>,</w:t>
      </w:r>
      <w:r w:rsidR="00CC7976" w:rsidRPr="00E84622">
        <w:rPr>
          <w:rFonts w:ascii="Times New Roman" w:hAnsi="Times New Roman" w:cs="Times New Roman"/>
          <w:sz w:val="24"/>
          <w:szCs w:val="24"/>
        </w:rPr>
        <w:t>000 events. S</w:t>
      </w:r>
      <w:r w:rsidR="002658AC" w:rsidRPr="00E84622">
        <w:rPr>
          <w:rFonts w:ascii="Times New Roman" w:hAnsi="Times New Roman" w:cs="Times New Roman"/>
          <w:sz w:val="24"/>
          <w:szCs w:val="24"/>
        </w:rPr>
        <w:t>D</w:t>
      </w:r>
      <w:r w:rsidR="00CC7976" w:rsidRPr="00E84622">
        <w:rPr>
          <w:rFonts w:ascii="Times New Roman" w:hAnsi="Times New Roman" w:cs="Times New Roman"/>
          <w:sz w:val="24"/>
          <w:szCs w:val="24"/>
        </w:rPr>
        <w:t xml:space="preserve">: Standard </w:t>
      </w:r>
      <w:r w:rsidR="003E1021" w:rsidRPr="00E84622">
        <w:rPr>
          <w:rFonts w:ascii="Times New Roman" w:hAnsi="Times New Roman" w:cs="Times New Roman"/>
          <w:sz w:val="24"/>
          <w:szCs w:val="24"/>
        </w:rPr>
        <w:t>deviation</w:t>
      </w:r>
      <w:r w:rsidR="00CC7976" w:rsidRPr="00E84622">
        <w:rPr>
          <w:rFonts w:ascii="Times New Roman" w:hAnsi="Times New Roman" w:cs="Times New Roman"/>
          <w:sz w:val="24"/>
          <w:szCs w:val="24"/>
        </w:rPr>
        <w:t xml:space="preserve"> of the mean</w:t>
      </w:r>
      <w:r w:rsidR="002658AC" w:rsidRPr="00E84622">
        <w:rPr>
          <w:rFonts w:ascii="Times New Roman" w:hAnsi="Times New Roman" w:cs="Times New Roman"/>
          <w:sz w:val="24"/>
          <w:szCs w:val="24"/>
        </w:rPr>
        <w:t>.</w:t>
      </w:r>
    </w:p>
    <w:p w:rsidR="00DF5989" w:rsidRPr="00E84622" w:rsidRDefault="00DF5989" w:rsidP="00F1544B">
      <w:pPr>
        <w:tabs>
          <w:tab w:val="left" w:pos="283"/>
        </w:tabs>
        <w:spacing w:line="48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30"/>
        <w:gridCol w:w="1134"/>
        <w:gridCol w:w="1276"/>
        <w:gridCol w:w="1134"/>
        <w:gridCol w:w="1210"/>
      </w:tblGrid>
      <w:tr w:rsidR="00F1544B" w:rsidRPr="00E84622" w:rsidTr="00B9485F">
        <w:trPr>
          <w:trHeight w:val="300"/>
          <w:jc w:val="center"/>
        </w:trPr>
        <w:tc>
          <w:tcPr>
            <w:tcW w:w="2830" w:type="dxa"/>
            <w:vMerge w:val="restart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2410" w:type="dxa"/>
            <w:gridSpan w:val="2"/>
            <w:noWrap/>
            <w:hideMark/>
          </w:tcPr>
          <w:p w:rsidR="00F1544B" w:rsidRPr="00E84622" w:rsidRDefault="00F1544B" w:rsidP="00872866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time 0</w:t>
            </w:r>
            <w:r w:rsidR="00F859AC" w:rsidRPr="00E8462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  <w:gridSpan w:val="2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="00F859AC" w:rsidRPr="00E84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44B" w:rsidRPr="00E84622" w:rsidTr="00B9485F">
        <w:trPr>
          <w:trHeight w:val="402"/>
          <w:jc w:val="center"/>
        </w:trPr>
        <w:tc>
          <w:tcPr>
            <w:tcW w:w="2830" w:type="dxa"/>
            <w:vMerge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E84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End"/>
          </w:p>
        </w:tc>
        <w:tc>
          <w:tcPr>
            <w:tcW w:w="1276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 w:rsidRPr="00E84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End"/>
          </w:p>
        </w:tc>
        <w:tc>
          <w:tcPr>
            <w:tcW w:w="1134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E84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End"/>
          </w:p>
        </w:tc>
        <w:tc>
          <w:tcPr>
            <w:tcW w:w="1210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 w:rsidRPr="00E84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End"/>
          </w:p>
        </w:tc>
      </w:tr>
      <w:tr w:rsidR="00F1544B" w:rsidRPr="00E84622" w:rsidTr="00B9485F">
        <w:trPr>
          <w:trHeight w:val="600"/>
          <w:jc w:val="center"/>
        </w:trPr>
        <w:tc>
          <w:tcPr>
            <w:tcW w:w="2830" w:type="dxa"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Alginate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1,5%-</w:t>
            </w: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BSA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F1544B" w:rsidRPr="00E84622" w:rsidRDefault="007626A7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544B" w:rsidRPr="00E84622">
              <w:rPr>
                <w:rFonts w:ascii="Times New Roman" w:hAnsi="Times New Roman" w:cs="Times New Roman"/>
                <w:sz w:val="24"/>
                <w:szCs w:val="24"/>
              </w:rPr>
              <w:t>4 ± 9</w:t>
            </w:r>
          </w:p>
        </w:tc>
        <w:tc>
          <w:tcPr>
            <w:tcW w:w="1276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309 ± 13</w:t>
            </w:r>
          </w:p>
        </w:tc>
        <w:tc>
          <w:tcPr>
            <w:tcW w:w="1134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329 ± 5 *</w:t>
            </w:r>
          </w:p>
        </w:tc>
        <w:tc>
          <w:tcPr>
            <w:tcW w:w="1210" w:type="dxa"/>
            <w:noWrap/>
            <w:hideMark/>
          </w:tcPr>
          <w:p w:rsidR="00F1544B" w:rsidRPr="00E84622" w:rsidRDefault="007626A7" w:rsidP="007626A7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F1544B"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± 17</w:t>
            </w:r>
          </w:p>
        </w:tc>
      </w:tr>
      <w:tr w:rsidR="00F1544B" w:rsidRPr="00E84622" w:rsidTr="00B9485F">
        <w:trPr>
          <w:trHeight w:val="600"/>
          <w:jc w:val="center"/>
        </w:trPr>
        <w:tc>
          <w:tcPr>
            <w:tcW w:w="2830" w:type="dxa"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Alginate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1,5%-</w:t>
            </w: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317 ± 14</w:t>
            </w:r>
          </w:p>
        </w:tc>
        <w:tc>
          <w:tcPr>
            <w:tcW w:w="1276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285 ± 16</w:t>
            </w:r>
          </w:p>
        </w:tc>
        <w:tc>
          <w:tcPr>
            <w:tcW w:w="1134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325 ± 4</w:t>
            </w:r>
          </w:p>
        </w:tc>
        <w:tc>
          <w:tcPr>
            <w:tcW w:w="1210" w:type="dxa"/>
            <w:noWrap/>
            <w:hideMark/>
          </w:tcPr>
          <w:p w:rsidR="00F1544B" w:rsidRPr="00E84622" w:rsidRDefault="00F1544B" w:rsidP="00F1544B">
            <w:pPr>
              <w:tabs>
                <w:tab w:val="left" w:pos="283"/>
              </w:tabs>
              <w:spacing w:line="480" w:lineRule="auto"/>
              <w:ind w:right="-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286 ± 11</w:t>
            </w:r>
          </w:p>
        </w:tc>
      </w:tr>
    </w:tbl>
    <w:p w:rsidR="00DF5989" w:rsidRPr="00E84622" w:rsidRDefault="00DF5989" w:rsidP="00F1544B">
      <w:pPr>
        <w:tabs>
          <w:tab w:val="left" w:pos="283"/>
        </w:tabs>
        <w:spacing w:line="48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44B" w:rsidRDefault="00F1544B" w:rsidP="00F1544B">
      <w:pPr>
        <w:tabs>
          <w:tab w:val="left" w:pos="283"/>
        </w:tabs>
        <w:spacing w:line="480" w:lineRule="auto"/>
        <w:ind w:right="-5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3F670A" w:rsidRPr="00E8462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>2: Diameter</w:t>
      </w:r>
      <w:r w:rsidR="00A74704" w:rsidRPr="00E8462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microencapsulated BSA and </w:t>
      </w:r>
      <w:proofErr w:type="spellStart"/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>SpA</w:t>
      </w:r>
      <w:proofErr w:type="spellEnd"/>
      <w:r w:rsidRPr="00E84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proteins in 1.5% sodium alginate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. Size of microgels </w:t>
      </w:r>
      <w:r w:rsidR="00A74704" w:rsidRPr="00E84622"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by ImageJ of at least 10 photographs for each n</w:t>
      </w:r>
      <w:r w:rsidR="00DF5989" w:rsidRPr="00E84622">
        <w:rPr>
          <w:rFonts w:ascii="Times New Roman" w:hAnsi="Times New Roman" w:cs="Times New Roman"/>
          <w:sz w:val="24"/>
          <w:szCs w:val="24"/>
          <w:lang w:val="en-US"/>
        </w:rPr>
        <w:t>. The figures represent means ± SEM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>, n=3</w:t>
      </w:r>
      <w:r w:rsidR="00DF5989" w:rsidRPr="00E846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4622">
        <w:rPr>
          <w:rFonts w:ascii="Times New Roman" w:hAnsi="Times New Roman" w:cs="Times New Roman"/>
          <w:sz w:val="24"/>
          <w:szCs w:val="24"/>
          <w:lang w:val="en-US"/>
        </w:rPr>
        <w:t xml:space="preserve"> *p&lt;0,05.</w:t>
      </w:r>
    </w:p>
    <w:sectPr w:rsidR="00F1544B" w:rsidSect="00F20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4BCFF0" w15:done="0"/>
  <w15:commentEx w15:paraId="2239FEAE" w15:done="0"/>
  <w15:commentEx w15:paraId="70C895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4BCFF0" w16cid:durableId="22A81FF4"/>
  <w16cid:commentId w16cid:paraId="2239FEAE" w16cid:durableId="22A81FF5"/>
  <w16cid:commentId w16cid:paraId="70C89525" w16cid:durableId="229DAED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E1"/>
    <w:multiLevelType w:val="multilevel"/>
    <w:tmpl w:val="02BC3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">
    <w15:presenceInfo w15:providerId="None" w15:userId="Claud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CEF"/>
    <w:rsid w:val="00003958"/>
    <w:rsid w:val="000122FB"/>
    <w:rsid w:val="000C36C9"/>
    <w:rsid w:val="000F3F9F"/>
    <w:rsid w:val="00100839"/>
    <w:rsid w:val="00131205"/>
    <w:rsid w:val="00154BA5"/>
    <w:rsid w:val="00210F4D"/>
    <w:rsid w:val="002658AC"/>
    <w:rsid w:val="002E12ED"/>
    <w:rsid w:val="002E284D"/>
    <w:rsid w:val="00306A32"/>
    <w:rsid w:val="00357705"/>
    <w:rsid w:val="003A351D"/>
    <w:rsid w:val="003B387E"/>
    <w:rsid w:val="003E1021"/>
    <w:rsid w:val="003F14C2"/>
    <w:rsid w:val="003F670A"/>
    <w:rsid w:val="00434FFB"/>
    <w:rsid w:val="004A2E90"/>
    <w:rsid w:val="00516DEB"/>
    <w:rsid w:val="00531CC3"/>
    <w:rsid w:val="005B0171"/>
    <w:rsid w:val="00614D0B"/>
    <w:rsid w:val="0062389B"/>
    <w:rsid w:val="00627C50"/>
    <w:rsid w:val="00630919"/>
    <w:rsid w:val="007626A7"/>
    <w:rsid w:val="00770AB6"/>
    <w:rsid w:val="00823FB2"/>
    <w:rsid w:val="00872866"/>
    <w:rsid w:val="008C1F3D"/>
    <w:rsid w:val="00A07A7E"/>
    <w:rsid w:val="00A63299"/>
    <w:rsid w:val="00A74704"/>
    <w:rsid w:val="00B012E2"/>
    <w:rsid w:val="00B33B50"/>
    <w:rsid w:val="00B9485F"/>
    <w:rsid w:val="00C75998"/>
    <w:rsid w:val="00C83CEF"/>
    <w:rsid w:val="00C874B9"/>
    <w:rsid w:val="00CB7883"/>
    <w:rsid w:val="00CC7976"/>
    <w:rsid w:val="00D13191"/>
    <w:rsid w:val="00D6391B"/>
    <w:rsid w:val="00D64B8A"/>
    <w:rsid w:val="00DB685D"/>
    <w:rsid w:val="00DE48B3"/>
    <w:rsid w:val="00DF5989"/>
    <w:rsid w:val="00E84622"/>
    <w:rsid w:val="00F1544B"/>
    <w:rsid w:val="00F155FF"/>
    <w:rsid w:val="00F206CA"/>
    <w:rsid w:val="00F763FC"/>
    <w:rsid w:val="00F859AC"/>
    <w:rsid w:val="00F97DA2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9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998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F1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6B54-650A-485C-A42F-33283CA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0013357</cp:lastModifiedBy>
  <cp:revision>6</cp:revision>
  <dcterms:created xsi:type="dcterms:W3CDTF">2020-07-19T12:17:00Z</dcterms:created>
  <dcterms:modified xsi:type="dcterms:W3CDTF">2020-07-22T13:17:00Z</dcterms:modified>
</cp:coreProperties>
</file>