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C65" w:rsidRPr="00F773F2" w:rsidRDefault="00493C65" w:rsidP="00493C65">
      <w:pPr>
        <w:spacing w:line="360" w:lineRule="auto"/>
        <w:rPr>
          <w:rFonts w:asciiTheme="majorHAnsi" w:hAnsiTheme="majorHAnsi" w:cstheme="majorHAnsi"/>
          <w:b/>
          <w:bCs/>
        </w:rPr>
      </w:pPr>
      <w:r w:rsidRPr="007B521C">
        <w:rPr>
          <w:rFonts w:asciiTheme="majorHAnsi" w:hAnsiTheme="majorHAnsi" w:cstheme="majorHAnsi"/>
          <w:b/>
          <w:bCs/>
        </w:rPr>
        <w:t>Online Supplementary Table 1: Overall Responses from Round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2"/>
        <w:gridCol w:w="1306"/>
        <w:gridCol w:w="1306"/>
        <w:gridCol w:w="1328"/>
        <w:gridCol w:w="945"/>
        <w:gridCol w:w="1043"/>
        <w:gridCol w:w="1018"/>
        <w:gridCol w:w="1018"/>
      </w:tblGrid>
      <w:tr w:rsidR="00493C65" w:rsidRPr="007B521C" w:rsidTr="001A7BCA">
        <w:tc>
          <w:tcPr>
            <w:tcW w:w="3677" w:type="dxa"/>
            <w:tcBorders>
              <w:bottom w:val="single" w:sz="4" w:space="0" w:color="auto"/>
            </w:tcBorders>
          </w:tcPr>
          <w:p w:rsidR="00493C65" w:rsidRPr="007B521C" w:rsidRDefault="00493C65" w:rsidP="001A7BCA">
            <w:pPr>
              <w:spacing w:line="36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8634" w:type="dxa"/>
            <w:gridSpan w:val="7"/>
            <w:tcBorders>
              <w:bottom w:val="single" w:sz="4" w:space="0" w:color="auto"/>
            </w:tcBorders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b/>
                <w:sz w:val="22"/>
                <w:szCs w:val="22"/>
              </w:rPr>
              <w:t>Aggregated responses from round 1</w:t>
            </w:r>
          </w:p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proofErr w:type="gramStart"/>
            <w:r w:rsidRPr="007B521C">
              <w:rPr>
                <w:rFonts w:asciiTheme="majorHAnsi" w:hAnsiTheme="majorHAnsi" w:cstheme="majorHAnsi"/>
                <w:b/>
                <w:sz w:val="22"/>
                <w:szCs w:val="22"/>
              </w:rPr>
              <w:t>n</w:t>
            </w:r>
            <w:proofErr w:type="gramEnd"/>
            <w:r w:rsidRPr="007B521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(%)</w:t>
            </w:r>
          </w:p>
        </w:tc>
      </w:tr>
      <w:tr w:rsidR="00493C65" w:rsidRPr="007B521C" w:rsidTr="001A7BCA">
        <w:tc>
          <w:tcPr>
            <w:tcW w:w="3677" w:type="dxa"/>
            <w:tcBorders>
              <w:bottom w:val="single" w:sz="4" w:space="0" w:color="auto"/>
            </w:tcBorders>
          </w:tcPr>
          <w:p w:rsidR="00493C65" w:rsidRPr="007B521C" w:rsidRDefault="00493C65" w:rsidP="001A7BCA">
            <w:pPr>
              <w:spacing w:line="36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b/>
                <w:sz w:val="22"/>
                <w:szCs w:val="22"/>
              </w:rPr>
              <w:t>Case 1: Statement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b/>
                <w:sz w:val="22"/>
                <w:szCs w:val="22"/>
              </w:rPr>
              <w:t>very strongly disapprove (1)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b/>
                <w:sz w:val="22"/>
                <w:szCs w:val="22"/>
              </w:rPr>
              <w:t>quite strongly disapprove (2)</w:t>
            </w:r>
          </w:p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b/>
                <w:sz w:val="22"/>
                <w:szCs w:val="22"/>
              </w:rPr>
              <w:t>Disapprove (3)</w:t>
            </w:r>
          </w:p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b/>
                <w:sz w:val="22"/>
                <w:szCs w:val="22"/>
              </w:rPr>
              <w:t>Neutral (4)</w:t>
            </w:r>
          </w:p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b/>
                <w:sz w:val="22"/>
                <w:szCs w:val="22"/>
              </w:rPr>
              <w:t>Approve (5)</w:t>
            </w:r>
          </w:p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b/>
                <w:sz w:val="22"/>
                <w:szCs w:val="22"/>
              </w:rPr>
              <w:t>quite strongly approve (6)</w:t>
            </w:r>
          </w:p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b/>
                <w:sz w:val="22"/>
                <w:szCs w:val="22"/>
              </w:rPr>
              <w:t>very strongly approve (7)</w:t>
            </w:r>
          </w:p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493C65" w:rsidRPr="007B521C" w:rsidTr="001A7BCA">
        <w:tc>
          <w:tcPr>
            <w:tcW w:w="3677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i/>
                <w:sz w:val="22"/>
                <w:szCs w:val="22"/>
              </w:rPr>
              <w:t>Signposting individuals to other sources of information e.g. Stroke Association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 (2)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8 (18)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13 (29)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23 (51)</w:t>
            </w:r>
          </w:p>
        </w:tc>
      </w:tr>
      <w:tr w:rsidR="00493C65" w:rsidRPr="007B521C" w:rsidTr="001A7BCA">
        <w:tc>
          <w:tcPr>
            <w:tcW w:w="3677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i/>
                <w:sz w:val="22"/>
                <w:szCs w:val="22"/>
              </w:rPr>
              <w:t>Access to psychological services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 (2)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 (2)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2 (4)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9 (20)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7 (16)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25 (56)</w:t>
            </w:r>
          </w:p>
        </w:tc>
      </w:tr>
      <w:tr w:rsidR="00493C65" w:rsidRPr="007B521C" w:rsidTr="001A7BCA">
        <w:tc>
          <w:tcPr>
            <w:tcW w:w="3677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i/>
                <w:sz w:val="22"/>
                <w:szCs w:val="22"/>
              </w:rPr>
              <w:t>Additional communication with the GP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7 (16)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15 (33)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13 (29)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10 (22)</w:t>
            </w:r>
          </w:p>
        </w:tc>
      </w:tr>
      <w:tr w:rsidR="00493C65" w:rsidRPr="007B521C" w:rsidTr="001A7BCA">
        <w:tc>
          <w:tcPr>
            <w:tcW w:w="3677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i/>
                <w:sz w:val="22"/>
                <w:szCs w:val="22"/>
              </w:rPr>
              <w:t>Screening for a mood disorder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2 (4)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11 (24)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10 (22)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22 (49)</w:t>
            </w:r>
          </w:p>
        </w:tc>
      </w:tr>
      <w:tr w:rsidR="00493C65" w:rsidRPr="007B521C" w:rsidTr="001A7BCA">
        <w:tc>
          <w:tcPr>
            <w:tcW w:w="3677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i/>
                <w:sz w:val="22"/>
                <w:szCs w:val="22"/>
              </w:rPr>
              <w:t>Ensuring compliance to secondary prevention is in place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4 (9)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9 (20)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10 (22)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22 (49)</w:t>
            </w:r>
          </w:p>
        </w:tc>
      </w:tr>
      <w:tr w:rsidR="00493C65" w:rsidRPr="007B521C" w:rsidTr="001A7BCA">
        <w:tc>
          <w:tcPr>
            <w:tcW w:w="3677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Ensuring allied health professional community </w:t>
            </w:r>
            <w:r w:rsidRPr="007B521C">
              <w:rPr>
                <w:rFonts w:asciiTheme="majorHAnsi" w:hAnsiTheme="majorHAnsi" w:cstheme="majorHAnsi"/>
                <w:i/>
                <w:sz w:val="22"/>
                <w:szCs w:val="22"/>
              </w:rPr>
              <w:lastRenderedPageBreak/>
              <w:t>follow-up e.g. occupational therapist for additional follow-up review in the community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0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 (2)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5 (11)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9 (20)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11 (24)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19 (42)</w:t>
            </w:r>
          </w:p>
        </w:tc>
      </w:tr>
      <w:tr w:rsidR="00493C65" w:rsidRPr="007B521C" w:rsidTr="001A7BCA">
        <w:tc>
          <w:tcPr>
            <w:tcW w:w="3677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i/>
                <w:sz w:val="22"/>
                <w:szCs w:val="22"/>
              </w:rPr>
              <w:lastRenderedPageBreak/>
              <w:t>Follow-up in stroke-services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 (2)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 (2)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2 (4)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6 (13)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6 (13)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12 (27)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17 (38)</w:t>
            </w:r>
          </w:p>
        </w:tc>
      </w:tr>
      <w:tr w:rsidR="00493C65" w:rsidRPr="007B521C" w:rsidTr="001A7BCA">
        <w:tc>
          <w:tcPr>
            <w:tcW w:w="3677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i/>
                <w:sz w:val="22"/>
                <w:szCs w:val="22"/>
              </w:rPr>
              <w:t>Direct access to memory clinic services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2 (4)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6 (13)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17 (38)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11 (24)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9 (20)</w:t>
            </w:r>
          </w:p>
        </w:tc>
      </w:tr>
      <w:tr w:rsidR="00493C65" w:rsidRPr="007B521C" w:rsidTr="001A7BCA">
        <w:tc>
          <w:tcPr>
            <w:tcW w:w="3677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Cognitive screen e.g. </w:t>
            </w:r>
            <w:proofErr w:type="spellStart"/>
            <w:r w:rsidRPr="007B521C">
              <w:rPr>
                <w:rFonts w:asciiTheme="majorHAnsi" w:hAnsiTheme="majorHAnsi" w:cstheme="majorHAnsi"/>
                <w:i/>
                <w:sz w:val="22"/>
                <w:szCs w:val="22"/>
              </w:rPr>
              <w:t>MoCA</w:t>
            </w:r>
            <w:proofErr w:type="spellEnd"/>
            <w:r w:rsidRPr="007B521C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during six-month stroke clinic review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 (2)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2 (4)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8 (18)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12 (27)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5 (11)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17 (38)</w:t>
            </w:r>
          </w:p>
        </w:tc>
      </w:tr>
      <w:tr w:rsidR="00493C65" w:rsidRPr="007B521C" w:rsidTr="001A7BCA">
        <w:tc>
          <w:tcPr>
            <w:tcW w:w="3677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i/>
                <w:sz w:val="22"/>
                <w:szCs w:val="22"/>
              </w:rPr>
              <w:t>GP to perform cognitive screen following discharge from specialist services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3 (7)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2 (4)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4 (9)</w:t>
            </w:r>
          </w:p>
        </w:tc>
        <w:tc>
          <w:tcPr>
            <w:tcW w:w="1032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15 (33)</w:t>
            </w:r>
          </w:p>
        </w:tc>
        <w:tc>
          <w:tcPr>
            <w:tcW w:w="1265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12 (27)</w:t>
            </w: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7 (16)</w:t>
            </w: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2 (4)</w:t>
            </w:r>
          </w:p>
        </w:tc>
      </w:tr>
      <w:tr w:rsidR="00493C65" w:rsidRPr="007B521C" w:rsidTr="001A7BCA">
        <w:tc>
          <w:tcPr>
            <w:tcW w:w="3677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Case 2: Statement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93C65" w:rsidRPr="007B521C" w:rsidTr="001A7BCA">
        <w:tc>
          <w:tcPr>
            <w:tcW w:w="3677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i/>
                <w:sz w:val="22"/>
                <w:szCs w:val="22"/>
              </w:rPr>
              <w:t>Access to psychological services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 (2)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265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5 (11)</w:t>
            </w: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4 (9)</w:t>
            </w: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35 (78)</w:t>
            </w:r>
          </w:p>
        </w:tc>
      </w:tr>
      <w:tr w:rsidR="00493C65" w:rsidRPr="007B521C" w:rsidTr="001A7BCA">
        <w:tc>
          <w:tcPr>
            <w:tcW w:w="3677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Signposting individuals to other sources </w:t>
            </w:r>
            <w:r w:rsidRPr="007B521C">
              <w:rPr>
                <w:rFonts w:asciiTheme="majorHAnsi" w:hAnsiTheme="majorHAnsi" w:cstheme="majorHAnsi"/>
                <w:i/>
                <w:sz w:val="22"/>
                <w:szCs w:val="22"/>
              </w:rPr>
              <w:lastRenderedPageBreak/>
              <w:t>of information e.g. Stroke Association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0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 (2)</w:t>
            </w:r>
          </w:p>
        </w:tc>
        <w:tc>
          <w:tcPr>
            <w:tcW w:w="1265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5 (11)</w:t>
            </w: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9 (20)</w:t>
            </w: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30 (67)</w:t>
            </w:r>
          </w:p>
        </w:tc>
      </w:tr>
      <w:tr w:rsidR="00493C65" w:rsidRPr="007B521C" w:rsidTr="001A7BCA">
        <w:tc>
          <w:tcPr>
            <w:tcW w:w="3677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i/>
                <w:sz w:val="22"/>
                <w:szCs w:val="22"/>
              </w:rPr>
              <w:lastRenderedPageBreak/>
              <w:t>Screening for a mood disorder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 (2)</w:t>
            </w:r>
          </w:p>
        </w:tc>
        <w:tc>
          <w:tcPr>
            <w:tcW w:w="1265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9 (20)</w:t>
            </w: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6 (13)</w:t>
            </w: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29 (64)</w:t>
            </w:r>
          </w:p>
        </w:tc>
      </w:tr>
      <w:tr w:rsidR="00493C65" w:rsidRPr="007B521C" w:rsidTr="001A7BCA">
        <w:tc>
          <w:tcPr>
            <w:tcW w:w="3677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i/>
                <w:sz w:val="22"/>
                <w:szCs w:val="22"/>
              </w:rPr>
              <w:t>Ensuring compliance to secondary prevention is in place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 (2)</w:t>
            </w:r>
          </w:p>
        </w:tc>
        <w:tc>
          <w:tcPr>
            <w:tcW w:w="1265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9 (20)</w:t>
            </w: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9 (20)</w:t>
            </w: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26 (58)</w:t>
            </w:r>
          </w:p>
        </w:tc>
      </w:tr>
      <w:tr w:rsidR="00493C65" w:rsidRPr="007B521C" w:rsidTr="001A7BCA">
        <w:tc>
          <w:tcPr>
            <w:tcW w:w="3677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i/>
                <w:sz w:val="22"/>
                <w:szCs w:val="22"/>
              </w:rPr>
              <w:t>Ensuring allied health professional community follow-up e.g. occupational therapist for additional follow-up review in the community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 (2)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3 (7)</w:t>
            </w:r>
          </w:p>
        </w:tc>
        <w:tc>
          <w:tcPr>
            <w:tcW w:w="1265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5 (11)</w:t>
            </w: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10 (22)</w:t>
            </w: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26 (58)</w:t>
            </w:r>
          </w:p>
        </w:tc>
      </w:tr>
      <w:tr w:rsidR="00493C65" w:rsidRPr="007B521C" w:rsidTr="001A7BCA">
        <w:tc>
          <w:tcPr>
            <w:tcW w:w="3677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i/>
                <w:sz w:val="22"/>
                <w:szCs w:val="22"/>
              </w:rPr>
              <w:t>Additional communication with the GP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4 (9)</w:t>
            </w:r>
          </w:p>
        </w:tc>
        <w:tc>
          <w:tcPr>
            <w:tcW w:w="1265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14 (31)</w:t>
            </w: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9 (20)</w:t>
            </w: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18 (40)</w:t>
            </w:r>
          </w:p>
        </w:tc>
      </w:tr>
      <w:tr w:rsidR="00493C65" w:rsidRPr="007B521C" w:rsidTr="001A7BCA">
        <w:tc>
          <w:tcPr>
            <w:tcW w:w="3677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i/>
                <w:sz w:val="22"/>
                <w:szCs w:val="22"/>
              </w:rPr>
              <w:t>Follow-up in stroke-services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 (2)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 (2)</w:t>
            </w:r>
          </w:p>
        </w:tc>
        <w:tc>
          <w:tcPr>
            <w:tcW w:w="1032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3 (7)</w:t>
            </w:r>
          </w:p>
        </w:tc>
        <w:tc>
          <w:tcPr>
            <w:tcW w:w="1265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8 (18)</w:t>
            </w: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11 (24)</w:t>
            </w: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21 (47)</w:t>
            </w:r>
          </w:p>
        </w:tc>
      </w:tr>
      <w:tr w:rsidR="00493C65" w:rsidRPr="007B521C" w:rsidTr="001A7BCA">
        <w:tc>
          <w:tcPr>
            <w:tcW w:w="3677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Cognitive screen e.g. </w:t>
            </w:r>
            <w:proofErr w:type="spellStart"/>
            <w:r w:rsidRPr="007B521C">
              <w:rPr>
                <w:rFonts w:asciiTheme="majorHAnsi" w:hAnsiTheme="majorHAnsi" w:cstheme="majorHAnsi"/>
                <w:i/>
                <w:sz w:val="22"/>
                <w:szCs w:val="22"/>
              </w:rPr>
              <w:t>MoCA</w:t>
            </w:r>
            <w:proofErr w:type="spellEnd"/>
            <w:r w:rsidRPr="007B521C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during six-month stroke clinic review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 (2)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2 (4)</w:t>
            </w:r>
          </w:p>
        </w:tc>
        <w:tc>
          <w:tcPr>
            <w:tcW w:w="1032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6 (13)</w:t>
            </w:r>
          </w:p>
        </w:tc>
        <w:tc>
          <w:tcPr>
            <w:tcW w:w="1265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6 (13)</w:t>
            </w: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8 (18)</w:t>
            </w: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22 (49)</w:t>
            </w:r>
          </w:p>
        </w:tc>
      </w:tr>
      <w:tr w:rsidR="00493C65" w:rsidRPr="007B521C" w:rsidTr="001A7BCA">
        <w:tc>
          <w:tcPr>
            <w:tcW w:w="3677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GP to perform </w:t>
            </w:r>
            <w:r w:rsidRPr="007B521C">
              <w:rPr>
                <w:rFonts w:asciiTheme="majorHAnsi" w:hAnsiTheme="majorHAnsi" w:cstheme="majorHAnsi"/>
                <w:i/>
                <w:sz w:val="22"/>
                <w:szCs w:val="22"/>
              </w:rPr>
              <w:lastRenderedPageBreak/>
              <w:t>cognitive screen following discharge from specialist services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1 (2)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3 (7)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3 (7)</w:t>
            </w:r>
          </w:p>
        </w:tc>
        <w:tc>
          <w:tcPr>
            <w:tcW w:w="1032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13 (29)</w:t>
            </w:r>
          </w:p>
        </w:tc>
        <w:tc>
          <w:tcPr>
            <w:tcW w:w="1265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16 (36)</w:t>
            </w: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3 (7)</w:t>
            </w: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6 (13)</w:t>
            </w:r>
          </w:p>
        </w:tc>
      </w:tr>
      <w:tr w:rsidR="00493C65" w:rsidRPr="007B521C" w:rsidTr="001A7BCA">
        <w:tc>
          <w:tcPr>
            <w:tcW w:w="3677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i/>
                <w:sz w:val="22"/>
                <w:szCs w:val="22"/>
              </w:rPr>
              <w:lastRenderedPageBreak/>
              <w:t>Direct access to memory clinic services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 (2)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 (2)</w:t>
            </w:r>
          </w:p>
        </w:tc>
        <w:tc>
          <w:tcPr>
            <w:tcW w:w="1032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7 (16)</w:t>
            </w:r>
          </w:p>
        </w:tc>
        <w:tc>
          <w:tcPr>
            <w:tcW w:w="1265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16 (36)</w:t>
            </w: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7 (16)</w:t>
            </w: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13 (29)</w:t>
            </w:r>
          </w:p>
        </w:tc>
      </w:tr>
      <w:tr w:rsidR="00493C65" w:rsidRPr="007B521C" w:rsidTr="001A7BCA">
        <w:tc>
          <w:tcPr>
            <w:tcW w:w="3677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Case 3: Statement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93C65" w:rsidRPr="007B521C" w:rsidTr="001A7BCA">
        <w:tc>
          <w:tcPr>
            <w:tcW w:w="3677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Signposting individuals to other sources of information e.g. Stroke Association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2 (4)</w:t>
            </w:r>
          </w:p>
        </w:tc>
        <w:tc>
          <w:tcPr>
            <w:tcW w:w="1265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9 (20)</w:t>
            </w: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11 (24)</w:t>
            </w: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23 (51)</w:t>
            </w:r>
          </w:p>
        </w:tc>
      </w:tr>
      <w:tr w:rsidR="00493C65" w:rsidRPr="007B521C" w:rsidTr="001A7BCA">
        <w:tc>
          <w:tcPr>
            <w:tcW w:w="3677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Screening for a mood disorder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2 (4)</w:t>
            </w:r>
          </w:p>
        </w:tc>
        <w:tc>
          <w:tcPr>
            <w:tcW w:w="1265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12 (27)</w:t>
            </w: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9 (20)</w:t>
            </w: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22 (49)</w:t>
            </w:r>
          </w:p>
        </w:tc>
      </w:tr>
      <w:tr w:rsidR="00493C65" w:rsidRPr="007B521C" w:rsidTr="001A7BCA">
        <w:tc>
          <w:tcPr>
            <w:tcW w:w="3677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Ensuring compliance to secondary prevention is in place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 (2)</w:t>
            </w:r>
          </w:p>
        </w:tc>
        <w:tc>
          <w:tcPr>
            <w:tcW w:w="1032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2 (4)</w:t>
            </w:r>
          </w:p>
        </w:tc>
        <w:tc>
          <w:tcPr>
            <w:tcW w:w="1265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11 (24)</w:t>
            </w: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12 (27)</w:t>
            </w: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19 (42)</w:t>
            </w:r>
          </w:p>
        </w:tc>
      </w:tr>
      <w:tr w:rsidR="00493C65" w:rsidRPr="007B521C" w:rsidTr="001A7BCA">
        <w:tc>
          <w:tcPr>
            <w:tcW w:w="3677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 xml:space="preserve">Ensuring allied health professional community follow-up e.g. occupational therapist for additional </w:t>
            </w:r>
            <w:r w:rsidRPr="007B521C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follow-up review in the community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0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 (2)</w:t>
            </w:r>
          </w:p>
        </w:tc>
        <w:tc>
          <w:tcPr>
            <w:tcW w:w="1032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4 (9)</w:t>
            </w:r>
          </w:p>
        </w:tc>
        <w:tc>
          <w:tcPr>
            <w:tcW w:w="1265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11 (24)</w:t>
            </w: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9 (20)</w:t>
            </w: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20 (44)</w:t>
            </w:r>
          </w:p>
        </w:tc>
      </w:tr>
      <w:tr w:rsidR="00493C65" w:rsidRPr="007B521C" w:rsidTr="001A7BCA">
        <w:tc>
          <w:tcPr>
            <w:tcW w:w="3677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Follow-up in stroke-services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3 (7)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3 (7)</w:t>
            </w:r>
          </w:p>
        </w:tc>
        <w:tc>
          <w:tcPr>
            <w:tcW w:w="1032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8 (18)</w:t>
            </w:r>
          </w:p>
        </w:tc>
        <w:tc>
          <w:tcPr>
            <w:tcW w:w="1265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7 (16)</w:t>
            </w: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10 (22)</w:t>
            </w: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14 (31)</w:t>
            </w:r>
          </w:p>
        </w:tc>
      </w:tr>
      <w:tr w:rsidR="00493C65" w:rsidRPr="007B521C" w:rsidTr="001A7BCA">
        <w:tc>
          <w:tcPr>
            <w:tcW w:w="3677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Access to psychological services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2 (4)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2 (4)</w:t>
            </w:r>
          </w:p>
        </w:tc>
        <w:tc>
          <w:tcPr>
            <w:tcW w:w="1032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4 (9)</w:t>
            </w:r>
          </w:p>
        </w:tc>
        <w:tc>
          <w:tcPr>
            <w:tcW w:w="1265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15 (33)</w:t>
            </w: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12 (27)</w:t>
            </w: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10 (22)</w:t>
            </w:r>
          </w:p>
        </w:tc>
      </w:tr>
      <w:tr w:rsidR="00493C65" w:rsidRPr="007B521C" w:rsidTr="001A7BCA">
        <w:tc>
          <w:tcPr>
            <w:tcW w:w="3677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Additional communication with the GP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 (2)</w:t>
            </w:r>
          </w:p>
        </w:tc>
        <w:tc>
          <w:tcPr>
            <w:tcW w:w="1032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6 (13)</w:t>
            </w:r>
          </w:p>
        </w:tc>
        <w:tc>
          <w:tcPr>
            <w:tcW w:w="1265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16 (36)</w:t>
            </w: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6 (13)</w:t>
            </w: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16 (36)</w:t>
            </w:r>
          </w:p>
        </w:tc>
      </w:tr>
      <w:tr w:rsidR="00493C65" w:rsidRPr="007B521C" w:rsidTr="001A7BCA">
        <w:tc>
          <w:tcPr>
            <w:tcW w:w="3677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Direct access to memory clinic services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2 (4)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3 (7)</w:t>
            </w:r>
          </w:p>
        </w:tc>
        <w:tc>
          <w:tcPr>
            <w:tcW w:w="1032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10 (2)</w:t>
            </w:r>
          </w:p>
        </w:tc>
        <w:tc>
          <w:tcPr>
            <w:tcW w:w="1265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16 (36)</w:t>
            </w: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5 (11)</w:t>
            </w: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9 (20)</w:t>
            </w:r>
          </w:p>
        </w:tc>
      </w:tr>
      <w:tr w:rsidR="00493C65" w:rsidRPr="007B521C" w:rsidTr="001A7BCA">
        <w:tc>
          <w:tcPr>
            <w:tcW w:w="3677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 xml:space="preserve">Cognitive screen e.g. </w:t>
            </w:r>
            <w:proofErr w:type="spellStart"/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MoCA</w:t>
            </w:r>
            <w:proofErr w:type="spellEnd"/>
            <w:r w:rsidRPr="007B521C">
              <w:rPr>
                <w:rFonts w:asciiTheme="majorHAnsi" w:hAnsiTheme="majorHAnsi" w:cstheme="majorHAnsi"/>
                <w:sz w:val="22"/>
                <w:szCs w:val="22"/>
              </w:rPr>
              <w:t xml:space="preserve"> during six-month stroke clinic review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 (2)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 (2)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 (2)</w:t>
            </w:r>
          </w:p>
        </w:tc>
        <w:tc>
          <w:tcPr>
            <w:tcW w:w="1032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14 (31)</w:t>
            </w:r>
          </w:p>
        </w:tc>
        <w:tc>
          <w:tcPr>
            <w:tcW w:w="1265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6 (13)</w:t>
            </w: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11 (24)</w:t>
            </w: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11 (24)</w:t>
            </w:r>
          </w:p>
        </w:tc>
      </w:tr>
      <w:tr w:rsidR="00493C65" w:rsidRPr="007B521C" w:rsidTr="001A7BCA">
        <w:tc>
          <w:tcPr>
            <w:tcW w:w="3677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GP to perform cognitive screen following discharge from specialist services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2 (4)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 (2)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7 (16)</w:t>
            </w:r>
          </w:p>
        </w:tc>
        <w:tc>
          <w:tcPr>
            <w:tcW w:w="1032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14 (31)</w:t>
            </w:r>
          </w:p>
        </w:tc>
        <w:tc>
          <w:tcPr>
            <w:tcW w:w="1265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14 (31)</w:t>
            </w: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5 (11)</w:t>
            </w: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2 (4)</w:t>
            </w:r>
          </w:p>
        </w:tc>
      </w:tr>
      <w:tr w:rsidR="00493C65" w:rsidRPr="007B521C" w:rsidTr="001A7BCA">
        <w:tc>
          <w:tcPr>
            <w:tcW w:w="3677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Case 4: Statement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93C65" w:rsidRPr="007B521C" w:rsidTr="001A7BCA">
        <w:tc>
          <w:tcPr>
            <w:tcW w:w="3677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 xml:space="preserve">Ensuring compliance to secondary </w:t>
            </w:r>
            <w:r w:rsidRPr="007B521C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prevention is in place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0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 (2)</w:t>
            </w:r>
          </w:p>
        </w:tc>
        <w:tc>
          <w:tcPr>
            <w:tcW w:w="1265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6 (13)</w:t>
            </w: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12 (27)</w:t>
            </w: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26 (58)</w:t>
            </w:r>
          </w:p>
        </w:tc>
      </w:tr>
      <w:tr w:rsidR="00493C65" w:rsidRPr="007B521C" w:rsidTr="001A7BCA">
        <w:tc>
          <w:tcPr>
            <w:tcW w:w="3677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Direct access to memory clinic services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4 (9)</w:t>
            </w:r>
          </w:p>
        </w:tc>
        <w:tc>
          <w:tcPr>
            <w:tcW w:w="1265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6 (13)</w:t>
            </w: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12 (27)</w:t>
            </w: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23 (51)</w:t>
            </w:r>
          </w:p>
        </w:tc>
      </w:tr>
      <w:tr w:rsidR="00493C65" w:rsidRPr="007B521C" w:rsidTr="001A7BCA">
        <w:tc>
          <w:tcPr>
            <w:tcW w:w="3677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Screening for a mood disorder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265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8 (18)</w:t>
            </w: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15 (33)</w:t>
            </w: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22 (49)</w:t>
            </w:r>
          </w:p>
        </w:tc>
      </w:tr>
      <w:tr w:rsidR="00493C65" w:rsidRPr="007B521C" w:rsidTr="001A7BCA">
        <w:tc>
          <w:tcPr>
            <w:tcW w:w="3677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Signposting individuals to other sources of information e.g. Stroke Association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2 (4)</w:t>
            </w:r>
          </w:p>
        </w:tc>
        <w:tc>
          <w:tcPr>
            <w:tcW w:w="1265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9 (20)</w:t>
            </w: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12 (27)</w:t>
            </w: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22 (49)</w:t>
            </w:r>
          </w:p>
        </w:tc>
      </w:tr>
      <w:tr w:rsidR="00493C65" w:rsidRPr="007B521C" w:rsidTr="001A7BCA">
        <w:tc>
          <w:tcPr>
            <w:tcW w:w="3677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 xml:space="preserve">Cognitive screen e.g. </w:t>
            </w:r>
            <w:proofErr w:type="spellStart"/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MoCA</w:t>
            </w:r>
            <w:proofErr w:type="spellEnd"/>
            <w:r w:rsidRPr="007B521C">
              <w:rPr>
                <w:rFonts w:asciiTheme="majorHAnsi" w:hAnsiTheme="majorHAnsi" w:cstheme="majorHAnsi"/>
                <w:sz w:val="22"/>
                <w:szCs w:val="22"/>
              </w:rPr>
              <w:t xml:space="preserve"> during six-month stroke clinic review</w:t>
            </w: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 (2)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 (2)</w:t>
            </w:r>
          </w:p>
        </w:tc>
        <w:tc>
          <w:tcPr>
            <w:tcW w:w="1032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2 (4)</w:t>
            </w:r>
          </w:p>
        </w:tc>
        <w:tc>
          <w:tcPr>
            <w:tcW w:w="1265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7 (16)</w:t>
            </w: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12 (27)</w:t>
            </w: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22 (49)</w:t>
            </w:r>
          </w:p>
        </w:tc>
      </w:tr>
      <w:tr w:rsidR="00493C65" w:rsidRPr="007B521C" w:rsidTr="001A7BCA">
        <w:tc>
          <w:tcPr>
            <w:tcW w:w="3677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Access to psychological services</w:t>
            </w: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2 (4)</w:t>
            </w:r>
          </w:p>
        </w:tc>
        <w:tc>
          <w:tcPr>
            <w:tcW w:w="1265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12 (27)</w:t>
            </w: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10 (22)</w:t>
            </w: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21 (47)</w:t>
            </w:r>
          </w:p>
        </w:tc>
      </w:tr>
      <w:tr w:rsidR="00493C65" w:rsidRPr="007B521C" w:rsidTr="001A7BCA">
        <w:tc>
          <w:tcPr>
            <w:tcW w:w="3677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Additional communication with the GP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 (2)</w:t>
            </w:r>
          </w:p>
        </w:tc>
        <w:tc>
          <w:tcPr>
            <w:tcW w:w="1032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2 (4)</w:t>
            </w:r>
          </w:p>
        </w:tc>
        <w:tc>
          <w:tcPr>
            <w:tcW w:w="1265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10 (22)</w:t>
            </w: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11 (24)</w:t>
            </w: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21 (47)</w:t>
            </w:r>
          </w:p>
        </w:tc>
      </w:tr>
      <w:tr w:rsidR="00493C65" w:rsidRPr="007B521C" w:rsidTr="001A7BCA">
        <w:tc>
          <w:tcPr>
            <w:tcW w:w="3677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 xml:space="preserve">Ensuring allied health professional community follow-up e.g. occupational </w:t>
            </w:r>
            <w:r w:rsidRPr="007B521C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therapist for additional follow-up review in the community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0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7 (16)</w:t>
            </w:r>
          </w:p>
        </w:tc>
        <w:tc>
          <w:tcPr>
            <w:tcW w:w="1265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11 (24)</w:t>
            </w: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9 (20)</w:t>
            </w: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18 (40)</w:t>
            </w:r>
          </w:p>
        </w:tc>
      </w:tr>
      <w:tr w:rsidR="00493C65" w:rsidRPr="007B521C" w:rsidTr="001A7BCA">
        <w:tc>
          <w:tcPr>
            <w:tcW w:w="3677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GP to perform cognitive screen following discharge from specialist services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 (2)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 (2)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2 (4)</w:t>
            </w:r>
          </w:p>
        </w:tc>
        <w:tc>
          <w:tcPr>
            <w:tcW w:w="1032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7 (16)</w:t>
            </w:r>
          </w:p>
        </w:tc>
        <w:tc>
          <w:tcPr>
            <w:tcW w:w="1265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13 (29)</w:t>
            </w: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12 (27)</w:t>
            </w: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9 (20)</w:t>
            </w:r>
          </w:p>
        </w:tc>
      </w:tr>
      <w:tr w:rsidR="00493C65" w:rsidRPr="007B521C" w:rsidTr="001A7BCA">
        <w:tc>
          <w:tcPr>
            <w:tcW w:w="3677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Follow-up in stroke-services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 (2)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 (2)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3 (7)</w:t>
            </w:r>
          </w:p>
        </w:tc>
        <w:tc>
          <w:tcPr>
            <w:tcW w:w="1032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8 (18)</w:t>
            </w:r>
          </w:p>
        </w:tc>
        <w:tc>
          <w:tcPr>
            <w:tcW w:w="1265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10 (22)</w:t>
            </w: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11 (24)</w:t>
            </w: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11 (24)</w:t>
            </w:r>
          </w:p>
        </w:tc>
      </w:tr>
      <w:tr w:rsidR="00493C65" w:rsidRPr="007B521C" w:rsidTr="001A7BCA">
        <w:tc>
          <w:tcPr>
            <w:tcW w:w="3677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Case 5: Statement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93C65" w:rsidRPr="007B521C" w:rsidTr="001A7BCA">
        <w:tc>
          <w:tcPr>
            <w:tcW w:w="3677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Signposting individuals to other sources of information e.g. Stroke Association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2 (4)</w:t>
            </w:r>
          </w:p>
        </w:tc>
        <w:tc>
          <w:tcPr>
            <w:tcW w:w="1265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13 (29)</w:t>
            </w: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9 (20)</w:t>
            </w: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21 (47)</w:t>
            </w:r>
          </w:p>
        </w:tc>
      </w:tr>
      <w:tr w:rsidR="00493C65" w:rsidRPr="007B521C" w:rsidTr="001A7BCA">
        <w:tc>
          <w:tcPr>
            <w:tcW w:w="3677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Ensuring compliance to secondary prevention is in place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3 (7)</w:t>
            </w:r>
          </w:p>
        </w:tc>
        <w:tc>
          <w:tcPr>
            <w:tcW w:w="1265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9 (20)</w:t>
            </w: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11 (24)</w:t>
            </w: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22 (49)</w:t>
            </w:r>
          </w:p>
        </w:tc>
      </w:tr>
      <w:tr w:rsidR="00493C65" w:rsidRPr="007B521C" w:rsidTr="001A7BCA">
        <w:tc>
          <w:tcPr>
            <w:tcW w:w="3677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Screening for a mood disorder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3 (7)</w:t>
            </w:r>
          </w:p>
        </w:tc>
        <w:tc>
          <w:tcPr>
            <w:tcW w:w="1265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14 (31)</w:t>
            </w: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14 (31)</w:t>
            </w: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14 (31)</w:t>
            </w:r>
          </w:p>
        </w:tc>
      </w:tr>
      <w:tr w:rsidR="00493C65" w:rsidRPr="007B521C" w:rsidTr="001A7BCA">
        <w:tc>
          <w:tcPr>
            <w:tcW w:w="3677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Additional communicatio</w:t>
            </w:r>
            <w:r w:rsidRPr="007B521C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n with the GP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0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9 (20)</w:t>
            </w:r>
          </w:p>
        </w:tc>
        <w:tc>
          <w:tcPr>
            <w:tcW w:w="1265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20 (44)</w:t>
            </w: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10 (22)</w:t>
            </w: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6 (13)</w:t>
            </w:r>
          </w:p>
        </w:tc>
      </w:tr>
      <w:tr w:rsidR="00493C65" w:rsidRPr="007B521C" w:rsidTr="001A7BCA">
        <w:tc>
          <w:tcPr>
            <w:tcW w:w="3677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GP to perform cognitive screen following discharge from specialist services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 (2)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 (2)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4 (9)</w:t>
            </w:r>
          </w:p>
        </w:tc>
        <w:tc>
          <w:tcPr>
            <w:tcW w:w="1032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8 (18)</w:t>
            </w:r>
          </w:p>
        </w:tc>
        <w:tc>
          <w:tcPr>
            <w:tcW w:w="1265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26 (58)</w:t>
            </w: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2 (4)</w:t>
            </w: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3 (7)</w:t>
            </w:r>
          </w:p>
        </w:tc>
      </w:tr>
      <w:tr w:rsidR="00493C65" w:rsidRPr="007B521C" w:rsidTr="001A7BCA">
        <w:tc>
          <w:tcPr>
            <w:tcW w:w="3677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 xml:space="preserve">Cognitive screen e.g. </w:t>
            </w:r>
            <w:proofErr w:type="spellStart"/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MoCA</w:t>
            </w:r>
            <w:proofErr w:type="spellEnd"/>
            <w:r w:rsidRPr="007B521C">
              <w:rPr>
                <w:rFonts w:asciiTheme="majorHAnsi" w:hAnsiTheme="majorHAnsi" w:cstheme="majorHAnsi"/>
                <w:sz w:val="22"/>
                <w:szCs w:val="22"/>
              </w:rPr>
              <w:t xml:space="preserve"> during six-month stroke clinic review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 (2)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2 (4)</w:t>
            </w:r>
          </w:p>
        </w:tc>
        <w:tc>
          <w:tcPr>
            <w:tcW w:w="1032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6 (13)</w:t>
            </w:r>
          </w:p>
        </w:tc>
        <w:tc>
          <w:tcPr>
            <w:tcW w:w="1265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15 (33)</w:t>
            </w: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7 (16)</w:t>
            </w: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14 (31)</w:t>
            </w:r>
          </w:p>
        </w:tc>
      </w:tr>
      <w:tr w:rsidR="00493C65" w:rsidRPr="007B521C" w:rsidTr="001A7BCA">
        <w:tc>
          <w:tcPr>
            <w:tcW w:w="3677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Follow-up in stroke-services</w:t>
            </w: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 (2)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7 (16)</w:t>
            </w:r>
          </w:p>
        </w:tc>
        <w:tc>
          <w:tcPr>
            <w:tcW w:w="1032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7 (16)</w:t>
            </w:r>
          </w:p>
        </w:tc>
        <w:tc>
          <w:tcPr>
            <w:tcW w:w="1265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14 (31)</w:t>
            </w: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9 (20)</w:t>
            </w: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7 (16)</w:t>
            </w:r>
          </w:p>
        </w:tc>
      </w:tr>
      <w:tr w:rsidR="00493C65" w:rsidRPr="007B521C" w:rsidTr="001A7BCA">
        <w:tc>
          <w:tcPr>
            <w:tcW w:w="3677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Access to psychological services</w:t>
            </w: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3 (7)</w:t>
            </w:r>
          </w:p>
        </w:tc>
        <w:tc>
          <w:tcPr>
            <w:tcW w:w="1032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13 (29)</w:t>
            </w:r>
          </w:p>
        </w:tc>
        <w:tc>
          <w:tcPr>
            <w:tcW w:w="1265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12 (27)</w:t>
            </w: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12 (27)</w:t>
            </w:r>
          </w:p>
        </w:tc>
        <w:tc>
          <w:tcPr>
            <w:tcW w:w="1130" w:type="dxa"/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5 (11)</w:t>
            </w:r>
          </w:p>
        </w:tc>
      </w:tr>
      <w:tr w:rsidR="00493C65" w:rsidRPr="007B521C" w:rsidTr="001A7BCA">
        <w:tc>
          <w:tcPr>
            <w:tcW w:w="3677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Ensuring allied health professional community follow-up e.g. occupational therapist for additional follow-up review in the community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2 (4)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16 (36)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9 (20)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7 (16)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11 (24)</w:t>
            </w:r>
          </w:p>
        </w:tc>
      </w:tr>
      <w:tr w:rsidR="00493C65" w:rsidRPr="007B521C" w:rsidTr="001A7BCA">
        <w:tc>
          <w:tcPr>
            <w:tcW w:w="3677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Direct access to memory clinic services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4 (9)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16 (36)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13 (29)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10 (22)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493C65" w:rsidRPr="007B521C" w:rsidRDefault="00493C65" w:rsidP="001A7BCA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521C">
              <w:rPr>
                <w:rFonts w:asciiTheme="majorHAnsi" w:hAnsiTheme="majorHAnsi" w:cstheme="majorHAnsi"/>
                <w:sz w:val="22"/>
                <w:szCs w:val="22"/>
              </w:rPr>
              <w:t>2 (4)</w:t>
            </w:r>
          </w:p>
        </w:tc>
      </w:tr>
    </w:tbl>
    <w:p w:rsidR="00493C65" w:rsidRPr="007B521C" w:rsidRDefault="00493C65" w:rsidP="00493C65">
      <w:pPr>
        <w:spacing w:line="360" w:lineRule="auto"/>
        <w:rPr>
          <w:rFonts w:asciiTheme="majorHAnsi" w:hAnsiTheme="majorHAnsi" w:cstheme="majorHAnsi"/>
        </w:rPr>
      </w:pPr>
    </w:p>
    <w:p w:rsidR="009E5146" w:rsidRDefault="009E5146">
      <w:bookmarkStart w:id="0" w:name="_GoBack"/>
      <w:bookmarkEnd w:id="0"/>
    </w:p>
    <w:sectPr w:rsidR="009E5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C65"/>
    <w:rsid w:val="00493C65"/>
    <w:rsid w:val="00560A73"/>
    <w:rsid w:val="009E5146"/>
    <w:rsid w:val="00DC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C65"/>
    <w:pPr>
      <w:spacing w:after="0"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C65"/>
    <w:pPr>
      <w:spacing w:after="0"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RTORRES</dc:creator>
  <cp:lastModifiedBy>RTORRES</cp:lastModifiedBy>
  <cp:revision>1</cp:revision>
  <dcterms:created xsi:type="dcterms:W3CDTF">2020-07-22T12:51:00Z</dcterms:created>
  <dcterms:modified xsi:type="dcterms:W3CDTF">2020-07-22T12:51:00Z</dcterms:modified>
</cp:coreProperties>
</file>