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9813" w14:textId="77777777" w:rsidR="00CE6245" w:rsidRPr="00D0768E" w:rsidRDefault="007F20E0" w:rsidP="000674FF">
      <w:pPr>
        <w:spacing w:line="480" w:lineRule="auto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t>Supplementary Online Content</w:t>
      </w:r>
    </w:p>
    <w:p w14:paraId="7E47E857" w14:textId="77777777" w:rsidR="007F20E0" w:rsidRPr="00D0768E" w:rsidRDefault="007F20E0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27A950D6" w14:textId="226102F9" w:rsidR="007F20E0" w:rsidRPr="00D0768E" w:rsidRDefault="007F20E0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5450AD58" w14:textId="77777777" w:rsidR="00535461" w:rsidRPr="00D0768E" w:rsidRDefault="00535461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258EE5B4" w14:textId="0234442C" w:rsidR="007F20E0" w:rsidRPr="00D0768E" w:rsidRDefault="007F20E0" w:rsidP="000674FF">
      <w:pPr>
        <w:spacing w:line="480" w:lineRule="auto"/>
        <w:jc w:val="both"/>
        <w:outlineLvl w:val="0"/>
        <w:rPr>
          <w:rFonts w:ascii="Calibri" w:hAnsi="Calibri"/>
          <w:sz w:val="22"/>
          <w:szCs w:val="22"/>
          <w:vertAlign w:val="superscript"/>
          <w:lang w:val="en-GB"/>
        </w:rPr>
      </w:pPr>
      <w:r w:rsidRPr="00D0768E">
        <w:rPr>
          <w:rFonts w:ascii="Calibri" w:hAnsi="Calibri"/>
          <w:sz w:val="22"/>
          <w:szCs w:val="22"/>
          <w:lang w:val="en-GB"/>
        </w:rPr>
        <w:t xml:space="preserve">Christian </w:t>
      </w:r>
      <w:proofErr w:type="spellStart"/>
      <w:r w:rsidRPr="00D0768E">
        <w:rPr>
          <w:rFonts w:ascii="Calibri" w:hAnsi="Calibri"/>
          <w:sz w:val="22"/>
          <w:szCs w:val="22"/>
          <w:lang w:val="en-GB"/>
        </w:rPr>
        <w:t>Reiterer</w:t>
      </w:r>
      <w:proofErr w:type="spellEnd"/>
      <w:r w:rsidRPr="00D0768E">
        <w:rPr>
          <w:rFonts w:ascii="Calibri" w:hAnsi="Calibri"/>
          <w:sz w:val="22"/>
          <w:szCs w:val="22"/>
          <w:lang w:val="en-GB"/>
        </w:rPr>
        <w:t xml:space="preserve">, MD, </w:t>
      </w:r>
      <w:r w:rsidR="00535461" w:rsidRPr="00D0768E">
        <w:rPr>
          <w:rFonts w:ascii="Calibri" w:hAnsi="Calibri"/>
          <w:sz w:val="22"/>
          <w:szCs w:val="22"/>
          <w:lang w:val="en-GB"/>
        </w:rPr>
        <w:t xml:space="preserve">Barbara </w:t>
      </w:r>
      <w:proofErr w:type="spellStart"/>
      <w:r w:rsidR="00535461" w:rsidRPr="00D0768E">
        <w:rPr>
          <w:rFonts w:ascii="Calibri" w:hAnsi="Calibri"/>
          <w:sz w:val="22"/>
          <w:szCs w:val="22"/>
          <w:lang w:val="en-GB"/>
        </w:rPr>
        <w:t>Kabon</w:t>
      </w:r>
      <w:proofErr w:type="spellEnd"/>
      <w:r w:rsidRPr="00D0768E">
        <w:rPr>
          <w:rFonts w:ascii="Calibri" w:hAnsi="Calibri"/>
          <w:sz w:val="22"/>
          <w:szCs w:val="22"/>
          <w:lang w:val="en-GB"/>
        </w:rPr>
        <w:t xml:space="preserve">, MD, </w:t>
      </w:r>
      <w:r w:rsidR="00535461" w:rsidRPr="00D0768E">
        <w:rPr>
          <w:rFonts w:ascii="Calibri" w:hAnsi="Calibri"/>
          <w:sz w:val="22"/>
          <w:szCs w:val="22"/>
          <w:lang w:val="en-GB"/>
        </w:rPr>
        <w:t>Alexander Taschner</w:t>
      </w:r>
      <w:r w:rsidRPr="00D0768E">
        <w:rPr>
          <w:rFonts w:ascii="Calibri" w:hAnsi="Calibri"/>
          <w:sz w:val="22"/>
          <w:szCs w:val="22"/>
          <w:lang w:val="en-GB"/>
        </w:rPr>
        <w:t>, M</w:t>
      </w:r>
      <w:r w:rsidR="00535461" w:rsidRPr="00D0768E">
        <w:rPr>
          <w:rFonts w:ascii="Calibri" w:hAnsi="Calibri"/>
          <w:sz w:val="22"/>
          <w:szCs w:val="22"/>
          <w:lang w:val="en-GB"/>
        </w:rPr>
        <w:t>S</w:t>
      </w:r>
      <w:r w:rsidRPr="00D0768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535461" w:rsidRPr="00D0768E">
        <w:rPr>
          <w:rFonts w:ascii="Calibri" w:hAnsi="Calibri"/>
          <w:sz w:val="22"/>
          <w:szCs w:val="22"/>
          <w:lang w:val="en-GB"/>
        </w:rPr>
        <w:t>Olizver</w:t>
      </w:r>
      <w:proofErr w:type="spellEnd"/>
      <w:r w:rsidR="00535461" w:rsidRPr="00D0768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535461" w:rsidRPr="00D0768E">
        <w:rPr>
          <w:rFonts w:ascii="Calibri" w:hAnsi="Calibri"/>
          <w:sz w:val="22"/>
          <w:szCs w:val="22"/>
          <w:lang w:val="en-GB"/>
        </w:rPr>
        <w:t>Zotti</w:t>
      </w:r>
      <w:proofErr w:type="spellEnd"/>
      <w:r w:rsidR="00535461" w:rsidRPr="00D0768E">
        <w:rPr>
          <w:rFonts w:ascii="Calibri" w:hAnsi="Calibri"/>
          <w:sz w:val="22"/>
          <w:szCs w:val="22"/>
          <w:lang w:val="en-GB"/>
        </w:rPr>
        <w:t xml:space="preserve">, Research Assistant, Andrea </w:t>
      </w:r>
      <w:proofErr w:type="spellStart"/>
      <w:r w:rsidR="00535461" w:rsidRPr="00D0768E">
        <w:rPr>
          <w:rFonts w:ascii="Calibri" w:hAnsi="Calibri"/>
          <w:sz w:val="22"/>
          <w:szCs w:val="22"/>
          <w:lang w:val="en-GB"/>
        </w:rPr>
        <w:t>Kurz</w:t>
      </w:r>
      <w:proofErr w:type="spellEnd"/>
      <w:r w:rsidR="00535461" w:rsidRPr="00D0768E">
        <w:rPr>
          <w:rFonts w:ascii="Calibri" w:hAnsi="Calibri"/>
          <w:sz w:val="22"/>
          <w:szCs w:val="22"/>
          <w:lang w:val="en-GB"/>
        </w:rPr>
        <w:t xml:space="preserve"> MD, </w:t>
      </w:r>
      <w:r w:rsidRPr="00D0768E">
        <w:rPr>
          <w:rFonts w:ascii="Calibri" w:hAnsi="Calibri"/>
          <w:sz w:val="22"/>
          <w:szCs w:val="22"/>
          <w:lang w:val="en-GB"/>
        </w:rPr>
        <w:t>Edith Fleischmann</w:t>
      </w:r>
      <w:r w:rsidR="00535461" w:rsidRPr="00D0768E">
        <w:rPr>
          <w:rFonts w:ascii="Calibri" w:hAnsi="Calibri"/>
          <w:sz w:val="22"/>
          <w:szCs w:val="22"/>
          <w:lang w:val="en-GB"/>
        </w:rPr>
        <w:t>, MD</w:t>
      </w:r>
    </w:p>
    <w:p w14:paraId="760EFA90" w14:textId="77777777" w:rsidR="007F20E0" w:rsidRPr="00D0768E" w:rsidRDefault="007F20E0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37AF4DCA" w14:textId="1BE41B57" w:rsidR="007F20E0" w:rsidRPr="00D0768E" w:rsidRDefault="007F20E0" w:rsidP="000674FF">
      <w:pPr>
        <w:spacing w:line="480" w:lineRule="auto"/>
        <w:rPr>
          <w:rFonts w:ascii="Calibri" w:hAnsi="Calibri" w:cs="Times New Roman"/>
          <w:sz w:val="22"/>
          <w:szCs w:val="22"/>
          <w:lang w:val="en-GB"/>
        </w:rPr>
      </w:pPr>
      <w:proofErr w:type="spellStart"/>
      <w:r w:rsidRPr="00D0768E">
        <w:rPr>
          <w:rFonts w:ascii="Calibri" w:hAnsi="Calibri" w:cs="Times New Roman"/>
          <w:b/>
          <w:sz w:val="22"/>
          <w:szCs w:val="22"/>
          <w:lang w:val="en-GB"/>
        </w:rPr>
        <w:t>eAppendix</w:t>
      </w:r>
      <w:proofErr w:type="spellEnd"/>
      <w:r w:rsidRPr="00D0768E">
        <w:rPr>
          <w:rFonts w:ascii="Calibri" w:hAnsi="Calibri" w:cs="Times New Roman"/>
          <w:b/>
          <w:sz w:val="22"/>
          <w:szCs w:val="22"/>
          <w:lang w:val="en-GB"/>
        </w:rPr>
        <w:t xml:space="preserve"> 1: </w:t>
      </w:r>
      <w:r w:rsidRPr="00D0768E">
        <w:rPr>
          <w:rFonts w:ascii="Calibri" w:hAnsi="Calibri" w:cs="Times New Roman"/>
          <w:sz w:val="22"/>
          <w:szCs w:val="22"/>
          <w:lang w:val="en-GB"/>
        </w:rPr>
        <w:t>Intraoperative Fluid Management</w:t>
      </w:r>
    </w:p>
    <w:p w14:paraId="41846D9D" w14:textId="3BC7DF64" w:rsidR="00264AAB" w:rsidRDefault="00264AAB" w:rsidP="000674FF">
      <w:pPr>
        <w:tabs>
          <w:tab w:val="right" w:pos="9020"/>
        </w:tabs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proofErr w:type="spellStart"/>
      <w:r w:rsidRPr="00264AAB">
        <w:rPr>
          <w:rFonts w:ascii="Calibri" w:hAnsi="Calibri" w:cs="Times New Roman"/>
          <w:b/>
          <w:bCs/>
          <w:sz w:val="22"/>
          <w:szCs w:val="22"/>
          <w:lang w:val="en-GB"/>
        </w:rPr>
        <w:t>eAppendix</w:t>
      </w:r>
      <w:proofErr w:type="spellEnd"/>
      <w:r w:rsidRPr="00264AAB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 </w:t>
      </w:r>
      <w:r w:rsidR="00254852">
        <w:rPr>
          <w:rFonts w:ascii="Calibri" w:hAnsi="Calibri" w:cs="Times New Roman"/>
          <w:b/>
          <w:bCs/>
          <w:sz w:val="22"/>
          <w:szCs w:val="22"/>
          <w:lang w:val="en-GB"/>
        </w:rPr>
        <w:t>2</w:t>
      </w:r>
      <w:r w:rsidRPr="00264AAB">
        <w:rPr>
          <w:rFonts w:ascii="Calibri" w:hAnsi="Calibri" w:cs="Times New Roman"/>
          <w:b/>
          <w:bCs/>
          <w:sz w:val="22"/>
          <w:szCs w:val="22"/>
          <w:lang w:val="en-GB"/>
        </w:rPr>
        <w:t>:</w:t>
      </w:r>
      <w:r>
        <w:rPr>
          <w:rFonts w:ascii="Calibri" w:hAnsi="Calibri" w:cs="Times New Roman"/>
          <w:sz w:val="22"/>
          <w:szCs w:val="22"/>
          <w:lang w:val="en-GB"/>
        </w:rPr>
        <w:t xml:space="preserve"> 4</w:t>
      </w:r>
      <w:r w:rsidRPr="00264AAB">
        <w:rPr>
          <w:rFonts w:ascii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Times New Roman"/>
          <w:sz w:val="22"/>
          <w:szCs w:val="22"/>
          <w:lang w:val="en-GB"/>
        </w:rPr>
        <w:t xml:space="preserve"> and 5</w:t>
      </w:r>
      <w:r w:rsidRPr="00264AAB">
        <w:rPr>
          <w:rFonts w:ascii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Times New Roman"/>
          <w:sz w:val="22"/>
          <w:szCs w:val="22"/>
          <w:lang w:val="en-GB"/>
        </w:rPr>
        <w:t xml:space="preserve"> generation troponin T values</w:t>
      </w:r>
    </w:p>
    <w:p w14:paraId="72357CD1" w14:textId="7415545B" w:rsidR="00254852" w:rsidRDefault="00254852" w:rsidP="00254852">
      <w:pPr>
        <w:tabs>
          <w:tab w:val="right" w:pos="9020"/>
        </w:tabs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proofErr w:type="spellStart"/>
      <w:r w:rsidRPr="00D0768E">
        <w:rPr>
          <w:rFonts w:ascii="Calibri" w:hAnsi="Calibri" w:cs="Times New Roman"/>
          <w:b/>
          <w:sz w:val="22"/>
          <w:szCs w:val="22"/>
          <w:lang w:val="en-GB"/>
        </w:rPr>
        <w:t>eAppendix</w:t>
      </w:r>
      <w:proofErr w:type="spellEnd"/>
      <w:r w:rsidRPr="00D0768E">
        <w:rPr>
          <w:rFonts w:ascii="Calibri" w:hAnsi="Calibri" w:cs="Times New Roman"/>
          <w:b/>
          <w:sz w:val="22"/>
          <w:szCs w:val="22"/>
          <w:lang w:val="en-GB"/>
        </w:rPr>
        <w:t xml:space="preserve"> </w:t>
      </w:r>
      <w:r>
        <w:rPr>
          <w:rFonts w:ascii="Calibri" w:hAnsi="Calibri" w:cs="Times New Roman"/>
          <w:b/>
          <w:sz w:val="22"/>
          <w:szCs w:val="22"/>
          <w:lang w:val="en-GB"/>
        </w:rPr>
        <w:t>3</w:t>
      </w:r>
      <w:r w:rsidRPr="00D0768E">
        <w:rPr>
          <w:rFonts w:ascii="Calibri" w:hAnsi="Calibri" w:cs="Times New Roman"/>
          <w:b/>
          <w:sz w:val="22"/>
          <w:szCs w:val="22"/>
          <w:lang w:val="en-GB"/>
        </w:rPr>
        <w:t xml:space="preserve">: 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Spearman Correlation </w:t>
      </w:r>
    </w:p>
    <w:p w14:paraId="142889A7" w14:textId="77777777" w:rsidR="00254852" w:rsidRPr="00D0768E" w:rsidRDefault="00254852" w:rsidP="000674FF">
      <w:pPr>
        <w:tabs>
          <w:tab w:val="right" w:pos="9020"/>
        </w:tabs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76F5DE77" w14:textId="7195A6BE" w:rsidR="00C4311E" w:rsidRPr="00D0768E" w:rsidRDefault="00C4311E" w:rsidP="000674FF">
      <w:pPr>
        <w:tabs>
          <w:tab w:val="right" w:pos="9020"/>
        </w:tabs>
        <w:spacing w:line="480" w:lineRule="auto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133CCCFA" w14:textId="780D21BB" w:rsidR="00C4311E" w:rsidRPr="00D0768E" w:rsidRDefault="00C4311E" w:rsidP="000674FF">
      <w:pPr>
        <w:pStyle w:val="NormalWeb"/>
        <w:spacing w:line="480" w:lineRule="auto"/>
        <w:jc w:val="both"/>
        <w:rPr>
          <w:rFonts w:ascii="Calibri" w:hAnsi="Calibri"/>
          <w:sz w:val="22"/>
          <w:szCs w:val="22"/>
          <w:lang w:val="en-GB"/>
        </w:rPr>
      </w:pPr>
      <w:r w:rsidRPr="00D0768E">
        <w:rPr>
          <w:rFonts w:ascii="Calibri" w:eastAsia="ArialMT" w:hAnsi="Calibri"/>
          <w:sz w:val="22"/>
          <w:szCs w:val="22"/>
          <w:lang w:val="en-GB"/>
        </w:rPr>
        <w:t xml:space="preserve">This supplementary material has been provided by the authors to give readers additional information about their work. </w:t>
      </w:r>
    </w:p>
    <w:p w14:paraId="1E904553" w14:textId="77777777" w:rsidR="007F20E0" w:rsidRPr="00D0768E" w:rsidRDefault="007F20E0" w:rsidP="000674FF">
      <w:pPr>
        <w:tabs>
          <w:tab w:val="right" w:pos="9020"/>
        </w:tabs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br w:type="page"/>
      </w:r>
      <w:r w:rsidR="00C4311E" w:rsidRPr="00D0768E">
        <w:rPr>
          <w:rFonts w:ascii="Calibri" w:hAnsi="Calibri" w:cs="Times New Roman"/>
          <w:b/>
          <w:sz w:val="22"/>
          <w:szCs w:val="22"/>
          <w:lang w:val="en-GB"/>
        </w:rPr>
        <w:lastRenderedPageBreak/>
        <w:tab/>
      </w:r>
    </w:p>
    <w:p w14:paraId="1FC044F7" w14:textId="77777777" w:rsidR="007F20E0" w:rsidRPr="00D0768E" w:rsidRDefault="007F20E0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t xml:space="preserve">eAppendix1: </w:t>
      </w:r>
    </w:p>
    <w:p w14:paraId="0183705F" w14:textId="035EAF4A" w:rsidR="0051196F" w:rsidRPr="00D0768E" w:rsidRDefault="0051196F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>Patients were randomi</w:t>
      </w:r>
      <w:r w:rsidR="00D0768E">
        <w:rPr>
          <w:rFonts w:ascii="Calibri" w:hAnsi="Calibri" w:cs="Times New Roman"/>
          <w:sz w:val="22"/>
          <w:szCs w:val="22"/>
          <w:lang w:val="en-GB"/>
        </w:rPr>
        <w:t>s</w:t>
      </w:r>
      <w:r w:rsidRPr="00D0768E">
        <w:rPr>
          <w:rFonts w:ascii="Calibri" w:hAnsi="Calibri" w:cs="Times New Roman"/>
          <w:sz w:val="22"/>
          <w:szCs w:val="22"/>
          <w:lang w:val="en-GB"/>
        </w:rPr>
        <w:t>ed to receive a goal-directed bolus administration of 250 mL lactated Ringer´s solution or 250 mL of</w: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t xml:space="preserve">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hydroxethylstarch</w:t>
      </w:r>
      <w:proofErr w:type="spellEnd"/>
      <w:r w:rsidR="007B19C0" w:rsidRPr="00D0768E">
        <w:rPr>
          <w:rFonts w:ascii="Calibri" w:hAnsi="Calibri" w:cs="Times New Roman"/>
          <w:sz w:val="22"/>
          <w:szCs w:val="22"/>
          <w:lang w:val="en-GB"/>
        </w:rPr>
        <w:t xml:space="preserve"> 6%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 (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Voluven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, Fresenius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Kabi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, Germany). </w:t>
      </w:r>
    </w:p>
    <w:p w14:paraId="2E2279F8" w14:textId="554C2D48" w:rsidR="007F20E0" w:rsidRPr="00D0768E" w:rsidRDefault="004906EE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>We performed intraoperative goal-di</w:t>
      </w:r>
      <w:r w:rsidR="00CC0793" w:rsidRPr="00D0768E">
        <w:rPr>
          <w:rFonts w:ascii="Calibri" w:hAnsi="Calibri" w:cs="Times New Roman"/>
          <w:sz w:val="22"/>
          <w:szCs w:val="22"/>
          <w:lang w:val="en-GB"/>
        </w:rPr>
        <w:t>rected fluid management using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esophageal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 Doppler </w:t>
      </w:r>
      <w:r w:rsidR="00CC0793" w:rsidRPr="00D0768E">
        <w:rPr>
          <w:rFonts w:ascii="Calibri" w:hAnsi="Calibri" w:cs="Times New Roman"/>
          <w:sz w:val="22"/>
          <w:szCs w:val="22"/>
          <w:lang w:val="en-GB"/>
        </w:rPr>
        <w:t xml:space="preserve">monitoring </w:t>
      </w:r>
      <w:r w:rsidRPr="00D0768E">
        <w:rPr>
          <w:rFonts w:ascii="Calibri" w:hAnsi="Calibri" w:cs="Times New Roman"/>
          <w:sz w:val="22"/>
          <w:szCs w:val="22"/>
          <w:lang w:val="en-GB"/>
        </w:rPr>
        <w:t>(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CardiacQ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;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Deletex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 Medical,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Chicester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, UK). Our fluid management was based on the algorithm published by </w: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t>Gan et al.</w: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fldChar w:fldCharType="begin" w:fldLock="1"/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instrText>ADDIN CSL_CITATION {"citationItems":[{"id":"ITEM-1","itemData":{"author":[{"dropping-particle":"","family":"Gan","given":"T J","non-dropping-particle":"","parse-names":false,"suffix":""},{"dropping-particle":"","family":"Sooitt","given":"A","non-dropping-particle":"","parse-names":false,"suffix":""},{"dropping-particle":"","family":"Maroof","given":"M","non-dropping-particle":"","parse-names":false,"suffix":""},{"dropping-particle":"","family":"El-Moalem","given":"H","non-dropping-particle":"","parse-names":false,"suffix":""},{"dropping-particle":"","family":"Robertson","given":"K M","non-dropping-particle":"","parse-names":false,"suffix":""},{"dropping-particle":"","family":"Moretti","given":"E","non-dropping-particle":"","parse-names":false,"suffix":""},{"dropping-particle":"","family":"Dwane","given":"P","non-dropping-particle":"","parse-names":false,"suffix":""},{"dropping-particle":"","family":"Glass","given":"P S A","non-dropping-particle":"","parse-names":false,"suffix":""}],"container-title":"Anesthesiology","id":"ITEM-1","issue":"4","issued":{"date-parts":[["2002"]]},"page":"820-826","title":"Goal-directed intraoperative fluid administration reduces length of hospital stay after major surgery","type":"article-journal","volume":"97"},"uris":["http://www.mendeley.com/documents/?uuid=da770738-9085-4480-ac90-d12652e5827d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fldChar w:fldCharType="separate"/>
      </w:r>
      <w:r w:rsidR="007B19C0" w:rsidRPr="00D0768E">
        <w:rPr>
          <w:rFonts w:ascii="Calibri" w:hAnsi="Calibri" w:cs="Times New Roman"/>
          <w:noProof/>
          <w:sz w:val="22"/>
          <w:szCs w:val="22"/>
          <w:vertAlign w:val="superscript"/>
          <w:lang w:val="en-GB"/>
        </w:rPr>
        <w:t>1</w: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fldChar w:fldCharType="end"/>
      </w:r>
    </w:p>
    <w:p w14:paraId="7BADE872" w14:textId="379084B3" w:rsidR="004906EE" w:rsidRPr="00D0768E" w:rsidRDefault="004906EE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 xml:space="preserve">All patients received a baseline </w:t>
      </w:r>
      <w:r w:rsidR="007B19C0" w:rsidRPr="00D0768E">
        <w:rPr>
          <w:rFonts w:ascii="Calibri" w:hAnsi="Calibri" w:cs="Times New Roman"/>
          <w:sz w:val="22"/>
          <w:szCs w:val="22"/>
          <w:lang w:val="en-GB"/>
        </w:rPr>
        <w:t>lactated Ringer´s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 soluti</w:t>
      </w:r>
      <w:r w:rsidR="00CE6245" w:rsidRPr="00D0768E">
        <w:rPr>
          <w:rFonts w:ascii="Calibri" w:hAnsi="Calibri" w:cs="Times New Roman"/>
          <w:sz w:val="22"/>
          <w:szCs w:val="22"/>
          <w:lang w:val="en-GB"/>
        </w:rPr>
        <w:t>on with an infusion rate of 2mL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>k</w:t>
      </w:r>
      <w:r w:rsidR="001475B3" w:rsidRPr="00D0768E">
        <w:rPr>
          <w:rFonts w:ascii="Calibri" w:hAnsi="Calibri" w:cs="Times New Roman"/>
          <w:sz w:val="22"/>
          <w:szCs w:val="22"/>
          <w:lang w:val="en-GB"/>
        </w:rPr>
        <w:t>g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 xml:space="preserve"> IBW (ideal body weight)</w:t>
      </w:r>
      <w:r w:rsidR="00F03FDA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 xml:space="preserve"> -1 </w:t>
      </w:r>
      <w:r w:rsidR="001475B3" w:rsidRPr="00D0768E">
        <w:rPr>
          <w:rFonts w:ascii="Calibri" w:hAnsi="Calibri" w:cs="Times New Roman"/>
          <w:sz w:val="22"/>
          <w:szCs w:val="22"/>
          <w:lang w:val="en-GB"/>
        </w:rPr>
        <w:t xml:space="preserve">x 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>h</w:t>
      </w:r>
      <w:r w:rsidR="00F03FDA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>-1</w:t>
      </w:r>
      <w:r w:rsidRPr="00D0768E">
        <w:rPr>
          <w:rFonts w:ascii="Calibri" w:hAnsi="Calibri" w:cs="Times New Roman"/>
          <w:sz w:val="22"/>
          <w:szCs w:val="22"/>
          <w:lang w:val="en-GB"/>
        </w:rPr>
        <w:t>. The infusion was increased to 5</w:t>
      </w:r>
      <w:r w:rsidR="00CE6245" w:rsidRPr="00D0768E">
        <w:rPr>
          <w:rFonts w:ascii="Calibri" w:hAnsi="Calibri" w:cs="Times New Roman"/>
          <w:sz w:val="22"/>
          <w:szCs w:val="22"/>
          <w:lang w:val="en-GB"/>
        </w:rPr>
        <w:t xml:space="preserve">-7 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>mL kg IBW</w:t>
      </w:r>
      <w:r w:rsidR="00F03FDA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>-1</w:t>
      </w:r>
      <w:r w:rsidR="001475B3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 xml:space="preserve"> </w: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t>x</w:t>
      </w:r>
      <w:r w:rsidR="00F03FDA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 xml:space="preserve"> 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>h</w:t>
      </w:r>
      <w:r w:rsidR="00F03FDA" w:rsidRPr="00D0768E">
        <w:rPr>
          <w:rFonts w:ascii="Calibri" w:hAnsi="Calibri" w:cs="Times New Roman"/>
          <w:sz w:val="22"/>
          <w:szCs w:val="22"/>
          <w:vertAlign w:val="superscript"/>
          <w:lang w:val="en-GB"/>
        </w:rPr>
        <w:t xml:space="preserve">-1 </w:t>
      </w:r>
      <w:r w:rsidRPr="00D0768E">
        <w:rPr>
          <w:rFonts w:ascii="Calibri" w:hAnsi="Calibri" w:cs="Times New Roman"/>
          <w:sz w:val="22"/>
          <w:szCs w:val="22"/>
          <w:lang w:val="en-GB"/>
        </w:rPr>
        <w:t>in the case the viscera w</w:t>
      </w:r>
      <w:r w:rsidR="00E97751" w:rsidRPr="00D0768E">
        <w:rPr>
          <w:rFonts w:ascii="Calibri" w:hAnsi="Calibri" w:cs="Times New Roman"/>
          <w:sz w:val="22"/>
          <w:szCs w:val="22"/>
          <w:lang w:val="en-GB"/>
        </w:rPr>
        <w:t xml:space="preserve">ere 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exposed. </w:t>
      </w:r>
      <w:r w:rsidR="00F03FDA" w:rsidRPr="00D0768E">
        <w:rPr>
          <w:rFonts w:ascii="Calibri" w:hAnsi="Calibri" w:cs="Times New Roman"/>
          <w:sz w:val="22"/>
          <w:szCs w:val="22"/>
          <w:lang w:val="en-GB"/>
        </w:rPr>
        <w:t xml:space="preserve">IBW </w:t>
      </w:r>
      <w:r w:rsidRPr="00D0768E">
        <w:rPr>
          <w:rFonts w:ascii="Calibri" w:hAnsi="Calibri" w:cs="Times New Roman"/>
          <w:sz w:val="22"/>
          <w:szCs w:val="22"/>
          <w:lang w:val="en-GB"/>
        </w:rPr>
        <w:t>was calculated according to the Robinson´s formula as follows</w:t>
      </w:r>
      <w:r w:rsidR="00DA1005" w:rsidRPr="00D0768E">
        <w:rPr>
          <w:rFonts w:ascii="Calibri" w:hAnsi="Calibri" w:cs="Times New Roman"/>
          <w:sz w:val="22"/>
          <w:szCs w:val="22"/>
          <w:lang w:val="en-GB"/>
        </w:rPr>
        <w:t xml:space="preserve">: </w:t>
      </w:r>
    </w:p>
    <w:p w14:paraId="030373BC" w14:textId="156429D1" w:rsidR="00DA1005" w:rsidRPr="00D0768E" w:rsidRDefault="00DA1005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 xml:space="preserve">Men: </w:t>
      </w:r>
      <w:r w:rsidR="00087A42" w:rsidRPr="00D0768E">
        <w:rPr>
          <w:rFonts w:ascii="Calibri" w:hAnsi="Calibri" w:cs="Times New Roman"/>
          <w:sz w:val="22"/>
          <w:szCs w:val="22"/>
          <w:lang w:val="en-GB"/>
        </w:rPr>
        <w:t xml:space="preserve">IBW </w:t>
      </w:r>
      <w:r w:rsidRPr="00D0768E">
        <w:rPr>
          <w:rFonts w:ascii="Calibri" w:hAnsi="Calibri" w:cs="Times New Roman"/>
          <w:sz w:val="22"/>
          <w:szCs w:val="22"/>
          <w:lang w:val="en-GB"/>
        </w:rPr>
        <w:t>(in kilograms) = 52kg + 1.9 kg for every 2.5cm over 150cm body size</w:t>
      </w:r>
    </w:p>
    <w:p w14:paraId="367BA367" w14:textId="2F6A2041" w:rsidR="00DA1005" w:rsidRPr="00D0768E" w:rsidRDefault="00DA1005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 xml:space="preserve">Women: </w:t>
      </w:r>
      <w:r w:rsidR="00087A42" w:rsidRPr="00D0768E">
        <w:rPr>
          <w:rFonts w:ascii="Calibri" w:hAnsi="Calibri" w:cs="Times New Roman"/>
          <w:sz w:val="22"/>
          <w:szCs w:val="22"/>
          <w:lang w:val="en-GB"/>
        </w:rPr>
        <w:t xml:space="preserve">IBW </w:t>
      </w:r>
      <w:r w:rsidRPr="00D0768E">
        <w:rPr>
          <w:rFonts w:ascii="Calibri" w:hAnsi="Calibri" w:cs="Times New Roman"/>
          <w:sz w:val="22"/>
          <w:szCs w:val="22"/>
          <w:lang w:val="en-GB"/>
        </w:rPr>
        <w:t>(in kilograms) = 49kg + 1.7 kg for every 2.5cm over 150cm body size</w:t>
      </w:r>
    </w:p>
    <w:p w14:paraId="48C5F50D" w14:textId="0D2D5AE8" w:rsidR="00CF3B9B" w:rsidRPr="00D0768E" w:rsidRDefault="00DA1005" w:rsidP="00125A49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 xml:space="preserve">We placed the </w:t>
      </w:r>
      <w:proofErr w:type="spellStart"/>
      <w:r w:rsidRPr="00D0768E">
        <w:rPr>
          <w:rFonts w:ascii="Calibri" w:hAnsi="Calibri" w:cs="Times New Roman"/>
          <w:sz w:val="22"/>
          <w:szCs w:val="22"/>
          <w:lang w:val="en-GB"/>
        </w:rPr>
        <w:t>esophageal</w:t>
      </w:r>
      <w:proofErr w:type="spellEnd"/>
      <w:r w:rsidRPr="00D0768E">
        <w:rPr>
          <w:rFonts w:ascii="Calibri" w:hAnsi="Calibri" w:cs="Times New Roman"/>
          <w:sz w:val="22"/>
          <w:szCs w:val="22"/>
          <w:lang w:val="en-GB"/>
        </w:rPr>
        <w:t xml:space="preserve"> Doppler probe after induction of an</w:t>
      </w:r>
      <w:r w:rsidR="00D0768E" w:rsidRPr="00D0768E">
        <w:rPr>
          <w:rFonts w:ascii="Calibri" w:hAnsi="Calibri" w:cs="Times New Roman"/>
          <w:sz w:val="22"/>
          <w:szCs w:val="22"/>
          <w:lang w:val="en-GB"/>
        </w:rPr>
        <w:t>a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esthesia. </w: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t>W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e use</w:t>
      </w:r>
      <w:r w:rsidR="00242616" w:rsidRPr="00D0768E">
        <w:rPr>
          <w:rFonts w:ascii="Calibri" w:hAnsi="Calibri" w:cs="Times New Roman"/>
          <w:sz w:val="22"/>
          <w:szCs w:val="22"/>
          <w:lang w:val="en-GB"/>
        </w:rPr>
        <w:t>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corrected aortic flow time (</w:t>
      </w:r>
      <w:proofErr w:type="spellStart"/>
      <w:r w:rsidR="00CF3B9B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CF3B9B" w:rsidRPr="00D0768E">
        <w:rPr>
          <w:rFonts w:ascii="Calibri" w:hAnsi="Calibri" w:cs="Times New Roman"/>
          <w:sz w:val="22"/>
          <w:szCs w:val="22"/>
          <w:lang w:val="en-GB"/>
        </w:rPr>
        <w:t>) and stroke volume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(SV)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derived from </w:t>
      </w:r>
      <w:proofErr w:type="spellStart"/>
      <w:r w:rsidR="00CF3B9B" w:rsidRPr="00D0768E">
        <w:rPr>
          <w:rFonts w:ascii="Calibri" w:hAnsi="Calibri" w:cs="Times New Roman"/>
          <w:sz w:val="22"/>
          <w:szCs w:val="22"/>
          <w:lang w:val="en-GB"/>
        </w:rPr>
        <w:t>esophageal</w:t>
      </w:r>
      <w:proofErr w:type="spellEnd"/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Doppler </w: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t xml:space="preserve">for fluid guidance,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as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previously </w:t>
      </w:r>
      <w:r w:rsidR="00EA5B7F" w:rsidRPr="00D0768E">
        <w:rPr>
          <w:rFonts w:ascii="Calibri" w:hAnsi="Calibri" w:cs="Times New Roman"/>
          <w:sz w:val="22"/>
          <w:szCs w:val="22"/>
          <w:lang w:val="en-GB"/>
        </w:rPr>
        <w:t>descripted.</w: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fldChar w:fldCharType="begin" w:fldLock="1"/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instrText>ADDIN CSL_CITATION {"citationItems":[{"id":"ITEM-1","itemData":{"author":[{"dropping-particle":"","family":"Gan","given":"T J","non-dropping-particle":"","parse-names":false,"suffix":""},{"dropping-particle":"","family":"Sooitt","given":"A","non-dropping-particle":"","parse-names":false,"suffix":""},{"dropping-particle":"","family":"Maroof","given":"M","non-dropping-particle":"","parse-names":false,"suffix":""},{"dropping-particle":"","family":"El-Moalem","given":"H","non-dropping-particle":"","parse-names":false,"suffix":""},{"dropping-particle":"","family":"Robertson","given":"K M","non-dropping-particle":"","parse-names":false,"suffix":""},{"dropping-particle":"","family":"Moretti","given":"E","non-dropping-particle":"","parse-names":false,"suffix":""},{"dropping-particle":"","family":"Dwane","given":"P","non-dropping-particle":"","parse-names":false,"suffix":""},{"dropping-particle":"","family":"Glass","given":"P S A","non-dropping-particle":"","parse-names":false,"suffix":""}],"container-title":"Anesthesiology","id":"ITEM-1","issue":"4","issued":{"date-parts":[["2002"]]},"page":"820-826","title":"Goal-directed intraoperative fluid administration reduces length of hospital stay after major surgery","type":"article-journal","volume":"97"},"uris":["http://www.mendeley.com/documents/?uuid=da770738-9085-4480-ac90-d12652e5827d"]}],"mendeley":{"formattedCitation":"&lt;sup&gt;1&lt;/sup&gt;","plainTextFormattedCitation":"1"},"properties":{"noteIndex":0},"schema":"https://github.com/citation-style-language/schema/raw/master/csl-citation.json"}</w:instrTex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fldChar w:fldCharType="separate"/>
      </w:r>
      <w:r w:rsidR="00754A02" w:rsidRPr="00D0768E">
        <w:rPr>
          <w:rFonts w:ascii="Calibri" w:hAnsi="Calibri" w:cs="Times New Roman"/>
          <w:noProof/>
          <w:sz w:val="22"/>
          <w:szCs w:val="22"/>
          <w:vertAlign w:val="superscript"/>
          <w:lang w:val="en-GB"/>
        </w:rPr>
        <w:t>1</w:t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fldChar w:fldCharType="end"/>
      </w:r>
      <w:r w:rsidR="00754A02" w:rsidRPr="00D0768E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A 250 mL aliquot of Lactated Ringer solution or 6% hy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droxyethyl starch was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administered when the c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orrected Flow time (</w:t>
      </w:r>
      <w:proofErr w:type="spellStart"/>
      <w:r w:rsidR="00181B6C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181B6C" w:rsidRPr="00D0768E">
        <w:rPr>
          <w:rFonts w:ascii="Calibri" w:hAnsi="Calibri" w:cs="Times New Roman"/>
          <w:sz w:val="22"/>
          <w:szCs w:val="22"/>
          <w:lang w:val="en-GB"/>
        </w:rPr>
        <w:t>) was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less than 0.35s. If the SV</w:t>
      </w:r>
      <w:r w:rsidR="0038215C" w:rsidRPr="00D0768E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increased and </w:t>
      </w:r>
      <w:proofErr w:type="spellStart"/>
      <w:r w:rsidR="00181B6C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still remained below 0.35s, the bolus was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repeated until no further i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ncrease in stroke volume was observed. If the </w:t>
      </w:r>
      <w:proofErr w:type="spellStart"/>
      <w:r w:rsidR="00181B6C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increased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above 0.35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,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no further fluid challenge was </w:t>
      </w:r>
      <w:r w:rsidR="00D0768E" w:rsidRPr="00D0768E">
        <w:rPr>
          <w:rFonts w:ascii="Calibri" w:hAnsi="Calibri" w:cs="Times New Roman"/>
          <w:sz w:val="22"/>
          <w:szCs w:val="22"/>
          <w:lang w:val="en-GB"/>
        </w:rPr>
        <w:t>administered,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and measur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ements were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repeated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after 10 minutes. If </w:t>
      </w:r>
      <w:proofErr w:type="spellStart"/>
      <w:r w:rsidR="00181B6C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remained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low after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bolus administration and SV did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not increase by at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least 10%, no further bolus was </w:t>
      </w:r>
      <w:r w:rsidR="00D0768E" w:rsidRPr="00D0768E">
        <w:rPr>
          <w:rFonts w:ascii="Calibri" w:hAnsi="Calibri" w:cs="Times New Roman"/>
          <w:sz w:val="22"/>
          <w:szCs w:val="22"/>
          <w:lang w:val="en-GB"/>
        </w:rPr>
        <w:t>administered,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and measurements were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repeated after 10 minutes. When we observe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a further decrease in SV by at least 10% of the last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value the fluid challenge was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repeated. When mean a</w:t>
      </w:r>
      <w:r w:rsidR="00EA28A0" w:rsidRPr="00D0768E">
        <w:rPr>
          <w:rFonts w:ascii="Calibri" w:hAnsi="Calibri" w:cs="Times New Roman"/>
          <w:sz w:val="22"/>
          <w:szCs w:val="22"/>
          <w:lang w:val="en-GB"/>
        </w:rPr>
        <w:t>rterial blood pressure decreased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more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than 20% of baseline value or was lower than 65 mmHg and was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not improved by </w:t>
      </w:r>
      <w:r w:rsidR="00EA28A0" w:rsidRPr="00D0768E">
        <w:rPr>
          <w:rFonts w:ascii="Calibri" w:hAnsi="Calibri" w:cs="Times New Roman"/>
          <w:sz w:val="22"/>
          <w:szCs w:val="22"/>
          <w:lang w:val="en-GB"/>
        </w:rPr>
        <w:t xml:space="preserve">further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>fluid bolus administrat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ion or fluid administration was not 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indicated due to </w:t>
      </w:r>
      <w:proofErr w:type="spellStart"/>
      <w:r w:rsidR="00CF3B9B" w:rsidRPr="00D0768E">
        <w:rPr>
          <w:rFonts w:ascii="Calibri" w:hAnsi="Calibri" w:cs="Times New Roman"/>
          <w:sz w:val="22"/>
          <w:szCs w:val="22"/>
          <w:lang w:val="en-GB"/>
        </w:rPr>
        <w:t>FTc</w:t>
      </w:r>
      <w:proofErr w:type="spellEnd"/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greater than 0.35 </w:t>
      </w:r>
      <w:proofErr w:type="spellStart"/>
      <w:r w:rsidR="00CF3B9B" w:rsidRPr="00D0768E">
        <w:rPr>
          <w:rFonts w:ascii="Calibri" w:hAnsi="Calibri" w:cs="Times New Roman"/>
          <w:sz w:val="22"/>
          <w:szCs w:val="22"/>
          <w:lang w:val="en-GB"/>
        </w:rPr>
        <w:t>ms</w:t>
      </w:r>
      <w:proofErr w:type="spellEnd"/>
      <w:r w:rsidR="00CF3B9B" w:rsidRPr="00D0768E">
        <w:rPr>
          <w:rFonts w:ascii="Calibri" w:hAnsi="Calibri" w:cs="Times New Roman"/>
          <w:sz w:val="22"/>
          <w:szCs w:val="22"/>
          <w:lang w:val="en-GB"/>
        </w:rPr>
        <w:t>, intravenous bol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us doses of vasopressors were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administered (Phenylephrine 0.02-0.1 mg).  As soon as continuo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us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lastRenderedPageBreak/>
        <w:t>vasopressor administration was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deemed to be necessary, 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>norepinephrine infusion was</w:t>
      </w:r>
      <w:r w:rsidR="00CF3B9B" w:rsidRPr="00D0768E">
        <w:rPr>
          <w:rFonts w:ascii="Calibri" w:hAnsi="Calibri" w:cs="Times New Roman"/>
          <w:sz w:val="22"/>
          <w:szCs w:val="22"/>
          <w:lang w:val="en-GB"/>
        </w:rPr>
        <w:t xml:space="preserve"> administered according to the patient requirements to keep the mean arterial </w:t>
      </w:r>
      <w:r w:rsidR="00EA5B7F" w:rsidRPr="00D0768E">
        <w:rPr>
          <w:rFonts w:ascii="Calibri" w:hAnsi="Calibri" w:cs="Times New Roman"/>
          <w:sz w:val="22"/>
          <w:szCs w:val="22"/>
          <w:lang w:val="en-GB"/>
        </w:rPr>
        <w:t>near the target</w:t>
      </w:r>
      <w:r w:rsidR="00181B6C" w:rsidRPr="00D0768E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EA5B7F" w:rsidRPr="00D0768E">
        <w:rPr>
          <w:rFonts w:ascii="Calibri" w:hAnsi="Calibri" w:cs="Times New Roman"/>
          <w:sz w:val="22"/>
          <w:szCs w:val="22"/>
          <w:lang w:val="en-GB"/>
        </w:rPr>
        <w:t xml:space="preserve">parameter. </w:t>
      </w:r>
    </w:p>
    <w:p w14:paraId="2D1C8CA4" w14:textId="1BC8CB0C" w:rsidR="00235943" w:rsidRPr="00D0768E" w:rsidRDefault="00235943" w:rsidP="000674FF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>H</w:t>
      </w:r>
      <w:r w:rsidR="00D0768E" w:rsidRPr="00D0768E">
        <w:rPr>
          <w:rFonts w:ascii="Calibri" w:hAnsi="Calibri" w:cs="Times New Roman"/>
          <w:sz w:val="22"/>
          <w:szCs w:val="22"/>
          <w:lang w:val="en-GB"/>
        </w:rPr>
        <w:t>a</w:t>
      </w:r>
      <w:r w:rsidRPr="00D0768E">
        <w:rPr>
          <w:rFonts w:ascii="Calibri" w:hAnsi="Calibri" w:cs="Times New Roman"/>
          <w:sz w:val="22"/>
          <w:szCs w:val="22"/>
          <w:lang w:val="en-GB"/>
        </w:rPr>
        <w:t>emodynamic parameters were re</w:t>
      </w:r>
      <w:r w:rsidR="00946F6E">
        <w:rPr>
          <w:rFonts w:ascii="Calibri" w:hAnsi="Calibri" w:cs="Times New Roman"/>
          <w:sz w:val="22"/>
          <w:szCs w:val="22"/>
          <w:lang w:val="en-GB"/>
        </w:rPr>
        <w:t>-</w:t>
      </w:r>
      <w:r w:rsidRPr="00D0768E">
        <w:rPr>
          <w:rFonts w:ascii="Calibri" w:hAnsi="Calibri" w:cs="Times New Roman"/>
          <w:sz w:val="22"/>
          <w:szCs w:val="22"/>
          <w:lang w:val="en-GB"/>
        </w:rPr>
        <w:t>evaluated at least every 1</w:t>
      </w:r>
      <w:r w:rsidR="00E41215" w:rsidRPr="00D0768E">
        <w:rPr>
          <w:rFonts w:ascii="Calibri" w:hAnsi="Calibri" w:cs="Times New Roman"/>
          <w:sz w:val="22"/>
          <w:szCs w:val="22"/>
          <w:lang w:val="en-GB"/>
        </w:rPr>
        <w:t>0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 minutes (more fre</w:t>
      </w:r>
      <w:r w:rsidR="00EA5B7F" w:rsidRPr="00D0768E">
        <w:rPr>
          <w:rFonts w:ascii="Calibri" w:hAnsi="Calibri" w:cs="Times New Roman"/>
          <w:sz w:val="22"/>
          <w:szCs w:val="22"/>
          <w:lang w:val="en-GB"/>
        </w:rPr>
        <w:t xml:space="preserve">quently in </w:t>
      </w:r>
      <w:r w:rsidRPr="00D0768E">
        <w:rPr>
          <w:rFonts w:ascii="Calibri" w:hAnsi="Calibri" w:cs="Times New Roman"/>
          <w:sz w:val="22"/>
          <w:szCs w:val="22"/>
          <w:lang w:val="en-GB"/>
        </w:rPr>
        <w:t>case of significant h</w:t>
      </w:r>
      <w:r w:rsidR="00D0768E" w:rsidRPr="00D0768E">
        <w:rPr>
          <w:rFonts w:ascii="Calibri" w:hAnsi="Calibri" w:cs="Times New Roman"/>
          <w:sz w:val="22"/>
          <w:szCs w:val="22"/>
          <w:lang w:val="en-GB"/>
        </w:rPr>
        <w:t>a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emodynamic changes, e.g. blood loss). </w:t>
      </w:r>
    </w:p>
    <w:p w14:paraId="1C49CCF7" w14:textId="4A14CD17" w:rsidR="00535461" w:rsidRPr="00946F6E" w:rsidRDefault="00946F6E" w:rsidP="000674FF">
      <w:pPr>
        <w:spacing w:line="480" w:lineRule="auto"/>
        <w:rPr>
          <w:rFonts w:ascii="Calibri" w:hAnsi="Calibri" w:cs="Times New Roman"/>
          <w:bCs/>
          <w:sz w:val="22"/>
          <w:szCs w:val="22"/>
          <w:lang w:val="en-GB"/>
        </w:rPr>
      </w:pPr>
      <w:r>
        <w:rPr>
          <w:rFonts w:ascii="Calibri" w:hAnsi="Calibri" w:cs="Times New Roman"/>
          <w:bCs/>
          <w:sz w:val="22"/>
          <w:szCs w:val="22"/>
          <w:lang w:val="en-GB"/>
        </w:rPr>
        <w:t xml:space="preserve">Infusions containing antibiotics or pain killers are summarized in additional fluids. </w:t>
      </w:r>
    </w:p>
    <w:p w14:paraId="5E4406B3" w14:textId="77777777" w:rsidR="00946F6E" w:rsidRDefault="00946F6E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401C76E9" w14:textId="44E69DE4" w:rsidR="00946F6E" w:rsidRPr="00D0768E" w:rsidRDefault="00946F6E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  <w:sectPr w:rsidR="00946F6E" w:rsidRPr="00D0768E" w:rsidSect="000F1272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0B754C8" w14:textId="46873DFC" w:rsidR="00264AAB" w:rsidRDefault="00264AAB">
      <w:pPr>
        <w:rPr>
          <w:rFonts w:ascii="Calibri" w:hAnsi="Calibri" w:cs="Times New Roman"/>
          <w:b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753"/>
        <w:tblW w:w="9930" w:type="dxa"/>
        <w:tblLayout w:type="fixed"/>
        <w:tblLook w:val="04A0" w:firstRow="1" w:lastRow="0" w:firstColumn="1" w:lastColumn="0" w:noHBand="0" w:noVBand="1"/>
      </w:tblPr>
      <w:tblGrid>
        <w:gridCol w:w="1932"/>
        <w:gridCol w:w="788"/>
        <w:gridCol w:w="10"/>
        <w:gridCol w:w="1101"/>
        <w:gridCol w:w="10"/>
        <w:gridCol w:w="1582"/>
        <w:gridCol w:w="10"/>
        <w:gridCol w:w="852"/>
        <w:gridCol w:w="10"/>
        <w:gridCol w:w="2069"/>
        <w:gridCol w:w="1516"/>
        <w:gridCol w:w="10"/>
        <w:gridCol w:w="40"/>
      </w:tblGrid>
      <w:tr w:rsidR="00264AAB" w:rsidRPr="004167B3" w14:paraId="07FCFF22" w14:textId="77777777" w:rsidTr="00264AAB">
        <w:trPr>
          <w:gridAfter w:val="2"/>
          <w:wAfter w:w="50" w:type="dxa"/>
          <w:trHeight w:val="320"/>
        </w:trPr>
        <w:tc>
          <w:tcPr>
            <w:tcW w:w="193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B46C9" w14:textId="77777777" w:rsidR="00264AAB" w:rsidRPr="004167B3" w:rsidRDefault="00264AAB" w:rsidP="00264AAB">
            <w:pPr>
              <w:spacing w:before="120"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77BD6" w14:textId="77777777" w:rsidR="00264AAB" w:rsidRPr="004167B3" w:rsidRDefault="00264AAB" w:rsidP="00264AAB">
            <w:pPr>
              <w:spacing w:before="120"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B362" w14:textId="77777777" w:rsidR="00264AAB" w:rsidRPr="004167B3" w:rsidRDefault="00264AAB" w:rsidP="00264AAB">
            <w:pPr>
              <w:spacing w:before="120" w:after="120" w:line="360" w:lineRule="auto"/>
              <w:ind w:right="-69"/>
              <w:jc w:val="center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Colloids</w:t>
            </w:r>
          </w:p>
          <w:p w14:paraId="7C9C8CFE" w14:textId="77777777" w:rsidR="00264AAB" w:rsidRPr="004167B3" w:rsidRDefault="00264AAB" w:rsidP="00264AAB">
            <w:pPr>
              <w:spacing w:before="120" w:after="120" w:line="360" w:lineRule="auto"/>
              <w:ind w:right="-69"/>
              <w:jc w:val="center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(n = 27)</w:t>
            </w:r>
          </w:p>
        </w:tc>
        <w:tc>
          <w:tcPr>
            <w:tcW w:w="294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D6AD" w14:textId="77777777" w:rsidR="00264AAB" w:rsidRPr="004167B3" w:rsidRDefault="00264AAB" w:rsidP="00264AAB">
            <w:pPr>
              <w:spacing w:before="120" w:after="120" w:line="360" w:lineRule="auto"/>
              <w:ind w:right="-69"/>
              <w:jc w:val="center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Crystalloids</w:t>
            </w:r>
          </w:p>
          <w:p w14:paraId="6C0D5BA0" w14:textId="77777777" w:rsidR="00264AAB" w:rsidRPr="004167B3" w:rsidRDefault="00264AAB" w:rsidP="00264AAB">
            <w:pPr>
              <w:spacing w:before="120" w:after="120" w:line="360" w:lineRule="auto"/>
              <w:ind w:right="-69"/>
              <w:jc w:val="center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(n = 29)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EC7B" w14:textId="77777777" w:rsidR="00264AAB" w:rsidRPr="004167B3" w:rsidRDefault="00264AAB" w:rsidP="00264AAB">
            <w:pPr>
              <w:spacing w:before="120" w:after="120" w:line="360" w:lineRule="auto"/>
              <w:ind w:right="-69"/>
              <w:rPr>
                <w:lang w:val="en-GB"/>
              </w:rPr>
            </w:pPr>
          </w:p>
        </w:tc>
      </w:tr>
      <w:tr w:rsidR="00264AAB" w:rsidRPr="004167B3" w14:paraId="32B403AD" w14:textId="77777777" w:rsidTr="00264AAB">
        <w:trPr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63A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3FF5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739E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5787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BBCC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4E5D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</w:p>
        </w:tc>
      </w:tr>
      <w:tr w:rsidR="00264AAB" w:rsidRPr="004167B3" w14:paraId="4A50F7E6" w14:textId="77777777" w:rsidTr="00264AAB">
        <w:trPr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1532" w14:textId="77777777" w:rsidR="00264AAB" w:rsidRPr="00F130C2" w:rsidRDefault="00264AAB" w:rsidP="00264AAB">
            <w:pPr>
              <w:spacing w:after="120" w:line="360" w:lineRule="auto"/>
              <w:ind w:right="-69"/>
              <w:rPr>
                <w:i/>
                <w:iCs/>
                <w:color w:val="000000"/>
                <w:lang w:val="en-GB"/>
              </w:rPr>
            </w:pPr>
            <w:r>
              <w:rPr>
                <w:i/>
                <w:iCs/>
                <w:color w:val="000000"/>
                <w:lang w:val="en-GB"/>
              </w:rPr>
              <w:t>Max Troponin 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FE8C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2376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6791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0FB4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20B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</w:tr>
      <w:tr w:rsidR="00264AAB" w:rsidRPr="004167B3" w14:paraId="78B799B7" w14:textId="77777777" w:rsidTr="00264AAB">
        <w:trPr>
          <w:gridAfter w:val="1"/>
          <w:wAfter w:w="40" w:type="dxa"/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4FA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i/>
                <w:color w:val="000000"/>
                <w:lang w:val="en-GB"/>
              </w:rPr>
              <w:t>4</w:t>
            </w:r>
            <w:r w:rsidRPr="004167B3">
              <w:rPr>
                <w:i/>
                <w:color w:val="000000"/>
                <w:vertAlign w:val="superscript"/>
                <w:lang w:val="en-GB"/>
              </w:rPr>
              <w:t xml:space="preserve">th </w:t>
            </w:r>
            <w:r w:rsidRPr="004167B3">
              <w:rPr>
                <w:i/>
                <w:color w:val="000000"/>
                <w:lang w:val="en-GB"/>
              </w:rPr>
              <w:t xml:space="preserve">Generation </w:t>
            </w:r>
          </w:p>
          <w:p w14:paraId="6922BD2A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 xml:space="preserve">Preoperative, </w:t>
            </w:r>
            <w:proofErr w:type="spellStart"/>
            <w:r w:rsidRPr="004167B3">
              <w:rPr>
                <w:i/>
                <w:color w:val="000000"/>
                <w:lang w:val="en-GB"/>
              </w:rPr>
              <w:t>pg</w:t>
            </w:r>
            <w:proofErr w:type="spellEnd"/>
            <w:r w:rsidRPr="004167B3">
              <w:rPr>
                <w:i/>
                <w:color w:val="000000"/>
                <w:lang w:val="en-GB"/>
              </w:rPr>
              <w:t>/L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5FF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0.005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D8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[0.003, 0.014]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6B3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0.005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AA5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[0.004, 0.01]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42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p</w:t>
            </w:r>
            <w:r w:rsidRPr="004167B3">
              <w:rPr>
                <w:color w:val="000000"/>
                <w:lang w:val="en-GB"/>
              </w:rPr>
              <w:t xml:space="preserve"> = 0.85</w:t>
            </w:r>
          </w:p>
        </w:tc>
      </w:tr>
      <w:tr w:rsidR="00264AAB" w:rsidRPr="004167B3" w14:paraId="25FE582F" w14:textId="77777777" w:rsidTr="00264AAB">
        <w:trPr>
          <w:gridAfter w:val="1"/>
          <w:wAfter w:w="40" w:type="dxa"/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AAD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Maximum,</w:t>
            </w:r>
            <w:r w:rsidRPr="004167B3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4167B3">
              <w:rPr>
                <w:i/>
                <w:color w:val="000000"/>
                <w:lang w:val="en-GB"/>
              </w:rPr>
              <w:t>pg</w:t>
            </w:r>
            <w:proofErr w:type="spellEnd"/>
            <w:r w:rsidRPr="004167B3">
              <w:rPr>
                <w:i/>
                <w:color w:val="000000"/>
                <w:lang w:val="en-GB"/>
              </w:rPr>
              <w:t>/L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8CD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0.013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507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[0.008, 0.019]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E64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0.013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BCC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[0.007, 0.024]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FF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p</w:t>
            </w:r>
            <w:r w:rsidRPr="004167B3">
              <w:rPr>
                <w:color w:val="000000"/>
                <w:lang w:val="en-GB"/>
              </w:rPr>
              <w:t xml:space="preserve"> = 0.96</w:t>
            </w:r>
          </w:p>
        </w:tc>
      </w:tr>
      <w:tr w:rsidR="00264AAB" w:rsidRPr="004167B3" w14:paraId="7565EC71" w14:textId="77777777" w:rsidTr="00264AAB">
        <w:trPr>
          <w:gridAfter w:val="2"/>
          <w:wAfter w:w="50" w:type="dxa"/>
          <w:trHeight w:val="3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F6E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5F6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E49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7AD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15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67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F4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lang w:val="en-GB"/>
              </w:rPr>
            </w:pPr>
          </w:p>
        </w:tc>
      </w:tr>
      <w:tr w:rsidR="00264AAB" w:rsidRPr="004167B3" w14:paraId="7AC108C0" w14:textId="77777777" w:rsidTr="00264AAB">
        <w:trPr>
          <w:gridAfter w:val="2"/>
          <w:wAfter w:w="50" w:type="dxa"/>
          <w:trHeight w:val="3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8FFA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  <w:r w:rsidRPr="004167B3">
              <w:rPr>
                <w:i/>
                <w:color w:val="000000"/>
                <w:lang w:val="en-GB"/>
              </w:rPr>
              <w:t>5</w:t>
            </w:r>
            <w:r w:rsidRPr="004167B3">
              <w:rPr>
                <w:i/>
                <w:color w:val="000000"/>
                <w:vertAlign w:val="superscript"/>
                <w:lang w:val="en-GB"/>
              </w:rPr>
              <w:t xml:space="preserve">th </w:t>
            </w:r>
            <w:r w:rsidRPr="004167B3">
              <w:rPr>
                <w:i/>
                <w:color w:val="000000"/>
                <w:lang w:val="en-GB"/>
              </w:rPr>
              <w:t>Generation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5D6F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4F95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BBF5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5BA6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F19C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9C5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</w:p>
        </w:tc>
      </w:tr>
      <w:tr w:rsidR="00264AAB" w:rsidRPr="004167B3" w14:paraId="4F89142C" w14:textId="77777777" w:rsidTr="00264AAB">
        <w:trPr>
          <w:gridAfter w:val="1"/>
          <w:wAfter w:w="40" w:type="dxa"/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A8B5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 xml:space="preserve">Preoperative, </w:t>
            </w:r>
            <w:r w:rsidRPr="004167B3">
              <w:rPr>
                <w:i/>
                <w:color w:val="000000"/>
                <w:lang w:val="en-GB"/>
              </w:rPr>
              <w:t>ng/L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472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0F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[9, 18]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BD11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7.5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B46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[4, 13]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BD0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p</w:t>
            </w:r>
            <w:r w:rsidRPr="004167B3">
              <w:rPr>
                <w:color w:val="000000"/>
                <w:lang w:val="en-GB"/>
              </w:rPr>
              <w:t xml:space="preserve"> = 0.07</w:t>
            </w:r>
          </w:p>
        </w:tc>
      </w:tr>
      <w:tr w:rsidR="00264AAB" w:rsidRPr="004167B3" w14:paraId="280E6A41" w14:textId="77777777" w:rsidTr="00264AAB">
        <w:trPr>
          <w:gridAfter w:val="1"/>
          <w:wAfter w:w="40" w:type="dxa"/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E4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 xml:space="preserve">Maximum, </w:t>
            </w:r>
            <w:r w:rsidRPr="004167B3">
              <w:rPr>
                <w:i/>
                <w:color w:val="000000"/>
                <w:lang w:val="en-GB"/>
              </w:rPr>
              <w:t>ng/L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E62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18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F96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[16, 25]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C3F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CB1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  <w:r w:rsidRPr="004167B3">
              <w:rPr>
                <w:color w:val="000000"/>
                <w:lang w:val="en-GB"/>
              </w:rPr>
              <w:t>[8, 25]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7CC" w14:textId="77777777" w:rsidR="00264AAB" w:rsidRPr="007C0F78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p</w:t>
            </w:r>
            <w:r w:rsidRPr="004167B3">
              <w:rPr>
                <w:i/>
                <w:color w:val="000000"/>
                <w:lang w:val="en-GB"/>
              </w:rPr>
              <w:t xml:space="preserve"> </w:t>
            </w:r>
            <w:r w:rsidRPr="004167B3">
              <w:rPr>
                <w:color w:val="000000"/>
                <w:lang w:val="en-GB"/>
              </w:rPr>
              <w:t>= 0.24</w:t>
            </w:r>
          </w:p>
        </w:tc>
      </w:tr>
      <w:tr w:rsidR="00264AAB" w:rsidRPr="004167B3" w14:paraId="3A1ED6FF" w14:textId="77777777" w:rsidTr="00264AAB">
        <w:trPr>
          <w:gridAfter w:val="1"/>
          <w:wAfter w:w="40" w:type="dxa"/>
          <w:trHeight w:val="32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FB7B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7C8A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B8B0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09D5" w14:textId="77777777" w:rsidR="00264AAB" w:rsidRPr="004167B3" w:rsidRDefault="00264AAB" w:rsidP="00264AAB">
            <w:pPr>
              <w:spacing w:after="120" w:line="360" w:lineRule="auto"/>
              <w:ind w:right="-69"/>
              <w:jc w:val="right"/>
              <w:rPr>
                <w:color w:val="000000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1EAD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color w:val="000000"/>
                <w:lang w:val="en-GB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94B5" w14:textId="77777777" w:rsidR="00264AAB" w:rsidRPr="004167B3" w:rsidRDefault="00264AAB" w:rsidP="00264AAB">
            <w:pPr>
              <w:spacing w:after="120" w:line="360" w:lineRule="auto"/>
              <w:ind w:right="-69"/>
              <w:rPr>
                <w:i/>
                <w:color w:val="000000"/>
                <w:lang w:val="en-GB"/>
              </w:rPr>
            </w:pPr>
          </w:p>
        </w:tc>
      </w:tr>
    </w:tbl>
    <w:p w14:paraId="0C77D076" w14:textId="4C7A63E3" w:rsidR="0051196F" w:rsidRDefault="00264AAB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proofErr w:type="spellStart"/>
      <w:r>
        <w:rPr>
          <w:rFonts w:ascii="Calibri" w:hAnsi="Calibri" w:cs="Times New Roman"/>
          <w:b/>
          <w:sz w:val="22"/>
          <w:szCs w:val="22"/>
          <w:lang w:val="en-GB"/>
        </w:rPr>
        <w:t>eAppendix</w:t>
      </w:r>
      <w:proofErr w:type="spellEnd"/>
      <w:r>
        <w:rPr>
          <w:rFonts w:ascii="Calibri" w:hAnsi="Calibri" w:cs="Times New Roman"/>
          <w:b/>
          <w:sz w:val="22"/>
          <w:szCs w:val="22"/>
          <w:lang w:val="en-GB"/>
        </w:rPr>
        <w:t xml:space="preserve"> </w:t>
      </w:r>
      <w:r w:rsidR="00254852">
        <w:rPr>
          <w:rFonts w:ascii="Calibri" w:hAnsi="Calibri" w:cs="Times New Roman"/>
          <w:b/>
          <w:sz w:val="22"/>
          <w:szCs w:val="22"/>
          <w:lang w:val="en-GB"/>
        </w:rPr>
        <w:t>2</w:t>
      </w:r>
      <w:r>
        <w:rPr>
          <w:rFonts w:ascii="Calibri" w:hAnsi="Calibri" w:cs="Times New Roman"/>
          <w:b/>
          <w:sz w:val="22"/>
          <w:szCs w:val="22"/>
          <w:lang w:val="en-GB"/>
        </w:rPr>
        <w:t>:</w:t>
      </w:r>
    </w:p>
    <w:p w14:paraId="792EAA78" w14:textId="3EB0ECB1" w:rsidR="00264AAB" w:rsidRPr="00D0768E" w:rsidRDefault="00264AAB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>
        <w:rPr>
          <w:rFonts w:ascii="Calibri" w:hAnsi="Calibri" w:cs="Times New Roman"/>
          <w:b/>
          <w:sz w:val="22"/>
          <w:szCs w:val="22"/>
          <w:lang w:val="en-GB"/>
        </w:rPr>
        <w:t>Table S1: 4</w:t>
      </w:r>
      <w:r w:rsidRPr="00264AAB">
        <w:rPr>
          <w:rFonts w:ascii="Calibri" w:hAnsi="Calibri" w:cs="Times New Roman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Times New Roman"/>
          <w:b/>
          <w:sz w:val="22"/>
          <w:szCs w:val="22"/>
          <w:lang w:val="en-GB"/>
        </w:rPr>
        <w:t xml:space="preserve"> and 5</w:t>
      </w:r>
      <w:r w:rsidRPr="00264AAB">
        <w:rPr>
          <w:rFonts w:ascii="Calibri" w:hAnsi="Calibri" w:cs="Times New Roman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Times New Roman"/>
          <w:b/>
          <w:sz w:val="22"/>
          <w:szCs w:val="22"/>
          <w:lang w:val="en-GB"/>
        </w:rPr>
        <w:t xml:space="preserve"> generation troponin T values</w:t>
      </w:r>
    </w:p>
    <w:p w14:paraId="0F63385A" w14:textId="3336DA80" w:rsidR="00A0467D" w:rsidRPr="004167B3" w:rsidRDefault="00A0467D" w:rsidP="00A0467D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GB"/>
        </w:rPr>
      </w:pPr>
      <w:r w:rsidRPr="004167B3">
        <w:rPr>
          <w:b/>
          <w:bCs/>
          <w:sz w:val="22"/>
          <w:szCs w:val="22"/>
          <w:lang w:val="en-GB"/>
        </w:rPr>
        <w:t xml:space="preserve">Table </w:t>
      </w:r>
      <w:r>
        <w:rPr>
          <w:b/>
          <w:bCs/>
          <w:sz w:val="22"/>
          <w:szCs w:val="22"/>
          <w:lang w:val="en-GB"/>
        </w:rPr>
        <w:t>S1</w:t>
      </w:r>
      <w:r w:rsidRPr="004167B3">
        <w:rPr>
          <w:b/>
          <w:bCs/>
          <w:sz w:val="22"/>
          <w:szCs w:val="22"/>
          <w:lang w:val="en-GB"/>
        </w:rPr>
        <w:t>:</w:t>
      </w:r>
      <w:r w:rsidRPr="004167B3">
        <w:rPr>
          <w:sz w:val="22"/>
          <w:szCs w:val="22"/>
          <w:lang w:val="en-GB"/>
        </w:rPr>
        <w:t xml:space="preserve"> Baseline and postoperative maximum values of </w:t>
      </w:r>
      <w:proofErr w:type="spellStart"/>
      <w:r w:rsidRPr="004167B3">
        <w:rPr>
          <w:sz w:val="22"/>
          <w:szCs w:val="22"/>
          <w:lang w:val="en-GB"/>
        </w:rPr>
        <w:t>TnT</w:t>
      </w:r>
      <w:proofErr w:type="spellEnd"/>
      <w:r w:rsidRPr="004167B3">
        <w:rPr>
          <w:sz w:val="22"/>
          <w:szCs w:val="22"/>
          <w:lang w:val="en-GB"/>
        </w:rPr>
        <w:t xml:space="preserve"> were presented in median and [interquartile range]. All </w:t>
      </w:r>
      <w:r w:rsidRPr="004167B3">
        <w:rPr>
          <w:i/>
          <w:sz w:val="22"/>
          <w:szCs w:val="22"/>
          <w:lang w:val="en-GB"/>
        </w:rPr>
        <w:t>P</w:t>
      </w:r>
      <w:r w:rsidRPr="004167B3">
        <w:rPr>
          <w:sz w:val="22"/>
          <w:szCs w:val="22"/>
          <w:lang w:val="en-GB"/>
        </w:rPr>
        <w:t>-values are for unpaired Student´s-</w:t>
      </w:r>
      <w:r w:rsidRPr="004167B3">
        <w:rPr>
          <w:i/>
          <w:sz w:val="22"/>
          <w:szCs w:val="22"/>
          <w:lang w:val="en-GB"/>
        </w:rPr>
        <w:t>t</w:t>
      </w:r>
      <w:r w:rsidRPr="004167B3">
        <w:rPr>
          <w:sz w:val="22"/>
          <w:szCs w:val="22"/>
          <w:lang w:val="en-GB"/>
        </w:rPr>
        <w:t xml:space="preserve"> tests, 4</w:t>
      </w:r>
      <w:r w:rsidRPr="004167B3">
        <w:rPr>
          <w:sz w:val="22"/>
          <w:szCs w:val="22"/>
          <w:vertAlign w:val="superscript"/>
          <w:lang w:val="en-GB"/>
        </w:rPr>
        <w:t>th</w:t>
      </w:r>
      <w:r w:rsidRPr="004167B3">
        <w:rPr>
          <w:sz w:val="22"/>
          <w:szCs w:val="22"/>
          <w:lang w:val="en-GB"/>
        </w:rPr>
        <w:t xml:space="preserve"> Generation, 4</w:t>
      </w:r>
      <w:r w:rsidRPr="004167B3">
        <w:rPr>
          <w:sz w:val="22"/>
          <w:szCs w:val="22"/>
          <w:vertAlign w:val="superscript"/>
          <w:lang w:val="en-GB"/>
        </w:rPr>
        <w:t>th</w:t>
      </w:r>
      <w:r w:rsidRPr="004167B3">
        <w:rPr>
          <w:sz w:val="22"/>
          <w:szCs w:val="22"/>
          <w:lang w:val="en-GB"/>
        </w:rPr>
        <w:t xml:space="preserve"> generation </w:t>
      </w:r>
      <w:r>
        <w:rPr>
          <w:sz w:val="22"/>
          <w:szCs w:val="22"/>
          <w:lang w:val="en-GB"/>
        </w:rPr>
        <w:t>t</w:t>
      </w:r>
      <w:r w:rsidRPr="004167B3">
        <w:rPr>
          <w:sz w:val="22"/>
          <w:szCs w:val="22"/>
          <w:lang w:val="en-GB"/>
        </w:rPr>
        <w:t>roponin T assay; 5</w:t>
      </w:r>
      <w:r w:rsidRPr="004167B3">
        <w:rPr>
          <w:sz w:val="22"/>
          <w:szCs w:val="22"/>
          <w:vertAlign w:val="superscript"/>
          <w:lang w:val="en-GB"/>
        </w:rPr>
        <w:t>th</w:t>
      </w:r>
      <w:r w:rsidRPr="004167B3">
        <w:rPr>
          <w:sz w:val="22"/>
          <w:szCs w:val="22"/>
          <w:lang w:val="en-GB"/>
        </w:rPr>
        <w:t xml:space="preserve"> generation, 5</w:t>
      </w:r>
      <w:r w:rsidRPr="004167B3">
        <w:rPr>
          <w:sz w:val="22"/>
          <w:szCs w:val="22"/>
          <w:vertAlign w:val="superscript"/>
          <w:lang w:val="en-GB"/>
        </w:rPr>
        <w:t>th</w:t>
      </w:r>
      <w:r w:rsidRPr="004167B3">
        <w:rPr>
          <w:sz w:val="22"/>
          <w:szCs w:val="22"/>
          <w:lang w:val="en-GB"/>
        </w:rPr>
        <w:t xml:space="preserve"> generation </w:t>
      </w:r>
      <w:r>
        <w:rPr>
          <w:sz w:val="22"/>
          <w:szCs w:val="22"/>
          <w:lang w:val="en-GB"/>
        </w:rPr>
        <w:t>t</w:t>
      </w:r>
      <w:r w:rsidRPr="004167B3">
        <w:rPr>
          <w:sz w:val="22"/>
          <w:szCs w:val="22"/>
          <w:lang w:val="en-GB"/>
        </w:rPr>
        <w:t>roponin T assay</w:t>
      </w:r>
    </w:p>
    <w:p w14:paraId="1009BB2F" w14:textId="4D61C1D1" w:rsidR="00254852" w:rsidRDefault="00254852">
      <w:pPr>
        <w:rPr>
          <w:rFonts w:ascii="Calibri" w:hAnsi="Calibri" w:cs="Times New Roman"/>
          <w:b/>
          <w:sz w:val="22"/>
          <w:szCs w:val="22"/>
          <w:lang w:val="en-GB"/>
        </w:rPr>
      </w:pPr>
      <w:r>
        <w:rPr>
          <w:rFonts w:ascii="Calibri" w:hAnsi="Calibri" w:cs="Times New Roman"/>
          <w:b/>
          <w:sz w:val="22"/>
          <w:szCs w:val="22"/>
          <w:lang w:val="en-GB"/>
        </w:rPr>
        <w:br w:type="page"/>
      </w:r>
    </w:p>
    <w:p w14:paraId="73262C45" w14:textId="33C088D4" w:rsidR="00254852" w:rsidRPr="00D0768E" w:rsidRDefault="00254852" w:rsidP="00254852">
      <w:pPr>
        <w:spacing w:line="480" w:lineRule="auto"/>
        <w:jc w:val="both"/>
        <w:rPr>
          <w:rFonts w:ascii="Calibri" w:hAnsi="Calibri" w:cs="Times New Roman"/>
          <w:b/>
          <w:sz w:val="22"/>
          <w:szCs w:val="22"/>
          <w:lang w:val="en-GB"/>
        </w:rPr>
      </w:pPr>
      <w:proofErr w:type="spellStart"/>
      <w:r w:rsidRPr="00D0768E">
        <w:rPr>
          <w:rFonts w:ascii="Calibri" w:hAnsi="Calibri" w:cs="Times New Roman"/>
          <w:b/>
          <w:sz w:val="22"/>
          <w:szCs w:val="22"/>
          <w:lang w:val="en-GB"/>
        </w:rPr>
        <w:lastRenderedPageBreak/>
        <w:t>eAppendix</w:t>
      </w:r>
      <w:proofErr w:type="spellEnd"/>
      <w:r w:rsidRPr="00D0768E">
        <w:rPr>
          <w:rFonts w:ascii="Calibri" w:hAnsi="Calibri" w:cs="Times New Roman"/>
          <w:b/>
          <w:sz w:val="22"/>
          <w:szCs w:val="22"/>
          <w:lang w:val="en-GB"/>
        </w:rPr>
        <w:t xml:space="preserve"> </w:t>
      </w:r>
      <w:r>
        <w:rPr>
          <w:rFonts w:ascii="Calibri" w:hAnsi="Calibri" w:cs="Times New Roman"/>
          <w:b/>
          <w:sz w:val="22"/>
          <w:szCs w:val="22"/>
          <w:lang w:val="en-GB"/>
        </w:rPr>
        <w:t>3</w:t>
      </w:r>
      <w:r w:rsidRPr="00D0768E">
        <w:rPr>
          <w:rFonts w:ascii="Calibri" w:hAnsi="Calibri" w:cs="Times New Roman"/>
          <w:b/>
          <w:sz w:val="22"/>
          <w:szCs w:val="22"/>
          <w:lang w:val="en-GB"/>
        </w:rPr>
        <w:t>:</w:t>
      </w:r>
    </w:p>
    <w:p w14:paraId="1A7D572B" w14:textId="77777777" w:rsidR="00254852" w:rsidRPr="00D0768E" w:rsidRDefault="00254852" w:rsidP="00254852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>To evaluate the relationship between fluid administered during surgery and postoperative BNP concentration all patients were included for this analysis.</w:t>
      </w:r>
    </w:p>
    <w:p w14:paraId="5585C916" w14:textId="77777777" w:rsidR="00254852" w:rsidRPr="00D0768E" w:rsidRDefault="00254852" w:rsidP="00254852">
      <w:pPr>
        <w:spacing w:line="480" w:lineRule="auto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D0768E">
        <w:rPr>
          <w:rFonts w:ascii="Calibri" w:hAnsi="Calibri" w:cs="Times New Roman"/>
          <w:sz w:val="22"/>
          <w:szCs w:val="22"/>
          <w:lang w:val="en-GB"/>
        </w:rPr>
        <w:t>The Spearman correlation coefficient showed no significant correlation between overall intra- and postoperative fluid balance and peak NT-proBNP concentration (</w:t>
      </w:r>
      <w:r w:rsidRPr="00D0768E">
        <w:rPr>
          <w:rFonts w:ascii="Calibri" w:hAnsi="Calibri" w:cs="Times New Roman"/>
          <w:i/>
          <w:sz w:val="22"/>
          <w:szCs w:val="22"/>
          <w:lang w:val="en-GB"/>
        </w:rPr>
        <w:t>r</w:t>
      </w:r>
      <w:r w:rsidRPr="00D0768E">
        <w:rPr>
          <w:rFonts w:ascii="Calibri" w:hAnsi="Calibri" w:cs="Times New Roman"/>
          <w:sz w:val="22"/>
          <w:szCs w:val="22"/>
          <w:lang w:val="en-GB"/>
        </w:rPr>
        <w:t xml:space="preserve"> = 0.013; </w:t>
      </w:r>
      <w:r w:rsidRPr="00D0768E">
        <w:rPr>
          <w:rFonts w:ascii="Calibri" w:hAnsi="Calibri" w:cs="Times New Roman"/>
          <w:i/>
          <w:sz w:val="22"/>
          <w:szCs w:val="22"/>
          <w:lang w:val="en-GB"/>
        </w:rPr>
        <w:t xml:space="preserve">P </w:t>
      </w:r>
      <w:r w:rsidRPr="00D0768E">
        <w:rPr>
          <w:rFonts w:ascii="Calibri" w:hAnsi="Calibri" w:cs="Times New Roman"/>
          <w:sz w:val="22"/>
          <w:szCs w:val="22"/>
          <w:lang w:val="en-GB"/>
        </w:rPr>
        <w:t>= 0.92) (Figure S1)</w:t>
      </w:r>
    </w:p>
    <w:p w14:paraId="0880413D" w14:textId="77777777" w:rsidR="00254852" w:rsidRPr="00D0768E" w:rsidRDefault="00254852" w:rsidP="00254852">
      <w:pPr>
        <w:spacing w:line="480" w:lineRule="auto"/>
        <w:rPr>
          <w:rFonts w:ascii="Calibri" w:hAnsi="Calibri" w:cs="Times New Roman"/>
          <w:sz w:val="22"/>
          <w:szCs w:val="22"/>
          <w:lang w:val="en-GB"/>
        </w:rPr>
      </w:pPr>
    </w:p>
    <w:p w14:paraId="3B537862" w14:textId="77777777" w:rsidR="00254852" w:rsidRPr="00D0768E" w:rsidRDefault="00254852" w:rsidP="00254852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t>Figure S1</w:t>
      </w:r>
    </w:p>
    <w:p w14:paraId="0C3E1C6D" w14:textId="77777777" w:rsidR="00254852" w:rsidRPr="00D0768E" w:rsidRDefault="00254852" w:rsidP="00254852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noProof/>
          <w:sz w:val="22"/>
          <w:szCs w:val="22"/>
          <w:lang w:val="en-GB" w:eastAsia="de-DE"/>
        </w:rPr>
        <w:drawing>
          <wp:inline distT="0" distB="0" distL="0" distR="0" wp14:anchorId="1D2E84ED" wp14:editId="1CAE2D39">
            <wp:extent cx="5727700" cy="36480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lation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2663" w14:textId="77777777" w:rsidR="00254852" w:rsidRPr="00D0768E" w:rsidRDefault="00254852" w:rsidP="00254852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3A553D87" w14:textId="77777777" w:rsidR="004A0FE7" w:rsidRDefault="004A0FE7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03DD837C" w14:textId="6409E344" w:rsidR="00A0467D" w:rsidRDefault="00A0467D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6A60A2E2" w14:textId="1855A99F" w:rsidR="00A0467D" w:rsidRDefault="00A0467D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2958F35B" w14:textId="547CC58C" w:rsidR="00A0467D" w:rsidRDefault="00A0467D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51B35D61" w14:textId="6912440D" w:rsidR="00A0467D" w:rsidRDefault="00A0467D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7CC9A38D" w14:textId="77777777" w:rsidR="00A0467D" w:rsidRPr="00D0768E" w:rsidRDefault="00A0467D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3CBD4591" w14:textId="77777777" w:rsidR="0051196F" w:rsidRPr="00D0768E" w:rsidRDefault="0051196F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  <w:sectPr w:rsidR="0051196F" w:rsidRPr="00D0768E" w:rsidSect="000F127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E86F5B5" w14:textId="1F0A935A" w:rsidR="00535461" w:rsidRPr="00D0768E" w:rsidRDefault="00535461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</w:p>
    <w:p w14:paraId="3D2802C6" w14:textId="6CB840C2" w:rsidR="007F20E0" w:rsidRPr="00D0768E" w:rsidRDefault="00B26994" w:rsidP="000674FF">
      <w:pPr>
        <w:spacing w:line="480" w:lineRule="auto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t>References:</w:t>
      </w:r>
    </w:p>
    <w:p w14:paraId="53E3E865" w14:textId="57FD7843" w:rsidR="00754A02" w:rsidRPr="00D0768E" w:rsidRDefault="00B26994" w:rsidP="00754A02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libri" w:hAnsi="Calibri" w:cs="Times New Roman"/>
          <w:noProof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fldChar w:fldCharType="begin" w:fldLock="1"/>
      </w:r>
      <w:r w:rsidRPr="00D0768E">
        <w:rPr>
          <w:rFonts w:ascii="Calibri" w:hAnsi="Calibri" w:cs="Times New Roman"/>
          <w:b/>
          <w:sz w:val="22"/>
          <w:szCs w:val="22"/>
          <w:lang w:val="en-GB"/>
        </w:rPr>
        <w:instrText xml:space="preserve">ADDIN Mendeley Bibliography CSL_BIBLIOGRAPHY </w:instrText>
      </w:r>
      <w:r w:rsidRPr="00D0768E">
        <w:rPr>
          <w:rFonts w:ascii="Calibri" w:hAnsi="Calibri" w:cs="Times New Roman"/>
          <w:b/>
          <w:sz w:val="22"/>
          <w:szCs w:val="22"/>
          <w:lang w:val="en-GB"/>
        </w:rPr>
        <w:fldChar w:fldCharType="separate"/>
      </w:r>
      <w:r w:rsidR="00754A02" w:rsidRPr="00D0768E">
        <w:rPr>
          <w:rFonts w:ascii="Calibri" w:hAnsi="Calibri" w:cs="Times New Roman"/>
          <w:noProof/>
          <w:sz w:val="22"/>
          <w:szCs w:val="22"/>
          <w:lang w:val="en-GB"/>
        </w:rPr>
        <w:t>1.</w:t>
      </w:r>
      <w:r w:rsidR="00754A02" w:rsidRPr="00D0768E">
        <w:rPr>
          <w:rFonts w:ascii="Calibri" w:hAnsi="Calibri" w:cs="Times New Roman"/>
          <w:noProof/>
          <w:sz w:val="22"/>
          <w:szCs w:val="22"/>
          <w:lang w:val="en-GB"/>
        </w:rPr>
        <w:tab/>
        <w:t>Gan TJ, Sooitt A, Maroof M, El-Moalem H, Robertson KM, Moretti E, Dwane P, Glass PSA: Goal-directed intraoperative fluid administration reduces length of hospital stay after major surgery. Anesthesiology 2002; 97:820–6</w:t>
      </w:r>
    </w:p>
    <w:p w14:paraId="73995107" w14:textId="5E7AC8E4" w:rsidR="00B26994" w:rsidRPr="00D0768E" w:rsidRDefault="00B26994" w:rsidP="000674FF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Times New Roman"/>
          <w:b/>
          <w:sz w:val="22"/>
          <w:szCs w:val="22"/>
          <w:lang w:val="en-GB"/>
        </w:rPr>
      </w:pPr>
      <w:r w:rsidRPr="00D0768E">
        <w:rPr>
          <w:rFonts w:ascii="Calibri" w:hAnsi="Calibri" w:cs="Times New Roman"/>
          <w:b/>
          <w:sz w:val="22"/>
          <w:szCs w:val="22"/>
          <w:lang w:val="en-GB"/>
        </w:rPr>
        <w:fldChar w:fldCharType="end"/>
      </w:r>
    </w:p>
    <w:sectPr w:rsidR="00B26994" w:rsidRPr="00D0768E" w:rsidSect="000F12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80CE" w14:textId="77777777" w:rsidR="00C3496D" w:rsidRDefault="00C3496D" w:rsidP="00C4311E">
      <w:r>
        <w:separator/>
      </w:r>
    </w:p>
  </w:endnote>
  <w:endnote w:type="continuationSeparator" w:id="0">
    <w:p w14:paraId="53897E48" w14:textId="77777777" w:rsidR="00C3496D" w:rsidRDefault="00C3496D" w:rsidP="00C4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0CD2" w14:textId="77777777" w:rsidR="00C3496D" w:rsidRDefault="00C3496D" w:rsidP="00C4311E">
      <w:r>
        <w:separator/>
      </w:r>
    </w:p>
  </w:footnote>
  <w:footnote w:type="continuationSeparator" w:id="0">
    <w:p w14:paraId="2D643CE9" w14:textId="77777777" w:rsidR="00C3496D" w:rsidRDefault="00C3496D" w:rsidP="00C4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D0DD" w14:textId="77777777" w:rsidR="00181B6C" w:rsidRDefault="00181B6C" w:rsidP="00C4311E">
    <w:pPr>
      <w:pStyle w:val="Header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8453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884534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30E24"/>
    <w:multiLevelType w:val="multilevel"/>
    <w:tmpl w:val="791E05C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E0"/>
    <w:rsid w:val="000606C4"/>
    <w:rsid w:val="00064DC8"/>
    <w:rsid w:val="000674FF"/>
    <w:rsid w:val="00087A42"/>
    <w:rsid w:val="000F1272"/>
    <w:rsid w:val="00125A49"/>
    <w:rsid w:val="001475B3"/>
    <w:rsid w:val="00162632"/>
    <w:rsid w:val="00181B6C"/>
    <w:rsid w:val="00235943"/>
    <w:rsid w:val="00242616"/>
    <w:rsid w:val="00254852"/>
    <w:rsid w:val="00264AAB"/>
    <w:rsid w:val="002740AD"/>
    <w:rsid w:val="002F749F"/>
    <w:rsid w:val="003314AF"/>
    <w:rsid w:val="00341A65"/>
    <w:rsid w:val="00363C9F"/>
    <w:rsid w:val="0038215C"/>
    <w:rsid w:val="0040297E"/>
    <w:rsid w:val="004906EE"/>
    <w:rsid w:val="00497D98"/>
    <w:rsid w:val="004A0FE7"/>
    <w:rsid w:val="0051196F"/>
    <w:rsid w:val="00535461"/>
    <w:rsid w:val="00663D19"/>
    <w:rsid w:val="00663D46"/>
    <w:rsid w:val="00705279"/>
    <w:rsid w:val="00735C31"/>
    <w:rsid w:val="00754A02"/>
    <w:rsid w:val="00765668"/>
    <w:rsid w:val="007B19C0"/>
    <w:rsid w:val="007F20E0"/>
    <w:rsid w:val="00833FED"/>
    <w:rsid w:val="00884534"/>
    <w:rsid w:val="008A234C"/>
    <w:rsid w:val="00946F6E"/>
    <w:rsid w:val="0098128B"/>
    <w:rsid w:val="009E414F"/>
    <w:rsid w:val="009F4DDD"/>
    <w:rsid w:val="00A0467D"/>
    <w:rsid w:val="00A230F7"/>
    <w:rsid w:val="00A41C53"/>
    <w:rsid w:val="00AA7936"/>
    <w:rsid w:val="00B26994"/>
    <w:rsid w:val="00C3496D"/>
    <w:rsid w:val="00C4311E"/>
    <w:rsid w:val="00C537C2"/>
    <w:rsid w:val="00C8166F"/>
    <w:rsid w:val="00CA16C9"/>
    <w:rsid w:val="00CC0793"/>
    <w:rsid w:val="00CE6245"/>
    <w:rsid w:val="00CF3B9B"/>
    <w:rsid w:val="00D0768E"/>
    <w:rsid w:val="00D430C1"/>
    <w:rsid w:val="00D75616"/>
    <w:rsid w:val="00DA1005"/>
    <w:rsid w:val="00E41215"/>
    <w:rsid w:val="00E97751"/>
    <w:rsid w:val="00EA1379"/>
    <w:rsid w:val="00EA28A0"/>
    <w:rsid w:val="00EA5B7F"/>
    <w:rsid w:val="00F03FDA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0C2F4"/>
  <w15:docId w15:val="{BAA7A836-9CEA-134A-9609-C80184C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65668"/>
    <w:pPr>
      <w:keepNext/>
      <w:keepLines/>
      <w:numPr>
        <w:ilvl w:val="1"/>
        <w:numId w:val="1"/>
      </w:numPr>
      <w:spacing w:after="120"/>
      <w:ind w:right="-7"/>
      <w:outlineLvl w:val="1"/>
    </w:pPr>
    <w:rPr>
      <w:rFonts w:ascii="Arial" w:eastAsia="MS Gothic" w:hAnsi="Arial" w:cs="Arial"/>
      <w:b/>
      <w:bCs/>
      <w:noProof/>
      <w:color w:val="17365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765668"/>
    <w:rPr>
      <w:rFonts w:ascii="Arial" w:eastAsia="MS Gothic" w:hAnsi="Arial" w:cs="Arial"/>
      <w:b/>
      <w:bCs/>
      <w:noProof/>
      <w:color w:val="17365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1E"/>
  </w:style>
  <w:style w:type="paragraph" w:styleId="Footer">
    <w:name w:val="footer"/>
    <w:basedOn w:val="Normal"/>
    <w:link w:val="FooterChar"/>
    <w:uiPriority w:val="99"/>
    <w:unhideWhenUsed/>
    <w:rsid w:val="00C4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1E"/>
  </w:style>
  <w:style w:type="paragraph" w:styleId="NormalWeb">
    <w:name w:val="Normal (Web)"/>
    <w:basedOn w:val="Normal"/>
    <w:uiPriority w:val="99"/>
    <w:unhideWhenUsed/>
    <w:rsid w:val="00C431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39329C-C14A-5140-B4C6-BCD81EEB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Reiterer</dc:creator>
  <cp:keywords/>
  <dc:description/>
  <cp:lastModifiedBy>Christian Reiterer</cp:lastModifiedBy>
  <cp:revision>5</cp:revision>
  <dcterms:created xsi:type="dcterms:W3CDTF">2020-03-21T18:17:00Z</dcterms:created>
  <dcterms:modified xsi:type="dcterms:W3CDTF">2020-05-18T16:30:00Z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http://www.zotero.org/styles/anesthesiology</vt:lpwstr>
  </property>
  <property fmtid="{D5CDD505-2E9C-101B-9397-08002B2CF9AE}" pid="9" name="Mendeley Recent Style Name 3_1">
    <vt:lpwstr>Anesthesiology</vt:lpwstr>
  </property>
  <property fmtid="{D5CDD505-2E9C-101B-9397-08002B2CF9AE}" pid="10" name="Mendeley Recent Style Id 4_1">
    <vt:lpwstr>http://www.zotero.org/styles/british-journal-of-anaesthesia</vt:lpwstr>
  </property>
  <property fmtid="{D5CDD505-2E9C-101B-9397-08002B2CF9AE}" pid="11" name="Mendeley Recent Style Name 4_1">
    <vt:lpwstr>British Journal of Anaesthesia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b39e42fc-e5a3-366d-8313-ce2367358c92</vt:lpwstr>
  </property>
  <property fmtid="{D5CDD505-2E9C-101B-9397-08002B2CF9AE}" pid="24" name="Mendeley Citation Style_1">
    <vt:lpwstr>http://www.zotero.org/styles/anesthesiology</vt:lpwstr>
  </property>
</Properties>
</file>