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F" w:rsidRPr="00622E32" w:rsidRDefault="00A0586F" w:rsidP="00A0586F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2E32">
        <w:rPr>
          <w:rFonts w:ascii="Times New Roman" w:hAnsi="Times New Roman"/>
          <w:b/>
          <w:sz w:val="28"/>
          <w:szCs w:val="28"/>
          <w:lang w:val="en-US"/>
        </w:rPr>
        <w:t>Furosemide and spironolactone doses and hyponatremia in patients with heart failure</w:t>
      </w:r>
    </w:p>
    <w:p w:rsidR="00A0586F" w:rsidRPr="00622E32" w:rsidRDefault="00A0586F" w:rsidP="00A0586F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0586F" w:rsidRPr="00622E32" w:rsidRDefault="00A0586F" w:rsidP="00A0586F">
      <w:pPr>
        <w:spacing w:after="12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2E32">
        <w:rPr>
          <w:rFonts w:ascii="Times New Roman" w:hAnsi="Times New Roman"/>
          <w:b/>
          <w:sz w:val="28"/>
          <w:szCs w:val="28"/>
          <w:lang w:val="en-US"/>
        </w:rPr>
        <w:t>Supplementary material</w:t>
      </w:r>
    </w:p>
    <w:p w:rsidR="00A0586F" w:rsidRPr="00622E32" w:rsidRDefault="00A0586F" w:rsidP="00A0586F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586F" w:rsidRPr="00622E32" w:rsidRDefault="00A0586F" w:rsidP="00A0586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 xml:space="preserve">Authors: </w:t>
      </w:r>
      <w:r w:rsidRPr="00622E32">
        <w:rPr>
          <w:rFonts w:ascii="Times New Roman" w:hAnsi="Times New Roman"/>
          <w:b/>
          <w:sz w:val="24"/>
          <w:szCs w:val="24"/>
          <w:lang w:val="en-US"/>
        </w:rPr>
        <w:tab/>
      </w:r>
      <w:r w:rsidRPr="00622E32">
        <w:rPr>
          <w:rFonts w:ascii="Times New Roman" w:hAnsi="Times New Roman"/>
          <w:sz w:val="24"/>
          <w:szCs w:val="24"/>
          <w:lang w:val="en-US"/>
        </w:rPr>
        <w:t xml:space="preserve">Ivan </w:t>
      </w:r>
      <w:proofErr w:type="spellStart"/>
      <w:r w:rsidRPr="00622E32">
        <w:rPr>
          <w:rFonts w:ascii="Times New Roman" w:hAnsi="Times New Roman"/>
          <w:sz w:val="24"/>
          <w:szCs w:val="24"/>
          <w:lang w:val="en-US"/>
        </w:rPr>
        <w:t>Velat</w:t>
      </w:r>
      <w:proofErr w:type="spellEnd"/>
      <w:r w:rsidRPr="00622E3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22E32">
        <w:rPr>
          <w:rFonts w:ascii="Times New Roman" w:hAnsi="Times New Roman"/>
          <w:sz w:val="24"/>
          <w:szCs w:val="24"/>
          <w:lang w:val="en-US"/>
        </w:rPr>
        <w:t>Željko</w:t>
      </w:r>
      <w:proofErr w:type="spellEnd"/>
      <w:r w:rsidRPr="00622E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2E32">
        <w:rPr>
          <w:rFonts w:ascii="Times New Roman" w:hAnsi="Times New Roman"/>
          <w:sz w:val="24"/>
          <w:szCs w:val="24"/>
          <w:lang w:val="en-US"/>
        </w:rPr>
        <w:t>Bušić</w:t>
      </w:r>
      <w:proofErr w:type="spellEnd"/>
      <w:r w:rsidRPr="00622E32">
        <w:rPr>
          <w:rFonts w:ascii="Times New Roman" w:hAnsi="Times New Roman"/>
          <w:sz w:val="24"/>
          <w:szCs w:val="24"/>
          <w:lang w:val="en-US"/>
        </w:rPr>
        <w:t xml:space="preserve">, Marina </w:t>
      </w:r>
      <w:proofErr w:type="spellStart"/>
      <w:r w:rsidRPr="00622E32">
        <w:rPr>
          <w:rFonts w:ascii="Times New Roman" w:hAnsi="Times New Roman"/>
          <w:sz w:val="24"/>
          <w:szCs w:val="24"/>
          <w:lang w:val="en-US"/>
        </w:rPr>
        <w:t>Jurić</w:t>
      </w:r>
      <w:proofErr w:type="spellEnd"/>
      <w:r w:rsidRPr="00622E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22E32">
        <w:rPr>
          <w:rFonts w:ascii="Times New Roman" w:hAnsi="Times New Roman"/>
          <w:sz w:val="24"/>
          <w:szCs w:val="24"/>
          <w:lang w:val="en-US"/>
        </w:rPr>
        <w:t>Paić</w:t>
      </w:r>
      <w:proofErr w:type="spellEnd"/>
      <w:r w:rsidRPr="00622E32">
        <w:rPr>
          <w:rFonts w:ascii="Times New Roman" w:hAnsi="Times New Roman"/>
          <w:sz w:val="24"/>
          <w:szCs w:val="24"/>
          <w:lang w:val="en-US"/>
        </w:rPr>
        <w:t xml:space="preserve">, Viktor </w:t>
      </w:r>
      <w:proofErr w:type="spellStart"/>
      <w:r w:rsidRPr="00622E32">
        <w:rPr>
          <w:rFonts w:ascii="Times New Roman" w:hAnsi="Times New Roman"/>
          <w:sz w:val="24"/>
          <w:szCs w:val="24"/>
          <w:lang w:val="en-US"/>
        </w:rPr>
        <w:t>Čulić</w:t>
      </w:r>
      <w:proofErr w:type="spellEnd"/>
    </w:p>
    <w:p w:rsidR="00A0586F" w:rsidRPr="00622E32" w:rsidRDefault="00A0586F" w:rsidP="00A0586F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586F" w:rsidRPr="00622E32" w:rsidRDefault="00A0586F" w:rsidP="00A0586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>Journal name:</w:t>
      </w:r>
      <w:r w:rsidRPr="00622E32">
        <w:rPr>
          <w:rFonts w:ascii="Times New Roman" w:hAnsi="Times New Roman"/>
          <w:sz w:val="24"/>
          <w:szCs w:val="24"/>
          <w:lang w:val="en-US"/>
        </w:rPr>
        <w:tab/>
      </w:r>
      <w:r w:rsidRPr="00622E32">
        <w:rPr>
          <w:rFonts w:ascii="Times New Roman" w:hAnsi="Times New Roman"/>
          <w:iCs/>
          <w:sz w:val="24"/>
          <w:szCs w:val="24"/>
          <w:lang w:val="en-US"/>
        </w:rPr>
        <w:t>BMC Pharmacology and Toxicology</w:t>
      </w:r>
    </w:p>
    <w:p w:rsidR="00A0586F" w:rsidRPr="00622E32" w:rsidRDefault="00A0586F" w:rsidP="00A0586F">
      <w:pPr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586F" w:rsidRPr="00622E32" w:rsidRDefault="00A0586F" w:rsidP="00A0586F">
      <w:pPr>
        <w:tabs>
          <w:tab w:val="left" w:pos="2242"/>
        </w:tabs>
        <w:spacing w:before="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>Correspondence:</w:t>
      </w:r>
      <w:r w:rsidRPr="00622E32">
        <w:rPr>
          <w:rFonts w:ascii="Times New Roman" w:hAnsi="Times New Roman"/>
          <w:b/>
          <w:sz w:val="24"/>
          <w:szCs w:val="24"/>
          <w:lang w:val="en-US"/>
        </w:rPr>
        <w:tab/>
      </w:r>
      <w:r w:rsidRPr="00622E32">
        <w:rPr>
          <w:rFonts w:ascii="Times New Roman" w:hAnsi="Times New Roman"/>
          <w:sz w:val="24"/>
          <w:szCs w:val="24"/>
          <w:lang w:val="en-US"/>
        </w:rPr>
        <w:t xml:space="preserve">Prof. Viktor </w:t>
      </w:r>
      <w:proofErr w:type="spellStart"/>
      <w:r w:rsidRPr="00622E32">
        <w:rPr>
          <w:rFonts w:ascii="Times New Roman" w:hAnsi="Times New Roman"/>
          <w:sz w:val="24"/>
          <w:szCs w:val="24"/>
          <w:lang w:val="en-US"/>
        </w:rPr>
        <w:t>Čulić</w:t>
      </w:r>
      <w:proofErr w:type="spellEnd"/>
    </w:p>
    <w:p w:rsidR="00A0586F" w:rsidRPr="00622E32" w:rsidRDefault="00A0586F" w:rsidP="00A0586F">
      <w:pPr>
        <w:tabs>
          <w:tab w:val="left" w:pos="2242"/>
        </w:tabs>
        <w:spacing w:before="1"/>
        <w:ind w:left="118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ab/>
      </w:r>
      <w:r w:rsidRPr="00622E32">
        <w:rPr>
          <w:rFonts w:ascii="Times New Roman" w:hAnsi="Times New Roman"/>
          <w:sz w:val="24"/>
          <w:szCs w:val="24"/>
          <w:lang w:val="en-US"/>
        </w:rPr>
        <w:t>Department of Cardiology</w:t>
      </w:r>
    </w:p>
    <w:p w:rsidR="00A0586F" w:rsidRPr="00622E32" w:rsidRDefault="00A0586F" w:rsidP="00A0586F">
      <w:pPr>
        <w:tabs>
          <w:tab w:val="left" w:pos="2242"/>
        </w:tabs>
        <w:spacing w:before="1"/>
        <w:ind w:left="118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ab/>
      </w:r>
      <w:r w:rsidRPr="00622E32">
        <w:rPr>
          <w:rFonts w:ascii="Times New Roman" w:hAnsi="Times New Roman"/>
          <w:sz w:val="24"/>
          <w:szCs w:val="24"/>
          <w:lang w:val="en-US"/>
        </w:rPr>
        <w:t>University Hospital Center Split</w:t>
      </w:r>
    </w:p>
    <w:p w:rsidR="00A0586F" w:rsidRPr="00622E32" w:rsidRDefault="00A0586F" w:rsidP="00A0586F">
      <w:pPr>
        <w:tabs>
          <w:tab w:val="left" w:pos="2242"/>
        </w:tabs>
        <w:spacing w:before="1"/>
        <w:ind w:left="118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622E32">
        <w:rPr>
          <w:rFonts w:ascii="Times New Roman" w:hAnsi="Times New Roman"/>
          <w:sz w:val="24"/>
          <w:szCs w:val="24"/>
          <w:lang w:val="en-US"/>
        </w:rPr>
        <w:t>Šoltanska</w:t>
      </w:r>
      <w:proofErr w:type="spellEnd"/>
      <w:r w:rsidRPr="00622E32"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A0586F" w:rsidRPr="00622E32" w:rsidRDefault="00A0586F" w:rsidP="00A0586F">
      <w:pPr>
        <w:tabs>
          <w:tab w:val="left" w:pos="2242"/>
        </w:tabs>
        <w:spacing w:before="1"/>
        <w:ind w:left="118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ab/>
      </w:r>
      <w:r w:rsidRPr="00622E32">
        <w:rPr>
          <w:rFonts w:ascii="Times New Roman" w:hAnsi="Times New Roman"/>
          <w:sz w:val="24"/>
          <w:szCs w:val="24"/>
          <w:lang w:val="en-US"/>
        </w:rPr>
        <w:t>21000 Split, Croatia</w:t>
      </w:r>
    </w:p>
    <w:p w:rsidR="00A0586F" w:rsidRPr="00622E32" w:rsidRDefault="00A0586F" w:rsidP="00A0586F">
      <w:pPr>
        <w:tabs>
          <w:tab w:val="left" w:pos="2242"/>
        </w:tabs>
        <w:spacing w:before="1"/>
        <w:ind w:left="118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ab/>
      </w:r>
      <w:r w:rsidRPr="00622E32">
        <w:rPr>
          <w:rFonts w:ascii="Times New Roman" w:hAnsi="Times New Roman"/>
          <w:sz w:val="24"/>
          <w:szCs w:val="24"/>
          <w:lang w:val="en-US"/>
        </w:rPr>
        <w:t>Tel: ++ 385 21 55 72 89</w:t>
      </w:r>
    </w:p>
    <w:p w:rsidR="00A0586F" w:rsidRPr="00622E32" w:rsidRDefault="00A0586F" w:rsidP="00A0586F">
      <w:pPr>
        <w:tabs>
          <w:tab w:val="left" w:pos="2242"/>
        </w:tabs>
        <w:spacing w:before="1"/>
        <w:ind w:left="118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ab/>
      </w:r>
      <w:r w:rsidRPr="00622E32">
        <w:rPr>
          <w:rFonts w:ascii="Times New Roman" w:hAnsi="Times New Roman"/>
          <w:sz w:val="24"/>
          <w:szCs w:val="24"/>
          <w:lang w:val="en-US"/>
        </w:rPr>
        <w:t>Fax: ++ 385 21 55 73 85</w:t>
      </w:r>
    </w:p>
    <w:p w:rsidR="00A0586F" w:rsidRPr="00622E32" w:rsidRDefault="00A0586F" w:rsidP="00A0586F">
      <w:pPr>
        <w:tabs>
          <w:tab w:val="left" w:pos="2242"/>
        </w:tabs>
        <w:spacing w:before="1"/>
        <w:ind w:left="118"/>
        <w:jc w:val="both"/>
        <w:rPr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ab/>
      </w:r>
      <w:r w:rsidRPr="00622E32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622E32">
          <w:rPr>
            <w:rStyle w:val="Hyperlink"/>
            <w:rFonts w:ascii="Times New Roman" w:hAnsi="Times New Roman"/>
            <w:sz w:val="24"/>
            <w:szCs w:val="24"/>
            <w:lang w:val="en-US"/>
          </w:rPr>
          <w:t>viktor.culic@st.t-com.hr</w:t>
        </w:r>
      </w:hyperlink>
    </w:p>
    <w:p w:rsidR="00A0586F" w:rsidRPr="00622E32" w:rsidRDefault="00A058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E3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0586F" w:rsidRPr="00622E32" w:rsidRDefault="00A0586F" w:rsidP="00A0586F">
      <w:pPr>
        <w:spacing w:after="12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sz w:val="24"/>
          <w:szCs w:val="24"/>
          <w:lang w:val="en-US"/>
        </w:rPr>
        <w:lastRenderedPageBreak/>
        <w:t>This supplement has been provided by the authors to give readers additional information about the findings of the study.</w:t>
      </w:r>
    </w:p>
    <w:p w:rsidR="00A0586F" w:rsidRPr="00622E32" w:rsidRDefault="00A0586F" w:rsidP="00A0586F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586F" w:rsidRPr="00622E32" w:rsidRDefault="00A0586F" w:rsidP="00A0586F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>Fig. S.1</w:t>
      </w:r>
      <w:r w:rsidRPr="00622E32">
        <w:rPr>
          <w:rFonts w:ascii="Times New Roman" w:hAnsi="Times New Roman"/>
          <w:sz w:val="24"/>
          <w:szCs w:val="24"/>
          <w:lang w:val="en-US"/>
        </w:rPr>
        <w:t xml:space="preserve"> Patients taking spironolactone according to dose and </w:t>
      </w:r>
      <w:proofErr w:type="spellStart"/>
      <w:r w:rsidRPr="00622E32">
        <w:rPr>
          <w:rFonts w:ascii="Times New Roman" w:hAnsi="Times New Roman"/>
          <w:sz w:val="24"/>
          <w:szCs w:val="24"/>
          <w:lang w:val="en-US"/>
        </w:rPr>
        <w:t>coadministration</w:t>
      </w:r>
      <w:proofErr w:type="spellEnd"/>
      <w:r w:rsidRPr="00622E32">
        <w:rPr>
          <w:rFonts w:ascii="Times New Roman" w:hAnsi="Times New Roman"/>
          <w:sz w:val="24"/>
          <w:szCs w:val="24"/>
          <w:lang w:val="en-US"/>
        </w:rPr>
        <w:t xml:space="preserve"> with furosemide</w:t>
      </w:r>
    </w:p>
    <w:p w:rsidR="00A0586F" w:rsidRPr="00622E32" w:rsidRDefault="00A0586F" w:rsidP="00A0586F">
      <w:pPr>
        <w:pStyle w:val="ListParagraph"/>
        <w:spacing w:after="12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586F" w:rsidRPr="00622E32" w:rsidRDefault="00A0586F" w:rsidP="00A0586F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>Fig. S.2</w:t>
      </w:r>
      <w:r w:rsidRPr="00622E32">
        <w:rPr>
          <w:rFonts w:ascii="Times New Roman" w:hAnsi="Times New Roman"/>
          <w:sz w:val="24"/>
          <w:szCs w:val="24"/>
          <w:lang w:val="en-US"/>
        </w:rPr>
        <w:t xml:space="preserve"> Distribution of study patients according to hydrochlorothiazide dose and hyponatremia</w:t>
      </w:r>
    </w:p>
    <w:p w:rsidR="00C15570" w:rsidRPr="00622E32" w:rsidRDefault="00C15570" w:rsidP="00A0586F">
      <w:pPr>
        <w:pStyle w:val="ListParagraph"/>
        <w:spacing w:after="12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5570" w:rsidRPr="00E26ECE" w:rsidRDefault="00C15570" w:rsidP="00A0586F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26ECE">
        <w:rPr>
          <w:rFonts w:ascii="Times New Roman" w:hAnsi="Times New Roman"/>
          <w:b/>
          <w:sz w:val="24"/>
          <w:szCs w:val="24"/>
          <w:lang w:val="en-US"/>
        </w:rPr>
        <w:t xml:space="preserve">Table S.1 </w:t>
      </w:r>
      <w:r w:rsidRPr="00E26ECE">
        <w:rPr>
          <w:rFonts w:ascii="Times New Roman" w:hAnsi="Times New Roman"/>
          <w:sz w:val="24"/>
          <w:szCs w:val="24"/>
          <w:lang w:val="en-US"/>
        </w:rPr>
        <w:t xml:space="preserve">Univariate correlations of clinical variables with </w:t>
      </w:r>
      <w:r w:rsidR="002E765F" w:rsidRPr="00E26ECE">
        <w:rPr>
          <w:rFonts w:ascii="Times New Roman" w:hAnsi="Times New Roman"/>
          <w:sz w:val="24"/>
          <w:szCs w:val="24"/>
          <w:lang w:val="en-US"/>
        </w:rPr>
        <w:t xml:space="preserve">serum </w:t>
      </w:r>
      <w:r w:rsidRPr="00E26ECE">
        <w:rPr>
          <w:rFonts w:ascii="Times New Roman" w:hAnsi="Times New Roman"/>
          <w:sz w:val="24"/>
          <w:szCs w:val="24"/>
          <w:lang w:val="en-US"/>
        </w:rPr>
        <w:t>NT-</w:t>
      </w:r>
      <w:proofErr w:type="spellStart"/>
      <w:r w:rsidRPr="00E26ECE">
        <w:rPr>
          <w:rFonts w:ascii="Times New Roman" w:hAnsi="Times New Roman"/>
          <w:sz w:val="24"/>
          <w:szCs w:val="24"/>
          <w:lang w:val="en-US"/>
        </w:rPr>
        <w:t>proBNP</w:t>
      </w:r>
      <w:proofErr w:type="spellEnd"/>
      <w:r w:rsidRPr="00E26ECE">
        <w:rPr>
          <w:rFonts w:ascii="Times New Roman" w:hAnsi="Times New Roman"/>
          <w:sz w:val="24"/>
          <w:szCs w:val="24"/>
          <w:lang w:val="en-US"/>
        </w:rPr>
        <w:t xml:space="preserve"> levels.</w:t>
      </w:r>
    </w:p>
    <w:p w:rsidR="00C15570" w:rsidRPr="00622E32" w:rsidRDefault="00C15570" w:rsidP="00C15570">
      <w:pPr>
        <w:pStyle w:val="ListParagraph"/>
        <w:spacing w:after="12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586F" w:rsidRPr="00622E32" w:rsidRDefault="00A0586F" w:rsidP="00A0586F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>Table S.</w:t>
      </w:r>
      <w:r w:rsidR="00C15570" w:rsidRPr="00622E3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22E32">
        <w:rPr>
          <w:rFonts w:ascii="Times New Roman" w:hAnsi="Times New Roman"/>
          <w:b/>
          <w:sz w:val="24"/>
          <w:szCs w:val="24"/>
          <w:lang w:val="en-US"/>
        </w:rPr>
        <w:t xml:space="preserve"> (Model 1)</w:t>
      </w:r>
      <w:r w:rsidRPr="00622E32">
        <w:rPr>
          <w:rFonts w:ascii="Times New Roman" w:hAnsi="Times New Roman"/>
          <w:sz w:val="24"/>
          <w:szCs w:val="24"/>
          <w:lang w:val="en-US"/>
        </w:rPr>
        <w:t xml:space="preserve"> Multivariate analysis of the predicting association of clinical factors with occurrence of hyponatremia</w:t>
      </w:r>
    </w:p>
    <w:p w:rsidR="00A0586F" w:rsidRPr="00622E32" w:rsidRDefault="00A0586F" w:rsidP="00A0586F">
      <w:pPr>
        <w:pStyle w:val="ListParagraph"/>
        <w:spacing w:after="12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586F" w:rsidRPr="00622E32" w:rsidRDefault="00A0586F" w:rsidP="00A0586F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>Table S.</w:t>
      </w:r>
      <w:r w:rsidR="00C15570" w:rsidRPr="00622E3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622E32">
        <w:rPr>
          <w:rFonts w:ascii="Times New Roman" w:hAnsi="Times New Roman"/>
          <w:b/>
          <w:sz w:val="24"/>
          <w:szCs w:val="24"/>
          <w:lang w:val="en-US"/>
        </w:rPr>
        <w:t xml:space="preserve"> (Model 2)</w:t>
      </w:r>
      <w:r w:rsidRPr="00622E32">
        <w:rPr>
          <w:rFonts w:ascii="Times New Roman" w:hAnsi="Times New Roman"/>
          <w:sz w:val="24"/>
          <w:szCs w:val="24"/>
          <w:lang w:val="en-US"/>
        </w:rPr>
        <w:t xml:space="preserve"> Multivariate analysis of the predicting association of clinical factors with occurrence of hyponatremia</w:t>
      </w:r>
    </w:p>
    <w:p w:rsidR="00A0586F" w:rsidRPr="00622E32" w:rsidRDefault="00A0586F" w:rsidP="00A0586F">
      <w:pPr>
        <w:pStyle w:val="ListParagraph"/>
        <w:spacing w:after="12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586F" w:rsidRPr="00E26ECE" w:rsidRDefault="00C15570" w:rsidP="003B18AE">
      <w:pPr>
        <w:pStyle w:val="ListParagraph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26ECE">
        <w:rPr>
          <w:rFonts w:ascii="Times New Roman" w:hAnsi="Times New Roman"/>
          <w:b/>
          <w:sz w:val="24"/>
          <w:szCs w:val="24"/>
          <w:lang w:val="en-US"/>
        </w:rPr>
        <w:t>Table S.4</w:t>
      </w:r>
      <w:r w:rsidR="006020D1" w:rsidRPr="00E26ECE">
        <w:rPr>
          <w:rFonts w:ascii="Times New Roman" w:hAnsi="Times New Roman"/>
          <w:sz w:val="24"/>
          <w:szCs w:val="24"/>
          <w:lang w:val="en-US"/>
        </w:rPr>
        <w:t>.</w:t>
      </w:r>
      <w:r w:rsidR="009923FD" w:rsidRPr="00E26E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7414" w:rsidRPr="00E26ECE">
        <w:rPr>
          <w:rFonts w:ascii="Times New Roman" w:hAnsi="Times New Roman"/>
          <w:b/>
          <w:sz w:val="24"/>
          <w:szCs w:val="24"/>
          <w:lang w:val="en-US"/>
        </w:rPr>
        <w:t xml:space="preserve">(Model 1, Model 2) </w:t>
      </w:r>
      <w:r w:rsidR="00813B2F" w:rsidRPr="00E26ECE">
        <w:rPr>
          <w:rFonts w:ascii="Times New Roman" w:hAnsi="Times New Roman"/>
          <w:sz w:val="24"/>
          <w:szCs w:val="24"/>
          <w:lang w:val="en-US"/>
        </w:rPr>
        <w:t>Multivariate</w:t>
      </w:r>
      <w:r w:rsidR="003B18AE" w:rsidRPr="00E26ECE">
        <w:rPr>
          <w:rFonts w:ascii="Times New Roman" w:hAnsi="Times New Roman"/>
          <w:sz w:val="24"/>
          <w:szCs w:val="24"/>
          <w:lang w:val="en-US"/>
        </w:rPr>
        <w:t xml:space="preserve"> analysis </w:t>
      </w:r>
      <w:r w:rsidR="00813B2F" w:rsidRPr="00E26ECE">
        <w:rPr>
          <w:rFonts w:ascii="Times New Roman" w:hAnsi="Times New Roman"/>
          <w:sz w:val="24"/>
          <w:szCs w:val="24"/>
          <w:lang w:val="en-US"/>
        </w:rPr>
        <w:t>of</w:t>
      </w:r>
      <w:r w:rsidR="003B18AE" w:rsidRPr="00E26ECE">
        <w:rPr>
          <w:rFonts w:ascii="Times New Roman" w:hAnsi="Times New Roman"/>
          <w:sz w:val="24"/>
          <w:szCs w:val="24"/>
          <w:lang w:val="en-US"/>
        </w:rPr>
        <w:t xml:space="preserve"> the predicting association of clinical factors with serum NT-</w:t>
      </w:r>
      <w:proofErr w:type="spellStart"/>
      <w:r w:rsidR="003B18AE" w:rsidRPr="00E26ECE">
        <w:rPr>
          <w:rFonts w:ascii="Times New Roman" w:hAnsi="Times New Roman"/>
          <w:sz w:val="24"/>
          <w:szCs w:val="24"/>
          <w:lang w:val="en-US"/>
        </w:rPr>
        <w:t>proBNP</w:t>
      </w:r>
      <w:proofErr w:type="spellEnd"/>
      <w:r w:rsidR="003B18AE" w:rsidRPr="00E26ECE">
        <w:rPr>
          <w:rFonts w:ascii="Times New Roman" w:hAnsi="Times New Roman"/>
          <w:sz w:val="24"/>
          <w:szCs w:val="24"/>
          <w:lang w:val="en-US"/>
        </w:rPr>
        <w:t xml:space="preserve"> levels</w:t>
      </w:r>
    </w:p>
    <w:p w:rsidR="00A0586F" w:rsidRPr="00622E32" w:rsidRDefault="00A0586F">
      <w:pPr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highlight w:val="yellow"/>
          <w:lang w:val="en-US"/>
        </w:rPr>
        <w:br w:type="page"/>
      </w:r>
    </w:p>
    <w:p w:rsidR="00D61528" w:rsidRPr="00622E32" w:rsidRDefault="00D61528" w:rsidP="00A0586F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  <w:sectPr w:rsidR="00D61528" w:rsidRPr="00622E32" w:rsidSect="00DF3402">
          <w:pgSz w:w="11906" w:h="16838"/>
          <w:pgMar w:top="2835" w:right="1418" w:bottom="1418" w:left="1418" w:header="709" w:footer="709" w:gutter="0"/>
          <w:cols w:space="708"/>
          <w:docGrid w:linePitch="360"/>
        </w:sectPr>
      </w:pPr>
    </w:p>
    <w:p w:rsidR="00A0586F" w:rsidRPr="00622E32" w:rsidRDefault="00A0586F" w:rsidP="00D61528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noProof/>
          <w:sz w:val="24"/>
          <w:szCs w:val="24"/>
          <w:lang w:val="en-PH" w:eastAsia="en-PH"/>
        </w:rPr>
        <w:lastRenderedPageBreak/>
        <w:drawing>
          <wp:inline distT="0" distB="0" distL="0" distR="0" wp14:anchorId="23436CB3" wp14:editId="6CADE352">
            <wp:extent cx="5534025" cy="5276850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1528" w:rsidRPr="00622E32" w:rsidRDefault="00A0586F" w:rsidP="00D6152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D61528" w:rsidRPr="00622E32" w:rsidSect="00D61528">
          <w:pgSz w:w="11906" w:h="16838"/>
          <w:pgMar w:top="3969" w:right="1418" w:bottom="1418" w:left="1418" w:header="709" w:footer="709" w:gutter="0"/>
          <w:cols w:space="708"/>
          <w:docGrid w:linePitch="360"/>
        </w:sect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>Fig. S.</w:t>
      </w:r>
      <w:r w:rsidR="00D61528" w:rsidRPr="00622E32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A0586F" w:rsidRPr="00622E32" w:rsidRDefault="00A0586F" w:rsidP="00D61528">
      <w:pPr>
        <w:spacing w:after="120" w:line="360" w:lineRule="auto"/>
        <w:rPr>
          <w:rFonts w:ascii="Times New Roman" w:hAnsi="Times New Roman"/>
          <w:lang w:val="en-US"/>
        </w:rPr>
      </w:pPr>
      <w:r w:rsidRPr="00622E32">
        <w:rPr>
          <w:rFonts w:ascii="Times New Roman" w:hAnsi="Times New Roman"/>
          <w:noProof/>
          <w:lang w:val="en-PH" w:eastAsia="en-PH"/>
        </w:rPr>
        <w:lastRenderedPageBreak/>
        <w:drawing>
          <wp:inline distT="0" distB="0" distL="0" distR="0" wp14:anchorId="05160DEB" wp14:editId="3A2098C2">
            <wp:extent cx="5759450" cy="681037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29DB" w:rsidRPr="00622E32" w:rsidRDefault="00A0586F" w:rsidP="00D61528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>Fig. S.2</w:t>
      </w:r>
    </w:p>
    <w:p w:rsidR="00A0586F" w:rsidRPr="00622E32" w:rsidRDefault="007629DB">
      <w:pPr>
        <w:rPr>
          <w:rFonts w:ascii="Times New Roman" w:hAnsi="Times New Roman"/>
          <w:b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3D737E" w:rsidRDefault="003D737E" w:rsidP="005E6C9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737E" w:rsidRDefault="003D737E" w:rsidP="005E6C9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737E" w:rsidRDefault="003D737E" w:rsidP="005E6C9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737E" w:rsidRDefault="003D737E" w:rsidP="005E6C9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737E" w:rsidRDefault="003D737E" w:rsidP="005E6C9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737E" w:rsidRDefault="003D737E" w:rsidP="005E6C9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5570" w:rsidRPr="00622E32" w:rsidRDefault="00C15570" w:rsidP="005E6C9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t>Table S.1</w:t>
      </w:r>
    </w:p>
    <w:p w:rsidR="00C15570" w:rsidRPr="00622E32" w:rsidRDefault="00C15570" w:rsidP="005E6C9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sz w:val="24"/>
          <w:szCs w:val="24"/>
          <w:lang w:val="en-US"/>
        </w:rPr>
        <w:t xml:space="preserve">Univariate correlations of clinical variables with </w:t>
      </w:r>
      <w:r w:rsidR="00F94E02" w:rsidRPr="00622E32">
        <w:rPr>
          <w:rFonts w:ascii="Times New Roman" w:hAnsi="Times New Roman"/>
          <w:sz w:val="24"/>
          <w:szCs w:val="24"/>
          <w:lang w:val="en-US"/>
        </w:rPr>
        <w:t xml:space="preserve">serum </w:t>
      </w:r>
      <w:r w:rsidRPr="00622E32">
        <w:rPr>
          <w:rFonts w:ascii="Times New Roman" w:hAnsi="Times New Roman"/>
          <w:sz w:val="24"/>
          <w:szCs w:val="24"/>
          <w:lang w:val="en-US"/>
        </w:rPr>
        <w:t>NT-</w:t>
      </w:r>
      <w:proofErr w:type="spellStart"/>
      <w:r w:rsidRPr="00622E32">
        <w:rPr>
          <w:rFonts w:ascii="Times New Roman" w:hAnsi="Times New Roman"/>
          <w:sz w:val="24"/>
          <w:szCs w:val="24"/>
          <w:lang w:val="en-US"/>
        </w:rPr>
        <w:t>proBNP</w:t>
      </w:r>
      <w:proofErr w:type="spellEnd"/>
      <w:r w:rsidRPr="00622E32">
        <w:rPr>
          <w:rFonts w:ascii="Times New Roman" w:hAnsi="Times New Roman"/>
          <w:sz w:val="24"/>
          <w:szCs w:val="24"/>
          <w:lang w:val="en-US"/>
        </w:rPr>
        <w:t xml:space="preserve"> levels.</w:t>
      </w: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5245"/>
        <w:gridCol w:w="2588"/>
        <w:gridCol w:w="1160"/>
      </w:tblGrid>
      <w:tr w:rsidR="00D1135C" w:rsidRPr="00622E32" w:rsidTr="001B1801">
        <w:trPr>
          <w:trHeight w:val="344"/>
        </w:trPr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A0586F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AF799A">
            <w:pPr>
              <w:spacing w:before="120"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AF799A">
            <w:pPr>
              <w:spacing w:before="120" w:after="12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D1135C" w:rsidRPr="00622E32" w:rsidTr="001B1801">
        <w:trPr>
          <w:trHeight w:val="670"/>
        </w:trPr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66EAB" w:rsidP="0056193B">
            <w:pPr>
              <w:spacing w:before="120" w:after="120" w:line="276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11370" w:rsidRPr="00622E32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="00D1135C" w:rsidRPr="00622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(ml/min/1.73 m</w:t>
            </w:r>
            <w:r w:rsidR="00D1135C" w:rsidRPr="00622E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D1135C" w:rsidRPr="00622E3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E26ECE" w:rsidRDefault="00D1135C" w:rsidP="0056193B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ECE">
              <w:rPr>
                <w:rFonts w:ascii="Times New Roman" w:hAnsi="Times New Roman"/>
                <w:sz w:val="24"/>
                <w:szCs w:val="24"/>
                <w:lang w:val="en-US"/>
              </w:rPr>
              <w:t>0.164</w:t>
            </w:r>
          </w:p>
        </w:tc>
        <w:tc>
          <w:tcPr>
            <w:tcW w:w="11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E26ECE" w:rsidRDefault="00D1135C" w:rsidP="0056193B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ECE">
              <w:rPr>
                <w:rFonts w:ascii="Times New Roman" w:hAnsi="Times New Roman"/>
                <w:sz w:val="24"/>
                <w:szCs w:val="24"/>
                <w:lang w:val="en-US"/>
              </w:rPr>
              <w:t>0.047</w:t>
            </w:r>
            <w:r w:rsidR="005E2473" w:rsidRPr="00E26ECE"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D1135C" w:rsidRPr="00622E32" w:rsidTr="001B1801">
        <w:trPr>
          <w:trHeight w:val="532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after="120" w:line="276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Cardiac troponin I (ng/ml)</w:t>
            </w:r>
          </w:p>
        </w:tc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0.039</w:t>
            </w:r>
          </w:p>
        </w:tc>
        <w:tc>
          <w:tcPr>
            <w:tcW w:w="1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0.67</w:t>
            </w:r>
          </w:p>
        </w:tc>
      </w:tr>
      <w:tr w:rsidR="00D1135C" w:rsidRPr="00622E32" w:rsidTr="001B1801">
        <w:trPr>
          <w:trHeight w:val="532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3F2291" w:rsidP="0056193B">
            <w:pPr>
              <w:spacing w:after="120" w:line="276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Furosemide</w:t>
            </w:r>
            <w:r w:rsidR="00D1135C" w:rsidRPr="00622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dose (mg)</w:t>
            </w:r>
          </w:p>
        </w:tc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after="120" w:line="276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-0.032</w:t>
            </w:r>
          </w:p>
        </w:tc>
        <w:tc>
          <w:tcPr>
            <w:tcW w:w="1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0.70</w:t>
            </w:r>
          </w:p>
        </w:tc>
      </w:tr>
      <w:tr w:rsidR="00D1135C" w:rsidRPr="00E26ECE" w:rsidTr="001B1801">
        <w:trPr>
          <w:trHeight w:val="532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3F2291" w:rsidP="0056193B">
            <w:pPr>
              <w:spacing w:after="120" w:line="276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Hydrochlorothiazide</w:t>
            </w:r>
            <w:r w:rsidR="00D1135C" w:rsidRPr="00622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dose (mg)</w:t>
            </w:r>
          </w:p>
        </w:tc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0.276</w:t>
            </w:r>
          </w:p>
        </w:tc>
        <w:tc>
          <w:tcPr>
            <w:tcW w:w="1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E26ECE" w:rsidRDefault="00D1135C" w:rsidP="0056193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ECE">
              <w:rPr>
                <w:rFonts w:ascii="Times New Roman" w:hAnsi="Times New Roman"/>
                <w:sz w:val="24"/>
                <w:szCs w:val="24"/>
                <w:lang w:val="en-US"/>
              </w:rPr>
              <w:t>0.001</w:t>
            </w:r>
            <w:r w:rsidR="005E2473" w:rsidRPr="00E26ECE"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D1135C" w:rsidRPr="00622E32" w:rsidTr="001B1801">
        <w:trPr>
          <w:trHeight w:val="548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after="120" w:line="276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Spironolactone dose (mg)</w:t>
            </w:r>
          </w:p>
        </w:tc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0.80</w:t>
            </w:r>
          </w:p>
        </w:tc>
      </w:tr>
      <w:tr w:rsidR="00D1135C" w:rsidRPr="00622E32" w:rsidTr="001B1801">
        <w:trPr>
          <w:trHeight w:val="532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011370" w:rsidP="0056193B">
            <w:pPr>
              <w:spacing w:after="120" w:line="276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LVEF</w:t>
            </w:r>
            <w:r w:rsidR="00D1135C" w:rsidRPr="00622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E26ECE" w:rsidRDefault="00D1135C" w:rsidP="0056193B">
            <w:pPr>
              <w:spacing w:after="120" w:line="276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ECE">
              <w:rPr>
                <w:rFonts w:ascii="Times New Roman" w:hAnsi="Times New Roman"/>
                <w:sz w:val="24"/>
                <w:szCs w:val="24"/>
                <w:lang w:val="en-US"/>
              </w:rPr>
              <w:t>-0.313</w:t>
            </w:r>
          </w:p>
        </w:tc>
        <w:tc>
          <w:tcPr>
            <w:tcW w:w="1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E26ECE" w:rsidRDefault="00D1135C" w:rsidP="0056193B">
            <w:pPr>
              <w:spacing w:after="120" w:line="276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6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26ECE">
              <w:rPr>
                <w:rFonts w:ascii="Times New Roman" w:hAnsi="Times New Roman"/>
                <w:sz w:val="24"/>
                <w:szCs w:val="24"/>
                <w:lang w:val="en-US"/>
              </w:rPr>
              <w:t>0.001</w:t>
            </w:r>
            <w:r w:rsidR="005E2473" w:rsidRPr="00E26ECE">
              <w:rPr>
                <w:rFonts w:ascii="Times New Roman" w:hAnsi="Times New Roman"/>
                <w:lang w:val="en-US"/>
              </w:rPr>
              <w:t>*</w:t>
            </w:r>
          </w:p>
        </w:tc>
      </w:tr>
      <w:tr w:rsidR="00D1135C" w:rsidRPr="00622E32" w:rsidTr="001B1801">
        <w:trPr>
          <w:trHeight w:val="41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Serum sodium (</w:t>
            </w:r>
            <w:proofErr w:type="spellStart"/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mmol</w:t>
            </w:r>
            <w:proofErr w:type="spellEnd"/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-0.049</w:t>
            </w:r>
          </w:p>
        </w:tc>
        <w:tc>
          <w:tcPr>
            <w:tcW w:w="11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1135C" w:rsidRPr="00622E32" w:rsidRDefault="00D1135C" w:rsidP="005619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E32">
              <w:rPr>
                <w:rFonts w:ascii="Times New Roman" w:hAnsi="Times New Roman"/>
                <w:sz w:val="24"/>
                <w:szCs w:val="24"/>
                <w:lang w:val="en-US"/>
              </w:rPr>
              <w:t>0.55</w:t>
            </w:r>
          </w:p>
        </w:tc>
      </w:tr>
    </w:tbl>
    <w:p w:rsidR="00AE0E5B" w:rsidRPr="005E2473" w:rsidRDefault="00D66EAB" w:rsidP="0056193B">
      <w:pPr>
        <w:spacing w:before="120" w:after="0"/>
        <w:ind w:right="13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E2473">
        <w:rPr>
          <w:rFonts w:ascii="Times New Roman" w:hAnsi="Times New Roman"/>
          <w:i/>
          <w:sz w:val="24"/>
          <w:szCs w:val="24"/>
          <w:lang w:val="en-US"/>
        </w:rPr>
        <w:t>NT-pro BNP</w:t>
      </w:r>
      <w:r w:rsidRPr="005E2473">
        <w:rPr>
          <w:rFonts w:ascii="Times New Roman" w:hAnsi="Times New Roman"/>
          <w:sz w:val="24"/>
          <w:szCs w:val="24"/>
          <w:lang w:val="en-US"/>
        </w:rPr>
        <w:t xml:space="preserve">: N-terminal pro brain natriuretic peptide, </w:t>
      </w:r>
      <w:r w:rsidRPr="005E2473">
        <w:rPr>
          <w:rFonts w:ascii="Times New Roman" w:hAnsi="Times New Roman"/>
          <w:i/>
          <w:sz w:val="24"/>
          <w:szCs w:val="24"/>
          <w:lang w:val="en-US"/>
        </w:rPr>
        <w:t>GFR</w:t>
      </w:r>
      <w:r w:rsidRPr="005E2473">
        <w:rPr>
          <w:rFonts w:ascii="Times New Roman" w:hAnsi="Times New Roman"/>
          <w:sz w:val="24"/>
          <w:szCs w:val="24"/>
          <w:lang w:val="en-US"/>
        </w:rPr>
        <w:t xml:space="preserve">: glomerular filtration rate, </w:t>
      </w:r>
      <w:r w:rsidRPr="005E2473">
        <w:rPr>
          <w:rFonts w:ascii="Times New Roman" w:hAnsi="Times New Roman"/>
          <w:i/>
          <w:sz w:val="24"/>
          <w:szCs w:val="24"/>
          <w:lang w:val="en-US"/>
        </w:rPr>
        <w:t>LVEF</w:t>
      </w:r>
      <w:r w:rsidRPr="005E2473">
        <w:rPr>
          <w:rFonts w:ascii="Times New Roman" w:hAnsi="Times New Roman"/>
          <w:sz w:val="24"/>
          <w:szCs w:val="24"/>
          <w:lang w:val="en-US"/>
        </w:rPr>
        <w:t>: left ventricular ejection fraction.</w:t>
      </w:r>
    </w:p>
    <w:p w:rsidR="00C15570" w:rsidRPr="005E2473" w:rsidRDefault="00D66EAB" w:rsidP="0056193B">
      <w:pPr>
        <w:spacing w:after="0"/>
        <w:ind w:right="139"/>
        <w:jc w:val="both"/>
        <w:rPr>
          <w:rFonts w:ascii="Times New Roman" w:hAnsi="Times New Roman"/>
          <w:sz w:val="24"/>
          <w:szCs w:val="24"/>
          <w:lang w:val="en-US"/>
        </w:rPr>
      </w:pPr>
      <w:r w:rsidRPr="005E2473">
        <w:rPr>
          <w:rFonts w:ascii="Times New Roman" w:hAnsi="Times New Roman"/>
          <w:i/>
          <w:sz w:val="24"/>
          <w:szCs w:val="24"/>
          <w:lang w:val="en-US"/>
        </w:rPr>
        <w:t>r</w:t>
      </w:r>
      <w:r w:rsidRPr="005E247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5E2473">
        <w:rPr>
          <w:rFonts w:ascii="Times New Roman" w:hAnsi="Times New Roman"/>
          <w:i/>
          <w:sz w:val="24"/>
          <w:szCs w:val="24"/>
          <w:lang w:val="en-US"/>
        </w:rPr>
        <w:t>p</w:t>
      </w:r>
      <w:r w:rsidRPr="005E2473">
        <w:rPr>
          <w:rFonts w:ascii="Times New Roman" w:hAnsi="Times New Roman"/>
          <w:sz w:val="24"/>
          <w:szCs w:val="24"/>
          <w:lang w:val="en-US"/>
        </w:rPr>
        <w:t xml:space="preserve"> values were obtained from the linear regression analysis</w:t>
      </w:r>
      <w:r w:rsidR="004C78CE" w:rsidRPr="005E2473">
        <w:rPr>
          <w:rFonts w:ascii="Times New Roman" w:hAnsi="Times New Roman"/>
          <w:sz w:val="24"/>
          <w:szCs w:val="24"/>
          <w:lang w:val="en-US"/>
        </w:rPr>
        <w:t>.</w:t>
      </w:r>
    </w:p>
    <w:p w:rsidR="005E2473" w:rsidRPr="005E2473" w:rsidRDefault="005E2473" w:rsidP="0056193B">
      <w:pPr>
        <w:spacing w:after="0"/>
        <w:ind w:right="139"/>
        <w:jc w:val="both"/>
        <w:rPr>
          <w:rFonts w:ascii="Times New Roman" w:hAnsi="Times New Roman"/>
          <w:sz w:val="24"/>
          <w:szCs w:val="24"/>
          <w:lang w:val="en-US"/>
        </w:rPr>
      </w:pPr>
      <w:r w:rsidRPr="00E26ECE">
        <w:rPr>
          <w:rFonts w:ascii="Times New Roman" w:hAnsi="Times New Roman"/>
          <w:sz w:val="24"/>
          <w:szCs w:val="24"/>
          <w:lang w:val="en-US"/>
        </w:rPr>
        <w:t>* Statistically significant differences (</w:t>
      </w:r>
      <w:r w:rsidRPr="00E26ECE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26ECE">
        <w:rPr>
          <w:rFonts w:ascii="Times New Roman" w:hAnsi="Times New Roman"/>
          <w:sz w:val="24"/>
          <w:szCs w:val="24"/>
          <w:lang w:val="en-US"/>
        </w:rPr>
        <w:t>&lt;0.05)</w:t>
      </w:r>
    </w:p>
    <w:p w:rsidR="00C15570" w:rsidRPr="00622E32" w:rsidRDefault="00C15570" w:rsidP="00D66EAB">
      <w:pPr>
        <w:ind w:left="-142"/>
        <w:rPr>
          <w:rFonts w:ascii="Times New Roman" w:hAnsi="Times New Roman"/>
          <w:b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A0586F" w:rsidRPr="005E2473" w:rsidRDefault="00C15570" w:rsidP="00A0586F">
      <w:pPr>
        <w:spacing w:after="120" w:line="360" w:lineRule="auto"/>
        <w:ind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E2473">
        <w:rPr>
          <w:rFonts w:ascii="Times New Roman" w:hAnsi="Times New Roman"/>
          <w:b/>
          <w:sz w:val="24"/>
          <w:szCs w:val="24"/>
          <w:lang w:val="en-US"/>
        </w:rPr>
        <w:lastRenderedPageBreak/>
        <w:t>Table S.2</w:t>
      </w:r>
    </w:p>
    <w:p w:rsidR="00A0586F" w:rsidRPr="005E2473" w:rsidRDefault="00A0586F" w:rsidP="00A0586F">
      <w:pPr>
        <w:spacing w:after="120" w:line="36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5E2473">
        <w:rPr>
          <w:rFonts w:ascii="Times New Roman" w:hAnsi="Times New Roman"/>
          <w:sz w:val="24"/>
          <w:szCs w:val="24"/>
          <w:lang w:val="en-US"/>
        </w:rPr>
        <w:t>Multivariate analysis of the predicting association of clinical factors with occurrence of hyponatremia (Model 1*)</w:t>
      </w:r>
    </w:p>
    <w:tbl>
      <w:tblPr>
        <w:tblW w:w="9837" w:type="dxa"/>
        <w:jc w:val="center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4422"/>
        <w:gridCol w:w="2706"/>
        <w:gridCol w:w="320"/>
        <w:gridCol w:w="2389"/>
      </w:tblGrid>
      <w:tr w:rsidR="00A0586F" w:rsidRPr="00622E32" w:rsidTr="002D31B2">
        <w:trPr>
          <w:trHeight w:val="517"/>
          <w:jc w:val="center"/>
        </w:trPr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2B5BFD">
            <w:pPr>
              <w:spacing w:after="160" w:line="256" w:lineRule="auto"/>
              <w:rPr>
                <w:rFonts w:eastAsiaTheme="minorEastAsia"/>
                <w:lang w:val="en-US"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2B5BFD">
            <w:pPr>
              <w:spacing w:before="120"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D03BA0">
              <w:rPr>
                <w:rFonts w:ascii="Times New Roman" w:hAnsi="Times New Roman"/>
                <w:i/>
                <w:lang w:val="en-US"/>
              </w:rPr>
              <w:t>OR</w:t>
            </w:r>
            <w:r w:rsidRPr="00622E32">
              <w:rPr>
                <w:rFonts w:ascii="Times New Roman" w:hAnsi="Times New Roman"/>
                <w:lang w:val="en-US"/>
              </w:rPr>
              <w:t xml:space="preserve"> (95% </w:t>
            </w:r>
            <w:r w:rsidRPr="00D03BA0">
              <w:rPr>
                <w:rFonts w:ascii="Times New Roman" w:hAnsi="Times New Roman"/>
                <w:i/>
                <w:lang w:val="en-US"/>
              </w:rPr>
              <w:t>CI</w:t>
            </w:r>
            <w:r w:rsidRPr="00622E3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2B5BFD">
            <w:pPr>
              <w:spacing w:before="120" w:after="0"/>
              <w:ind w:left="227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22E32">
              <w:rPr>
                <w:rFonts w:ascii="Times New Roman" w:hAnsi="Times New Roman"/>
                <w:i/>
                <w:lang w:val="en-US"/>
              </w:rPr>
              <w:t>p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Age (per 10-year increase)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1.116 (1.009 – 1.237)</w:t>
            </w:r>
          </w:p>
        </w:tc>
        <w:tc>
          <w:tcPr>
            <w:tcW w:w="2389" w:type="dxa"/>
            <w:hideMark/>
          </w:tcPr>
          <w:p w:rsidR="00A0586F" w:rsidRPr="00E26ECE" w:rsidRDefault="00A0586F" w:rsidP="005E2473">
            <w:pPr>
              <w:spacing w:after="0"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0.03</w:t>
            </w:r>
            <w:r w:rsidR="005E2473" w:rsidRPr="00E26ECE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Alcohol consumption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1.113 (1.005 – 1.282)</w:t>
            </w:r>
          </w:p>
        </w:tc>
        <w:tc>
          <w:tcPr>
            <w:tcW w:w="2389" w:type="dxa"/>
            <w:hideMark/>
          </w:tcPr>
          <w:p w:rsidR="00A0586F" w:rsidRPr="00E26ECE" w:rsidRDefault="00A0586F" w:rsidP="005E2473">
            <w:pPr>
              <w:spacing w:after="0"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0.04</w:t>
            </w:r>
            <w:r w:rsidR="005E2473" w:rsidRPr="00E26ECE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Male sex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0.952 (0.865 – 1.052)</w:t>
            </w:r>
          </w:p>
        </w:tc>
        <w:tc>
          <w:tcPr>
            <w:tcW w:w="2389" w:type="dxa"/>
            <w:hideMark/>
          </w:tcPr>
          <w:p w:rsidR="00A0586F" w:rsidRPr="00E26ECE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0.35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Kidney failure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1.044 (0.940 – 1.165)</w:t>
            </w:r>
          </w:p>
        </w:tc>
        <w:tc>
          <w:tcPr>
            <w:tcW w:w="2389" w:type="dxa"/>
            <w:hideMark/>
          </w:tcPr>
          <w:p w:rsidR="00A0586F" w:rsidRPr="00E26ECE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0.40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LVEF ≤ 45%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1.080 (0.978 – 1.185)</w:t>
            </w:r>
          </w:p>
        </w:tc>
        <w:tc>
          <w:tcPr>
            <w:tcW w:w="2389" w:type="dxa"/>
            <w:hideMark/>
          </w:tcPr>
          <w:p w:rsidR="00A0586F" w:rsidRPr="00E26ECE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0.13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Arterial hypertension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0.932 (0.838 – 1.033)</w:t>
            </w:r>
          </w:p>
        </w:tc>
        <w:tc>
          <w:tcPr>
            <w:tcW w:w="2389" w:type="dxa"/>
            <w:hideMark/>
          </w:tcPr>
          <w:p w:rsidR="00A0586F" w:rsidRPr="00E26ECE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0.18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Diabetes mellitus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1.119 (1.015 – 1.232)</w:t>
            </w:r>
          </w:p>
        </w:tc>
        <w:tc>
          <w:tcPr>
            <w:tcW w:w="2389" w:type="dxa"/>
            <w:hideMark/>
          </w:tcPr>
          <w:p w:rsidR="00A0586F" w:rsidRPr="00E26ECE" w:rsidRDefault="00A0586F" w:rsidP="005E2473">
            <w:pPr>
              <w:spacing w:after="0"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0.02</w:t>
            </w:r>
            <w:r w:rsidR="005E2473" w:rsidRPr="00E26ECE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Previous AMI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1.068 (0.962 – 1.213)</w:t>
            </w:r>
          </w:p>
        </w:tc>
        <w:tc>
          <w:tcPr>
            <w:tcW w:w="2389" w:type="dxa"/>
            <w:hideMark/>
          </w:tcPr>
          <w:p w:rsidR="00A0586F" w:rsidRPr="00E26ECE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0.19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Current smoking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1.066 (0.947 – 1.256)</w:t>
            </w:r>
          </w:p>
        </w:tc>
        <w:tc>
          <w:tcPr>
            <w:tcW w:w="2389" w:type="dxa"/>
            <w:hideMark/>
          </w:tcPr>
          <w:p w:rsidR="00A0586F" w:rsidRPr="00E26ECE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0.23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Furosemide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1.022 (0.919 – 1.134)</w:t>
            </w:r>
          </w:p>
        </w:tc>
        <w:tc>
          <w:tcPr>
            <w:tcW w:w="2389" w:type="dxa"/>
            <w:hideMark/>
          </w:tcPr>
          <w:p w:rsidR="00A0586F" w:rsidRPr="00622E32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0.69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Hydrochlorothiazide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0.957 (0.840 – 1.071)</w:t>
            </w:r>
          </w:p>
        </w:tc>
        <w:tc>
          <w:tcPr>
            <w:tcW w:w="2389" w:type="dxa"/>
            <w:hideMark/>
          </w:tcPr>
          <w:p w:rsidR="00A0586F" w:rsidRPr="00622E32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0.39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Spironolactone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1.079 (0.971 – 1.247)</w:t>
            </w:r>
          </w:p>
        </w:tc>
        <w:tc>
          <w:tcPr>
            <w:tcW w:w="2389" w:type="dxa"/>
            <w:hideMark/>
          </w:tcPr>
          <w:p w:rsidR="00A0586F" w:rsidRPr="00622E32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0.13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β-blocker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0.979 (0.894 – 1.075)</w:t>
            </w:r>
          </w:p>
        </w:tc>
        <w:tc>
          <w:tcPr>
            <w:tcW w:w="2389" w:type="dxa"/>
            <w:hideMark/>
          </w:tcPr>
          <w:p w:rsidR="00A0586F" w:rsidRPr="00622E32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0.67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Calcium antagonist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0.918 (0.824 – 1.021)</w:t>
            </w:r>
          </w:p>
        </w:tc>
        <w:tc>
          <w:tcPr>
            <w:tcW w:w="2389" w:type="dxa"/>
            <w:hideMark/>
          </w:tcPr>
          <w:p w:rsidR="00A0586F" w:rsidRPr="00622E32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0.12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ARB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1.047 (0.923 – 1.247)</w:t>
            </w:r>
          </w:p>
        </w:tc>
        <w:tc>
          <w:tcPr>
            <w:tcW w:w="2389" w:type="dxa"/>
            <w:hideMark/>
          </w:tcPr>
          <w:p w:rsidR="00A0586F" w:rsidRPr="00622E32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0.36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ACEI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1.069 (0.967 – 1.176)</w:t>
            </w:r>
          </w:p>
        </w:tc>
        <w:tc>
          <w:tcPr>
            <w:tcW w:w="2389" w:type="dxa"/>
            <w:hideMark/>
          </w:tcPr>
          <w:p w:rsidR="00A0586F" w:rsidRPr="00622E32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0.19</w:t>
            </w:r>
          </w:p>
        </w:tc>
      </w:tr>
      <w:tr w:rsidR="00A0586F" w:rsidRPr="00622E32" w:rsidTr="002D31B2">
        <w:trPr>
          <w:trHeight w:val="381"/>
          <w:jc w:val="center"/>
        </w:trPr>
        <w:tc>
          <w:tcPr>
            <w:tcW w:w="4422" w:type="dxa"/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Aspirin</w:t>
            </w:r>
          </w:p>
        </w:tc>
        <w:tc>
          <w:tcPr>
            <w:tcW w:w="3026" w:type="dxa"/>
            <w:gridSpan w:val="2"/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0.968 (0.876 – 1.067)</w:t>
            </w:r>
          </w:p>
        </w:tc>
        <w:tc>
          <w:tcPr>
            <w:tcW w:w="2389" w:type="dxa"/>
            <w:hideMark/>
          </w:tcPr>
          <w:p w:rsidR="00A0586F" w:rsidRPr="00622E32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0.50</w:t>
            </w:r>
          </w:p>
        </w:tc>
      </w:tr>
      <w:tr w:rsidR="00A0586F" w:rsidRPr="00622E32" w:rsidTr="002D31B2">
        <w:trPr>
          <w:trHeight w:val="231"/>
          <w:jc w:val="center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2B5BFD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Digoxin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2B5BFD">
            <w:pPr>
              <w:spacing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0.960 (0.852 – 1.071)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2B5BF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0.43</w:t>
            </w:r>
          </w:p>
        </w:tc>
      </w:tr>
    </w:tbl>
    <w:p w:rsidR="00A0586F" w:rsidRPr="00622E32" w:rsidRDefault="00A0586F" w:rsidP="009463D0">
      <w:pPr>
        <w:spacing w:before="120" w:after="0"/>
        <w:ind w:left="-284" w:right="-286"/>
        <w:jc w:val="both"/>
        <w:rPr>
          <w:rFonts w:ascii="Times New Roman" w:hAnsi="Times New Roman"/>
          <w:lang w:val="en-US"/>
        </w:rPr>
      </w:pPr>
      <w:r w:rsidRPr="00622E32">
        <w:rPr>
          <w:rFonts w:ascii="Times New Roman" w:hAnsi="Times New Roman"/>
          <w:lang w:val="en-US"/>
        </w:rPr>
        <w:t>Odds ratios (</w:t>
      </w:r>
      <w:r w:rsidRPr="00622E32">
        <w:rPr>
          <w:rFonts w:ascii="Times New Roman" w:hAnsi="Times New Roman"/>
          <w:i/>
          <w:lang w:val="en-US"/>
        </w:rPr>
        <w:t>OR</w:t>
      </w:r>
      <w:r w:rsidRPr="00622E32">
        <w:rPr>
          <w:rFonts w:ascii="Times New Roman" w:hAnsi="Times New Roman"/>
          <w:lang w:val="en-US"/>
        </w:rPr>
        <w:t xml:space="preserve">) and </w:t>
      </w:r>
      <w:r w:rsidRPr="00622E32">
        <w:rPr>
          <w:rFonts w:ascii="Times New Roman" w:hAnsi="Times New Roman"/>
          <w:i/>
          <w:lang w:val="en-US"/>
        </w:rPr>
        <w:t>p</w:t>
      </w:r>
      <w:r w:rsidRPr="00622E32">
        <w:rPr>
          <w:rFonts w:ascii="Times New Roman" w:hAnsi="Times New Roman"/>
          <w:lang w:val="en-US"/>
        </w:rPr>
        <w:t xml:space="preserve"> values were obtained from the logistic regression analysis. </w:t>
      </w:r>
      <w:r w:rsidRPr="00622E32">
        <w:rPr>
          <w:rFonts w:ascii="Times New Roman" w:hAnsi="Times New Roman"/>
          <w:i/>
          <w:lang w:val="en-US"/>
        </w:rPr>
        <w:t>CI</w:t>
      </w:r>
      <w:r w:rsidRPr="00622E32">
        <w:rPr>
          <w:rFonts w:ascii="Times New Roman" w:hAnsi="Times New Roman"/>
          <w:lang w:val="en-US"/>
        </w:rPr>
        <w:t xml:space="preserve">: Confidence Interval, </w:t>
      </w:r>
      <w:r w:rsidRPr="00622E32">
        <w:rPr>
          <w:rFonts w:ascii="Times New Roman" w:hAnsi="Times New Roman"/>
          <w:i/>
          <w:lang w:val="en-US"/>
        </w:rPr>
        <w:t>LVEF</w:t>
      </w:r>
      <w:r w:rsidRPr="00622E32">
        <w:rPr>
          <w:rFonts w:ascii="Times New Roman" w:hAnsi="Times New Roman"/>
          <w:lang w:val="en-US"/>
        </w:rPr>
        <w:t xml:space="preserve">: left ventricular ejection fraction, </w:t>
      </w:r>
      <w:r w:rsidRPr="00622E32">
        <w:rPr>
          <w:rFonts w:ascii="Times New Roman" w:hAnsi="Times New Roman"/>
          <w:i/>
          <w:lang w:val="en-US"/>
        </w:rPr>
        <w:t>AMI</w:t>
      </w:r>
      <w:r w:rsidRPr="00622E32">
        <w:rPr>
          <w:rFonts w:ascii="Times New Roman" w:hAnsi="Times New Roman"/>
          <w:lang w:val="en-US"/>
        </w:rPr>
        <w:t xml:space="preserve">: acute myocardial infarction, </w:t>
      </w:r>
      <w:r w:rsidRPr="00622E32">
        <w:rPr>
          <w:rFonts w:ascii="Times New Roman" w:hAnsi="Times New Roman"/>
          <w:i/>
          <w:lang w:val="en-US"/>
        </w:rPr>
        <w:t>ARB</w:t>
      </w:r>
      <w:r w:rsidRPr="00622E32">
        <w:rPr>
          <w:rFonts w:ascii="Times New Roman" w:hAnsi="Times New Roman"/>
          <w:lang w:val="en-US"/>
        </w:rPr>
        <w:t xml:space="preserve">: angiotensin II receptor I blocker, </w:t>
      </w:r>
      <w:r w:rsidRPr="00622E32">
        <w:rPr>
          <w:rFonts w:ascii="Times New Roman" w:hAnsi="Times New Roman"/>
          <w:i/>
          <w:lang w:val="en-US"/>
        </w:rPr>
        <w:t>ACEI</w:t>
      </w:r>
      <w:r w:rsidRPr="00622E32">
        <w:rPr>
          <w:rFonts w:ascii="Times New Roman" w:hAnsi="Times New Roman"/>
          <w:lang w:val="en-US"/>
        </w:rPr>
        <w:t>: angiotensin converting enzyme-inhibitor</w:t>
      </w:r>
    </w:p>
    <w:p w:rsidR="00A0586F" w:rsidRDefault="00A0586F" w:rsidP="007E6CA6">
      <w:pPr>
        <w:spacing w:after="20"/>
        <w:ind w:left="-284"/>
        <w:jc w:val="both"/>
        <w:rPr>
          <w:rFonts w:ascii="Times New Roman" w:hAnsi="Times New Roman"/>
          <w:lang w:val="en-US"/>
        </w:rPr>
      </w:pPr>
      <w:r w:rsidRPr="00622E32">
        <w:rPr>
          <w:rFonts w:ascii="Times New Roman" w:hAnsi="Times New Roman"/>
          <w:lang w:val="en-US"/>
        </w:rPr>
        <w:t>* The use of each drug was included as dichotomous variable</w:t>
      </w:r>
    </w:p>
    <w:p w:rsidR="005E2473" w:rsidRPr="00E26ECE" w:rsidRDefault="005E2473" w:rsidP="009463D0">
      <w:pPr>
        <w:spacing w:after="160"/>
        <w:ind w:left="-284"/>
        <w:jc w:val="both"/>
        <w:rPr>
          <w:rFonts w:ascii="Times New Roman" w:hAnsi="Times New Roman"/>
          <w:lang w:val="en-US"/>
        </w:rPr>
      </w:pPr>
      <w:r w:rsidRPr="00E26ECE">
        <w:rPr>
          <w:rFonts w:ascii="Times New Roman" w:hAnsi="Times New Roman"/>
          <w:vertAlign w:val="superscript"/>
          <w:lang w:val="en-US"/>
        </w:rPr>
        <w:t>†</w:t>
      </w:r>
      <w:r w:rsidRPr="00E26ECE">
        <w:rPr>
          <w:rFonts w:ascii="Times New Roman" w:hAnsi="Times New Roman"/>
          <w:lang w:val="en-US"/>
        </w:rPr>
        <w:t xml:space="preserve"> Statistically significant differences (</w:t>
      </w:r>
      <w:r w:rsidRPr="00E26ECE">
        <w:rPr>
          <w:rFonts w:ascii="Times New Roman" w:hAnsi="Times New Roman"/>
          <w:i/>
          <w:lang w:val="en-US"/>
        </w:rPr>
        <w:t>p</w:t>
      </w:r>
      <w:r w:rsidRPr="00E26ECE">
        <w:rPr>
          <w:rFonts w:ascii="Times New Roman" w:hAnsi="Times New Roman"/>
          <w:lang w:val="en-US"/>
        </w:rPr>
        <w:t>&lt;0.05)</w:t>
      </w:r>
    </w:p>
    <w:p w:rsidR="00A0586F" w:rsidRPr="00622E32" w:rsidRDefault="00C15570" w:rsidP="00A0586F">
      <w:pPr>
        <w:spacing w:after="120" w:line="360" w:lineRule="auto"/>
        <w:ind w:left="-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lastRenderedPageBreak/>
        <w:t>Table S.3</w:t>
      </w:r>
    </w:p>
    <w:p w:rsidR="00A0586F" w:rsidRPr="00622E32" w:rsidRDefault="00A0586F" w:rsidP="00F90334">
      <w:pPr>
        <w:spacing w:after="120" w:line="360" w:lineRule="auto"/>
        <w:ind w:left="-567" w:right="-569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sz w:val="24"/>
          <w:szCs w:val="24"/>
          <w:lang w:val="en-US"/>
        </w:rPr>
        <w:t>Multivariate analysis of the predicting association of clinical factors with occurrence of hyponatremia (Model 2*)</w:t>
      </w:r>
    </w:p>
    <w:tbl>
      <w:tblPr>
        <w:tblW w:w="10284" w:type="dxa"/>
        <w:jc w:val="center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3321"/>
        <w:gridCol w:w="3510"/>
        <w:gridCol w:w="3453"/>
      </w:tblGrid>
      <w:tr w:rsidR="00A0586F" w:rsidRPr="00622E32" w:rsidTr="002D31B2">
        <w:trPr>
          <w:trHeight w:val="488"/>
          <w:jc w:val="center"/>
        </w:trPr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2B5BFD">
            <w:pPr>
              <w:spacing w:after="160" w:line="256" w:lineRule="auto"/>
              <w:rPr>
                <w:rFonts w:eastAsiaTheme="minorEastAsia"/>
                <w:lang w:val="en-US" w:eastAsia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2B5BFD">
            <w:pPr>
              <w:spacing w:before="120" w:after="0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D03BA0">
              <w:rPr>
                <w:rFonts w:ascii="Times New Roman" w:hAnsi="Times New Roman"/>
                <w:i/>
                <w:lang w:val="en-US"/>
              </w:rPr>
              <w:t>OR</w:t>
            </w:r>
            <w:r w:rsidRPr="00622E32">
              <w:rPr>
                <w:rFonts w:ascii="Times New Roman" w:hAnsi="Times New Roman"/>
                <w:lang w:val="en-US"/>
              </w:rPr>
              <w:t xml:space="preserve"> (95% </w:t>
            </w:r>
            <w:r w:rsidRPr="00D03BA0">
              <w:rPr>
                <w:rFonts w:ascii="Times New Roman" w:hAnsi="Times New Roman"/>
                <w:i/>
                <w:lang w:val="en-US"/>
              </w:rPr>
              <w:t>CI</w:t>
            </w:r>
            <w:r w:rsidRPr="00622E3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2B5BFD">
            <w:pPr>
              <w:spacing w:before="120" w:after="0"/>
              <w:ind w:left="-57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622E32">
              <w:rPr>
                <w:rFonts w:ascii="Times New Roman" w:hAnsi="Times New Roman"/>
                <w:i/>
                <w:lang w:val="en-US"/>
              </w:rPr>
              <w:t>p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Age (per 10-year increase)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1.115 (1.006 – 1.239)</w:t>
            </w:r>
          </w:p>
        </w:tc>
        <w:tc>
          <w:tcPr>
            <w:tcW w:w="3453" w:type="dxa"/>
            <w:hideMark/>
          </w:tcPr>
          <w:p w:rsidR="00A0586F" w:rsidRPr="00E26ECE" w:rsidRDefault="00A0586F" w:rsidP="005E2473">
            <w:pPr>
              <w:spacing w:after="0"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0.03</w:t>
            </w:r>
            <w:r w:rsidR="005E2473" w:rsidRPr="00E26ECE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Alcohol consumption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1.114 (1.007 – 1.146)</w:t>
            </w:r>
          </w:p>
        </w:tc>
        <w:tc>
          <w:tcPr>
            <w:tcW w:w="3453" w:type="dxa"/>
            <w:hideMark/>
          </w:tcPr>
          <w:p w:rsidR="00A0586F" w:rsidRPr="00E26ECE" w:rsidRDefault="00A0586F" w:rsidP="005E2473">
            <w:pPr>
              <w:spacing w:after="0"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0.03</w:t>
            </w:r>
            <w:r w:rsidR="005E2473" w:rsidRPr="00E26ECE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Male sex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0.939 (0.853 – 1.041)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0.24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Kidney failure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1.043 (0.943 – 1.158)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0.39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LVEF ≤ 45%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0.945 (0.994 – 1.001)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0.27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Arterial hypertension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0.934 (0.841 – 1.035)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0.19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Diabetes mellitus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1.109 (1.003 – 1.224)</w:t>
            </w:r>
          </w:p>
        </w:tc>
        <w:tc>
          <w:tcPr>
            <w:tcW w:w="3453" w:type="dxa"/>
            <w:hideMark/>
          </w:tcPr>
          <w:p w:rsidR="00A0586F" w:rsidRPr="00E26ECE" w:rsidRDefault="00A0586F" w:rsidP="005E2473">
            <w:pPr>
              <w:spacing w:after="0"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0.04</w:t>
            </w:r>
            <w:r w:rsidR="005E2473" w:rsidRPr="00E26ECE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Previous AMI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1.057 (0.949 – 1.198)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0.28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Current smoking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1.066 (0.947 – 1.255)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0.22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u w:val="single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Furosemide + spironolactone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1.113 (1.007 – 1.272)</w:t>
            </w:r>
          </w:p>
        </w:tc>
        <w:tc>
          <w:tcPr>
            <w:tcW w:w="3453" w:type="dxa"/>
            <w:hideMark/>
          </w:tcPr>
          <w:p w:rsidR="00A0586F" w:rsidRPr="00E26ECE" w:rsidRDefault="00A0586F" w:rsidP="005E2473">
            <w:pPr>
              <w:spacing w:after="0"/>
              <w:ind w:left="57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0.04</w:t>
            </w:r>
            <w:r w:rsidR="005E2473" w:rsidRPr="00E26ECE">
              <w:rPr>
                <w:rFonts w:ascii="Times New Roman" w:hAnsi="Times New Roman"/>
                <w:vertAlign w:val="superscript"/>
                <w:lang w:val="en-US"/>
              </w:rPr>
              <w:t>†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Hydrochlorothiazide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0.930 (0.810 – 1.036)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0.16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β-blocker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0.984 (0.899 – 1.079)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0.75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Calcium antagonist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0.923 (0.814 – 1.023)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0.12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ARB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1.053 (0.931 – 1.258)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0.30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ACEI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1.067 (0.966 – 1.173)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0.21</w:t>
            </w:r>
          </w:p>
        </w:tc>
      </w:tr>
      <w:tr w:rsidR="00A0586F" w:rsidRPr="00622E32" w:rsidTr="002D31B2">
        <w:trPr>
          <w:trHeight w:val="374"/>
          <w:jc w:val="center"/>
        </w:trPr>
        <w:tc>
          <w:tcPr>
            <w:tcW w:w="3321" w:type="dxa"/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Aspirin</w:t>
            </w:r>
          </w:p>
        </w:tc>
        <w:tc>
          <w:tcPr>
            <w:tcW w:w="3510" w:type="dxa"/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0.973 (0.881 – 1.073)</w:t>
            </w:r>
          </w:p>
        </w:tc>
        <w:tc>
          <w:tcPr>
            <w:tcW w:w="3453" w:type="dxa"/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0.58</w:t>
            </w:r>
          </w:p>
        </w:tc>
      </w:tr>
      <w:tr w:rsidR="00A0586F" w:rsidRPr="00622E32" w:rsidTr="002D31B2">
        <w:trPr>
          <w:trHeight w:val="288"/>
          <w:jc w:val="center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1B1801">
            <w:pPr>
              <w:spacing w:after="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Digoxin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86F" w:rsidRPr="00622E32" w:rsidRDefault="00A0586F" w:rsidP="001B1801">
            <w:pPr>
              <w:spacing w:after="0"/>
              <w:ind w:left="397"/>
              <w:jc w:val="center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0.955 (0.848 – 1.062)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586F" w:rsidRPr="00E26ECE" w:rsidRDefault="00A0586F" w:rsidP="001B180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0.36</w:t>
            </w:r>
          </w:p>
        </w:tc>
      </w:tr>
    </w:tbl>
    <w:p w:rsidR="00A0586F" w:rsidRPr="00622E32" w:rsidRDefault="00A0586F" w:rsidP="009463D0">
      <w:pPr>
        <w:spacing w:before="120" w:after="0"/>
        <w:ind w:left="-567" w:right="-569"/>
        <w:jc w:val="both"/>
        <w:rPr>
          <w:rFonts w:ascii="Times New Roman" w:hAnsi="Times New Roman"/>
          <w:lang w:val="en-US"/>
        </w:rPr>
      </w:pPr>
      <w:r w:rsidRPr="00622E32">
        <w:rPr>
          <w:rFonts w:ascii="Times New Roman" w:hAnsi="Times New Roman"/>
          <w:lang w:val="en-US"/>
        </w:rPr>
        <w:t>Odds ratios (</w:t>
      </w:r>
      <w:r w:rsidRPr="00622E32">
        <w:rPr>
          <w:rFonts w:ascii="Times New Roman" w:hAnsi="Times New Roman"/>
          <w:i/>
          <w:lang w:val="en-US"/>
        </w:rPr>
        <w:t>OR</w:t>
      </w:r>
      <w:r w:rsidRPr="00622E32">
        <w:rPr>
          <w:rFonts w:ascii="Times New Roman" w:hAnsi="Times New Roman"/>
          <w:lang w:val="en-US"/>
        </w:rPr>
        <w:t xml:space="preserve">) and </w:t>
      </w:r>
      <w:r w:rsidRPr="00622E32">
        <w:rPr>
          <w:rFonts w:ascii="Times New Roman" w:hAnsi="Times New Roman"/>
          <w:i/>
          <w:lang w:val="en-US"/>
        </w:rPr>
        <w:t>p</w:t>
      </w:r>
      <w:r w:rsidRPr="00622E32">
        <w:rPr>
          <w:rFonts w:ascii="Times New Roman" w:hAnsi="Times New Roman"/>
          <w:lang w:val="en-US"/>
        </w:rPr>
        <w:t xml:space="preserve"> values were obtained from the logistic regression analysis. </w:t>
      </w:r>
      <w:r w:rsidRPr="00622E32">
        <w:rPr>
          <w:rFonts w:ascii="Times New Roman" w:hAnsi="Times New Roman"/>
          <w:i/>
          <w:lang w:val="en-US"/>
        </w:rPr>
        <w:t>CI</w:t>
      </w:r>
      <w:r w:rsidRPr="00622E32">
        <w:rPr>
          <w:rFonts w:ascii="Times New Roman" w:hAnsi="Times New Roman"/>
          <w:lang w:val="en-US"/>
        </w:rPr>
        <w:t xml:space="preserve">: Confidence Interval, </w:t>
      </w:r>
      <w:r w:rsidRPr="00622E32">
        <w:rPr>
          <w:rFonts w:ascii="Times New Roman" w:hAnsi="Times New Roman"/>
          <w:i/>
          <w:lang w:val="en-US"/>
        </w:rPr>
        <w:t>LVEF</w:t>
      </w:r>
      <w:r w:rsidRPr="00622E32">
        <w:rPr>
          <w:rFonts w:ascii="Times New Roman" w:hAnsi="Times New Roman"/>
          <w:lang w:val="en-US"/>
        </w:rPr>
        <w:t xml:space="preserve">: left ventricular ejection fraction, </w:t>
      </w:r>
      <w:r w:rsidRPr="00622E32">
        <w:rPr>
          <w:rFonts w:ascii="Times New Roman" w:hAnsi="Times New Roman"/>
          <w:i/>
          <w:lang w:val="en-US"/>
        </w:rPr>
        <w:t>AMI</w:t>
      </w:r>
      <w:r w:rsidRPr="00622E32">
        <w:rPr>
          <w:rFonts w:ascii="Times New Roman" w:hAnsi="Times New Roman"/>
          <w:lang w:val="en-US"/>
        </w:rPr>
        <w:t xml:space="preserve">: acute myocardial infarction, </w:t>
      </w:r>
      <w:r w:rsidRPr="00622E32">
        <w:rPr>
          <w:rFonts w:ascii="Times New Roman" w:hAnsi="Times New Roman"/>
          <w:i/>
          <w:lang w:val="en-US"/>
        </w:rPr>
        <w:t>ARB</w:t>
      </w:r>
      <w:r w:rsidRPr="00622E32">
        <w:rPr>
          <w:rFonts w:ascii="Times New Roman" w:hAnsi="Times New Roman"/>
          <w:lang w:val="en-US"/>
        </w:rPr>
        <w:t xml:space="preserve">: angiotensin II receptor I blocker, </w:t>
      </w:r>
      <w:r w:rsidRPr="00622E32">
        <w:rPr>
          <w:rFonts w:ascii="Times New Roman" w:hAnsi="Times New Roman"/>
          <w:i/>
          <w:lang w:val="en-US"/>
        </w:rPr>
        <w:t>ACEI</w:t>
      </w:r>
      <w:r w:rsidRPr="00622E32">
        <w:rPr>
          <w:rFonts w:ascii="Times New Roman" w:hAnsi="Times New Roman"/>
          <w:lang w:val="en-US"/>
        </w:rPr>
        <w:t>: angiotensin converting enzyme-inhibitor</w:t>
      </w:r>
    </w:p>
    <w:p w:rsidR="00D03BA0" w:rsidRDefault="00A0586F" w:rsidP="009463D0">
      <w:pPr>
        <w:spacing w:after="0"/>
        <w:ind w:left="-567" w:right="-569"/>
        <w:jc w:val="both"/>
        <w:rPr>
          <w:rFonts w:ascii="Times New Roman" w:hAnsi="Times New Roman"/>
          <w:lang w:val="en-US"/>
        </w:rPr>
      </w:pPr>
      <w:r w:rsidRPr="00622E32">
        <w:rPr>
          <w:rFonts w:ascii="Times New Roman" w:hAnsi="Times New Roman"/>
          <w:lang w:val="en-US"/>
        </w:rPr>
        <w:t xml:space="preserve">* The use of each drug, as well as combination of furosemide and spironolactone, were included as </w:t>
      </w:r>
    </w:p>
    <w:p w:rsidR="00912E6B" w:rsidRDefault="00A0586F" w:rsidP="009463D0">
      <w:pPr>
        <w:spacing w:after="0"/>
        <w:ind w:left="-567" w:right="-569"/>
        <w:jc w:val="both"/>
        <w:rPr>
          <w:rFonts w:ascii="Times New Roman" w:hAnsi="Times New Roman"/>
          <w:lang w:val="en-US"/>
        </w:rPr>
      </w:pPr>
      <w:r w:rsidRPr="00622E32">
        <w:rPr>
          <w:rFonts w:ascii="Times New Roman" w:hAnsi="Times New Roman"/>
          <w:lang w:val="en-US"/>
        </w:rPr>
        <w:t>dichotomous variable</w:t>
      </w:r>
    </w:p>
    <w:p w:rsidR="005E2473" w:rsidRPr="00E26ECE" w:rsidRDefault="005E2473" w:rsidP="009463D0">
      <w:pPr>
        <w:spacing w:after="0"/>
        <w:ind w:left="-567" w:right="-569"/>
        <w:jc w:val="both"/>
        <w:rPr>
          <w:rFonts w:ascii="Times New Roman" w:hAnsi="Times New Roman"/>
          <w:lang w:val="en-US"/>
        </w:rPr>
        <w:sectPr w:rsidR="005E2473" w:rsidRPr="00E26ECE" w:rsidSect="002D31B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E26ECE">
        <w:rPr>
          <w:rFonts w:ascii="Times New Roman" w:hAnsi="Times New Roman"/>
          <w:vertAlign w:val="superscript"/>
          <w:lang w:val="en-US"/>
        </w:rPr>
        <w:t>†</w:t>
      </w:r>
      <w:r w:rsidRPr="00E26ECE">
        <w:rPr>
          <w:rFonts w:ascii="Times New Roman" w:hAnsi="Times New Roman"/>
          <w:lang w:val="en-US"/>
        </w:rPr>
        <w:t xml:space="preserve"> </w:t>
      </w:r>
      <w:r w:rsidRPr="00E26ECE">
        <w:rPr>
          <w:rFonts w:ascii="Times New Roman" w:hAnsi="Times New Roman"/>
        </w:rPr>
        <w:t>Statistically significant differences</w:t>
      </w:r>
      <w:r w:rsidRPr="00E26ECE">
        <w:rPr>
          <w:rFonts w:ascii="Times New Roman" w:hAnsi="Times New Roman"/>
          <w:lang w:val="en-US"/>
        </w:rPr>
        <w:t xml:space="preserve"> (</w:t>
      </w:r>
      <w:r w:rsidRPr="00E26ECE">
        <w:rPr>
          <w:rFonts w:ascii="Times New Roman" w:hAnsi="Times New Roman"/>
          <w:i/>
          <w:lang w:val="en-US"/>
        </w:rPr>
        <w:t>p</w:t>
      </w:r>
      <w:r w:rsidRPr="00E26ECE">
        <w:rPr>
          <w:rFonts w:ascii="Times New Roman" w:hAnsi="Times New Roman"/>
          <w:lang w:val="en-US"/>
        </w:rPr>
        <w:t>&lt;0.05)</w:t>
      </w:r>
    </w:p>
    <w:p w:rsidR="00A0586F" w:rsidRPr="00622E32" w:rsidRDefault="00A0586F" w:rsidP="001E797B">
      <w:pPr>
        <w:spacing w:after="120" w:line="360" w:lineRule="auto"/>
        <w:ind w:left="851" w:right="281" w:hanging="102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22E32">
        <w:rPr>
          <w:rFonts w:ascii="Times New Roman" w:hAnsi="Times New Roman"/>
          <w:b/>
          <w:sz w:val="24"/>
          <w:szCs w:val="24"/>
          <w:lang w:val="en-US"/>
        </w:rPr>
        <w:lastRenderedPageBreak/>
        <w:t>Table S.</w:t>
      </w:r>
      <w:r w:rsidR="00C15570" w:rsidRPr="00622E32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A0586F" w:rsidRPr="00622E32" w:rsidRDefault="009923FD" w:rsidP="001B1801">
      <w:pPr>
        <w:spacing w:after="120" w:line="360" w:lineRule="auto"/>
        <w:ind w:left="851" w:right="-286" w:hanging="1021"/>
        <w:jc w:val="both"/>
        <w:rPr>
          <w:rFonts w:ascii="Times New Roman" w:hAnsi="Times New Roman"/>
          <w:sz w:val="24"/>
          <w:szCs w:val="24"/>
          <w:lang w:val="en-US"/>
        </w:rPr>
      </w:pPr>
      <w:r w:rsidRPr="00622E32">
        <w:rPr>
          <w:rFonts w:ascii="Times New Roman" w:hAnsi="Times New Roman"/>
          <w:sz w:val="24"/>
          <w:szCs w:val="24"/>
          <w:lang w:val="en-US"/>
        </w:rPr>
        <w:t>M</w:t>
      </w:r>
      <w:r w:rsidR="00813B2F">
        <w:rPr>
          <w:rFonts w:ascii="Times New Roman" w:hAnsi="Times New Roman"/>
          <w:sz w:val="24"/>
          <w:szCs w:val="24"/>
          <w:lang w:val="en-US"/>
        </w:rPr>
        <w:t>ultivariate</w:t>
      </w:r>
      <w:r w:rsidR="009C133F" w:rsidRPr="00622E32">
        <w:rPr>
          <w:rFonts w:ascii="Times New Roman" w:hAnsi="Times New Roman"/>
          <w:sz w:val="24"/>
          <w:szCs w:val="24"/>
          <w:lang w:val="en-US"/>
        </w:rPr>
        <w:t xml:space="preserve"> analysis </w:t>
      </w:r>
      <w:r w:rsidR="00813B2F">
        <w:rPr>
          <w:rFonts w:ascii="Times New Roman" w:hAnsi="Times New Roman"/>
          <w:sz w:val="24"/>
          <w:szCs w:val="24"/>
          <w:lang w:val="en-US"/>
        </w:rPr>
        <w:t>of</w:t>
      </w:r>
      <w:r w:rsidR="009C133F" w:rsidRPr="00622E32">
        <w:rPr>
          <w:rFonts w:ascii="Times New Roman" w:hAnsi="Times New Roman"/>
          <w:sz w:val="24"/>
          <w:szCs w:val="24"/>
          <w:lang w:val="en-US"/>
        </w:rPr>
        <w:t xml:space="preserve"> the predicting association of </w:t>
      </w:r>
      <w:r w:rsidR="00AF799A" w:rsidRPr="00622E32">
        <w:rPr>
          <w:rFonts w:ascii="Times New Roman" w:hAnsi="Times New Roman"/>
          <w:sz w:val="24"/>
          <w:szCs w:val="24"/>
          <w:lang w:val="en-US"/>
        </w:rPr>
        <w:t xml:space="preserve">clinical factors </w:t>
      </w:r>
      <w:r w:rsidR="009C133F" w:rsidRPr="00622E32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F94E02" w:rsidRPr="00622E32">
        <w:rPr>
          <w:rFonts w:ascii="Times New Roman" w:hAnsi="Times New Roman"/>
          <w:sz w:val="24"/>
          <w:szCs w:val="24"/>
          <w:lang w:val="en-US"/>
        </w:rPr>
        <w:t>serum</w:t>
      </w:r>
      <w:r w:rsidR="00AF799A" w:rsidRPr="00622E32">
        <w:rPr>
          <w:rFonts w:ascii="Times New Roman" w:hAnsi="Times New Roman"/>
          <w:sz w:val="24"/>
          <w:szCs w:val="24"/>
          <w:lang w:val="en-US"/>
        </w:rPr>
        <w:t xml:space="preserve"> NT-</w:t>
      </w:r>
      <w:proofErr w:type="spellStart"/>
      <w:r w:rsidR="00AF799A" w:rsidRPr="00622E32">
        <w:rPr>
          <w:rFonts w:ascii="Times New Roman" w:hAnsi="Times New Roman"/>
          <w:sz w:val="24"/>
          <w:szCs w:val="24"/>
          <w:lang w:val="en-US"/>
        </w:rPr>
        <w:t>proBNP</w:t>
      </w:r>
      <w:proofErr w:type="spellEnd"/>
      <w:r w:rsidR="00F94E02" w:rsidRPr="00622E32">
        <w:rPr>
          <w:rFonts w:ascii="Times New Roman" w:hAnsi="Times New Roman"/>
          <w:sz w:val="24"/>
          <w:szCs w:val="24"/>
          <w:lang w:val="en-US"/>
        </w:rPr>
        <w:t xml:space="preserve"> levels</w:t>
      </w:r>
      <w:r w:rsidR="009C133F" w:rsidRPr="00622E32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390"/>
        <w:gridCol w:w="1494"/>
        <w:gridCol w:w="1047"/>
        <w:gridCol w:w="845"/>
        <w:gridCol w:w="1325"/>
        <w:gridCol w:w="1397"/>
      </w:tblGrid>
      <w:tr w:rsidR="001E797B" w:rsidRPr="00622E32" w:rsidTr="00682910">
        <w:trPr>
          <w:trHeight w:val="614"/>
        </w:trPr>
        <w:tc>
          <w:tcPr>
            <w:tcW w:w="3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before="160" w:after="12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Model 1*</w:t>
            </w:r>
          </w:p>
        </w:tc>
        <w:tc>
          <w:tcPr>
            <w:tcW w:w="10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before="160" w:after="12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Model 2</w:t>
            </w:r>
            <w:r w:rsidR="00D03BA0" w:rsidRPr="00622E32">
              <w:rPr>
                <w:rFonts w:ascii="Times New Roman" w:hAnsi="Times New Roman"/>
                <w:lang w:val="en-US"/>
              </w:rPr>
              <w:t>**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797B" w:rsidRPr="00622E32" w:rsidTr="00682910">
        <w:trPr>
          <w:trHeight w:val="464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before="120" w:after="12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 w:cs="Times New Roman"/>
                <w:i/>
                <w:lang w:val="en-US"/>
              </w:rPr>
              <w:t>β</w:t>
            </w:r>
          </w:p>
        </w:tc>
        <w:tc>
          <w:tcPr>
            <w:tcW w:w="10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before="120" w:after="120" w:line="276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622E32">
              <w:rPr>
                <w:rFonts w:ascii="Times New Roman" w:hAnsi="Times New Roman"/>
                <w:i/>
                <w:lang w:val="en-US"/>
              </w:rPr>
              <w:t>p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before="120" w:after="120" w:line="276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622E32">
              <w:rPr>
                <w:rFonts w:ascii="Times New Roman" w:hAnsi="Times New Roman" w:cs="Times New Roman"/>
                <w:i/>
                <w:lang w:val="en-US"/>
              </w:rPr>
              <w:t>β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E797B">
            <w:pPr>
              <w:spacing w:before="120" w:after="120" w:line="276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622E32">
              <w:rPr>
                <w:rFonts w:ascii="Times New Roman" w:hAnsi="Times New Roman"/>
                <w:i/>
                <w:lang w:val="en-US"/>
              </w:rPr>
              <w:t>p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Predictors</w:t>
            </w:r>
          </w:p>
        </w:tc>
        <w:tc>
          <w:tcPr>
            <w:tcW w:w="14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797B" w:rsidRPr="00622E32" w:rsidTr="00682910">
        <w:trPr>
          <w:trHeight w:val="69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Age (years)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0.078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0.39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0.095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0.32</w:t>
            </w:r>
          </w:p>
        </w:tc>
      </w:tr>
      <w:tr w:rsidR="001E797B" w:rsidRPr="00622E32" w:rsidTr="00682910">
        <w:trPr>
          <w:trHeight w:val="69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Alcohol consumption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0.034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0.69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0.030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0.73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Male sex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-0.104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0.24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</w:t>
            </w:r>
            <w:r w:rsidRPr="00E26ECE">
              <w:rPr>
                <w:rFonts w:ascii="Times New Roman" w:hAnsi="Times New Roman"/>
                <w:sz w:val="20"/>
                <w:szCs w:val="20"/>
                <w:lang w:val="en-US"/>
              </w:rPr>
              <w:t>049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0.59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GFR (ml/min/1.73 m</w:t>
            </w:r>
            <w:r w:rsidRPr="00622E32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622E3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-0.458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-113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 w:cs="Times New Roman"/>
                <w:lang w:val="en-US"/>
              </w:rPr>
              <w:t>&lt;</w:t>
            </w:r>
            <w:r w:rsidRPr="00E26ECE">
              <w:rPr>
                <w:rFonts w:ascii="Times New Roman" w:hAnsi="Times New Roman"/>
                <w:lang w:val="en-US"/>
              </w:rPr>
              <w:t>0.0001</w:t>
            </w:r>
            <w:r w:rsidR="00D03BA0" w:rsidRPr="00E26ECE">
              <w:rPr>
                <w:rFonts w:ascii="Times New Roman" w:hAnsi="Times New Roman"/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-0.492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-113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 w:cs="Times New Roman"/>
                <w:lang w:val="en-US"/>
              </w:rPr>
              <w:t>&lt;</w:t>
            </w:r>
            <w:r w:rsidRPr="00E26ECE">
              <w:rPr>
                <w:rFonts w:ascii="Times New Roman" w:hAnsi="Times New Roman"/>
                <w:lang w:val="en-US"/>
              </w:rPr>
              <w:t>0.0001</w:t>
            </w:r>
            <w:r w:rsidR="00D03BA0" w:rsidRPr="00E26ECE">
              <w:rPr>
                <w:rFonts w:ascii="Times New Roman" w:hAnsi="Times New Roman"/>
                <w:sz w:val="21"/>
                <w:szCs w:val="21"/>
                <w:vertAlign w:val="superscript"/>
              </w:rPr>
              <w:t>†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LVEF (%)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-0.173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0.04</w:t>
            </w:r>
            <w:r w:rsidR="00D03BA0" w:rsidRPr="00E26ECE">
              <w:rPr>
                <w:rFonts w:ascii="Times New Roman" w:hAnsi="Times New Roman"/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-0.193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0.02</w:t>
            </w:r>
            <w:r w:rsidR="00D03BA0" w:rsidRPr="00E26ECE">
              <w:rPr>
                <w:rFonts w:ascii="Times New Roman" w:hAnsi="Times New Roman"/>
                <w:sz w:val="21"/>
                <w:szCs w:val="21"/>
                <w:vertAlign w:val="superscript"/>
              </w:rPr>
              <w:t>†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Cardiac troponin I (ng/ml)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0.177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0.04</w:t>
            </w:r>
            <w:r w:rsidR="00D03BA0" w:rsidRPr="00E26ECE">
              <w:rPr>
                <w:rFonts w:ascii="Times New Roman" w:hAnsi="Times New Roman"/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0.178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0.04</w:t>
            </w:r>
            <w:r w:rsidR="00D03BA0" w:rsidRPr="00E26ECE">
              <w:rPr>
                <w:rFonts w:ascii="Times New Roman" w:hAnsi="Times New Roman"/>
                <w:sz w:val="21"/>
                <w:szCs w:val="21"/>
                <w:vertAlign w:val="superscript"/>
              </w:rPr>
              <w:t>†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Arterial hypertension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0.051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0.58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0.077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0.42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Diabetes mellitus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0.057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0.52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0.027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0.76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Previous AMI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-0.002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0.98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0.008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0.93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Current smoking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0.031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0.71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0.052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0.54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Furosemide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0.037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0.71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0.006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0.95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Spironolactone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0.312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-113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 w:cs="Times New Roman"/>
                <w:lang w:val="en-US"/>
              </w:rPr>
              <w:t>&lt;</w:t>
            </w:r>
            <w:r w:rsidRPr="00E26ECE">
              <w:rPr>
                <w:rFonts w:ascii="Times New Roman" w:hAnsi="Times New Roman"/>
                <w:lang w:val="en-US"/>
              </w:rPr>
              <w:t>0.0001</w:t>
            </w:r>
            <w:r w:rsidR="00D03BA0" w:rsidRPr="00E26ECE">
              <w:rPr>
                <w:rFonts w:ascii="Times New Roman" w:hAnsi="Times New Roman"/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0.275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0.003</w:t>
            </w:r>
            <w:r w:rsidR="00D03BA0" w:rsidRPr="00E26ECE">
              <w:rPr>
                <w:rFonts w:ascii="Times New Roman" w:hAnsi="Times New Roman"/>
                <w:sz w:val="21"/>
                <w:szCs w:val="21"/>
                <w:vertAlign w:val="superscript"/>
              </w:rPr>
              <w:t>†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Hydrochlorothiazide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0.035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0.67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ind w:left="57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0.064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0.44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Calcium antagonist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-0.130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-0.129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0.15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ARB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-0.168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0.053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-0.173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0.051</w:t>
            </w:r>
          </w:p>
        </w:tc>
      </w:tr>
      <w:tr w:rsidR="001E797B" w:rsidRPr="00622E32" w:rsidTr="00682910">
        <w:trPr>
          <w:trHeight w:val="505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ACEI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-0.096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0.27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-0.090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0.31</w:t>
            </w:r>
          </w:p>
        </w:tc>
      </w:tr>
      <w:tr w:rsidR="001E797B" w:rsidRPr="00622E32" w:rsidTr="00682910">
        <w:trPr>
          <w:trHeight w:val="387"/>
        </w:trPr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622E32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622E32">
              <w:rPr>
                <w:rFonts w:ascii="Times New Roman" w:hAnsi="Times New Roman"/>
                <w:lang w:val="en-US"/>
              </w:rPr>
              <w:t>Digoxin</w:t>
            </w: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-0.079</w:t>
            </w:r>
          </w:p>
        </w:tc>
        <w:tc>
          <w:tcPr>
            <w:tcW w:w="10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0.38</w:t>
            </w:r>
          </w:p>
        </w:tc>
        <w:tc>
          <w:tcPr>
            <w:tcW w:w="8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-0.055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797B" w:rsidRPr="00E26ECE" w:rsidRDefault="001E797B" w:rsidP="001B1801">
            <w:pPr>
              <w:spacing w:before="160" w:after="120"/>
              <w:jc w:val="both"/>
              <w:rPr>
                <w:rFonts w:ascii="Times New Roman" w:hAnsi="Times New Roman"/>
                <w:lang w:val="en-US"/>
              </w:rPr>
            </w:pPr>
            <w:r w:rsidRPr="00E26ECE">
              <w:rPr>
                <w:rFonts w:ascii="Times New Roman" w:hAnsi="Times New Roman"/>
                <w:lang w:val="en-US"/>
              </w:rPr>
              <w:t>0.53</w:t>
            </w:r>
          </w:p>
        </w:tc>
      </w:tr>
    </w:tbl>
    <w:p w:rsidR="006020D1" w:rsidRPr="00622E32" w:rsidRDefault="00E83B72" w:rsidP="00682910">
      <w:pPr>
        <w:spacing w:beforeLines="40" w:before="96" w:after="0"/>
        <w:ind w:left="-142" w:right="-286"/>
        <w:jc w:val="both"/>
        <w:rPr>
          <w:rFonts w:ascii="Times New Roman" w:hAnsi="Times New Roman" w:cs="Times New Roman"/>
          <w:i/>
          <w:lang w:val="en-US"/>
        </w:rPr>
      </w:pPr>
      <w:r w:rsidRPr="00622E32">
        <w:rPr>
          <w:rFonts w:ascii="Times New Roman" w:hAnsi="Times New Roman" w:cs="Times New Roman"/>
          <w:i/>
          <w:lang w:val="en-US"/>
        </w:rPr>
        <w:t>NT-pro BNP</w:t>
      </w:r>
      <w:r w:rsidRPr="00622E32">
        <w:rPr>
          <w:rFonts w:ascii="Times New Roman" w:hAnsi="Times New Roman" w:cs="Times New Roman"/>
          <w:lang w:val="en-US"/>
        </w:rPr>
        <w:t xml:space="preserve">: N-terminal pro brain natriuretic peptide, </w:t>
      </w:r>
      <w:r w:rsidR="0060165A" w:rsidRPr="00622E32">
        <w:rPr>
          <w:rFonts w:ascii="Times New Roman" w:hAnsi="Times New Roman" w:cs="Times New Roman"/>
          <w:i/>
          <w:lang w:val="en-US"/>
        </w:rPr>
        <w:t>GFR</w:t>
      </w:r>
      <w:r w:rsidR="0060165A" w:rsidRPr="00622E32">
        <w:rPr>
          <w:rFonts w:ascii="Times New Roman" w:hAnsi="Times New Roman" w:cs="Times New Roman"/>
          <w:lang w:val="en-US"/>
        </w:rPr>
        <w:t xml:space="preserve">: glomerular filtration rate, </w:t>
      </w:r>
      <w:r w:rsidR="0060165A" w:rsidRPr="00622E32">
        <w:rPr>
          <w:rFonts w:ascii="Times New Roman" w:hAnsi="Times New Roman" w:cs="Times New Roman"/>
          <w:i/>
          <w:lang w:val="en-US"/>
        </w:rPr>
        <w:t>LVEF</w:t>
      </w:r>
      <w:r w:rsidR="0060165A" w:rsidRPr="00622E32">
        <w:rPr>
          <w:rFonts w:ascii="Times New Roman" w:hAnsi="Times New Roman" w:cs="Times New Roman"/>
          <w:lang w:val="en-US"/>
        </w:rPr>
        <w:t>: left ventricular ejection fraction</w:t>
      </w:r>
      <w:r w:rsidR="0018643F" w:rsidRPr="00622E32">
        <w:rPr>
          <w:rFonts w:ascii="Times New Roman" w:hAnsi="Times New Roman" w:cs="Times New Roman"/>
          <w:lang w:val="en-US"/>
        </w:rPr>
        <w:t xml:space="preserve">, </w:t>
      </w:r>
      <w:r w:rsidR="00622E32" w:rsidRPr="00622E32">
        <w:rPr>
          <w:rFonts w:ascii="Times New Roman" w:hAnsi="Times New Roman"/>
          <w:i/>
          <w:lang w:val="en-US"/>
        </w:rPr>
        <w:t>AMI</w:t>
      </w:r>
      <w:r w:rsidR="00622E32" w:rsidRPr="00622E32">
        <w:rPr>
          <w:rFonts w:ascii="Times New Roman" w:hAnsi="Times New Roman"/>
          <w:lang w:val="en-US"/>
        </w:rPr>
        <w:t>: acute myocardial infarction</w:t>
      </w:r>
      <w:r w:rsidR="00622E32">
        <w:rPr>
          <w:rFonts w:ascii="Times New Roman" w:hAnsi="Times New Roman" w:cs="Times New Roman"/>
          <w:i/>
          <w:lang w:val="en-US"/>
        </w:rPr>
        <w:t xml:space="preserve">, </w:t>
      </w:r>
      <w:r w:rsidR="0018643F" w:rsidRPr="00622E32">
        <w:rPr>
          <w:rFonts w:ascii="Times New Roman" w:hAnsi="Times New Roman" w:cs="Times New Roman"/>
          <w:i/>
          <w:lang w:val="en-US"/>
        </w:rPr>
        <w:t>ARB</w:t>
      </w:r>
      <w:r w:rsidR="0018643F" w:rsidRPr="00622E32">
        <w:rPr>
          <w:rFonts w:ascii="Times New Roman" w:hAnsi="Times New Roman" w:cs="Times New Roman"/>
          <w:lang w:val="en-US"/>
        </w:rPr>
        <w:t xml:space="preserve">: angiotensin II receptor I blocker, </w:t>
      </w:r>
      <w:r w:rsidR="0018643F" w:rsidRPr="00622E32">
        <w:rPr>
          <w:rFonts w:ascii="Times New Roman" w:hAnsi="Times New Roman" w:cs="Times New Roman"/>
          <w:i/>
          <w:lang w:val="en-US"/>
        </w:rPr>
        <w:t>ACEI</w:t>
      </w:r>
      <w:r w:rsidR="0018643F" w:rsidRPr="00622E32">
        <w:rPr>
          <w:rFonts w:ascii="Times New Roman" w:hAnsi="Times New Roman" w:cs="Times New Roman"/>
          <w:lang w:val="en-US"/>
        </w:rPr>
        <w:t>: angiotensin converting enzyme-inhibitor</w:t>
      </w:r>
      <w:r w:rsidR="008E66F0" w:rsidRPr="00622E32">
        <w:rPr>
          <w:rFonts w:ascii="Times New Roman" w:hAnsi="Times New Roman" w:cs="Times New Roman"/>
          <w:lang w:val="en-US"/>
        </w:rPr>
        <w:t>.</w:t>
      </w:r>
      <w:r w:rsidR="00622E32">
        <w:rPr>
          <w:rFonts w:ascii="Times New Roman" w:hAnsi="Times New Roman" w:cs="Times New Roman"/>
          <w:i/>
          <w:lang w:val="en-US"/>
        </w:rPr>
        <w:t xml:space="preserve"> </w:t>
      </w:r>
      <w:r w:rsidR="008E66F0" w:rsidRPr="00622E32">
        <w:rPr>
          <w:rFonts w:ascii="Times New Roman" w:hAnsi="Times New Roman" w:cs="Times New Roman"/>
          <w:i/>
          <w:lang w:val="en-US"/>
        </w:rPr>
        <w:t>β</w:t>
      </w:r>
      <w:r w:rsidR="008E66F0" w:rsidRPr="00622E32">
        <w:rPr>
          <w:rFonts w:ascii="Times New Roman" w:hAnsi="Times New Roman" w:cs="Times New Roman"/>
          <w:lang w:val="en-US"/>
        </w:rPr>
        <w:t xml:space="preserve"> and </w:t>
      </w:r>
      <w:r w:rsidR="008E66F0" w:rsidRPr="00622E32">
        <w:rPr>
          <w:rFonts w:ascii="Times New Roman" w:hAnsi="Times New Roman" w:cs="Times New Roman"/>
          <w:i/>
          <w:lang w:val="en-US"/>
        </w:rPr>
        <w:t>p</w:t>
      </w:r>
      <w:r w:rsidR="008E66F0" w:rsidRPr="00622E32">
        <w:rPr>
          <w:rFonts w:ascii="Times New Roman" w:hAnsi="Times New Roman" w:cs="Times New Roman"/>
          <w:lang w:val="en-US"/>
        </w:rPr>
        <w:t xml:space="preserve"> values were obtained from t</w:t>
      </w:r>
      <w:r w:rsidR="005E2473">
        <w:rPr>
          <w:rFonts w:ascii="Times New Roman" w:hAnsi="Times New Roman" w:cs="Times New Roman"/>
          <w:lang w:val="en-US"/>
        </w:rPr>
        <w:t>he multiple regression analysis</w:t>
      </w:r>
    </w:p>
    <w:p w:rsidR="00AA2A41" w:rsidRDefault="00AA2A41" w:rsidP="00682910">
      <w:pPr>
        <w:spacing w:beforeLines="20" w:before="48" w:after="0"/>
        <w:ind w:left="-142" w:right="-284"/>
        <w:jc w:val="both"/>
        <w:rPr>
          <w:rFonts w:ascii="Times New Roman" w:hAnsi="Times New Roman"/>
          <w:lang w:val="en-US"/>
        </w:rPr>
      </w:pPr>
      <w:r w:rsidRPr="00622E32">
        <w:rPr>
          <w:rFonts w:ascii="Times New Roman" w:hAnsi="Times New Roman"/>
          <w:lang w:val="en-US"/>
        </w:rPr>
        <w:t xml:space="preserve">* </w:t>
      </w:r>
      <w:r w:rsidR="001B1801">
        <w:rPr>
          <w:rFonts w:ascii="Times New Roman" w:hAnsi="Times New Roman"/>
          <w:lang w:val="en-US"/>
        </w:rPr>
        <w:t>Model 1 includes f</w:t>
      </w:r>
      <w:r w:rsidRPr="00622E32">
        <w:rPr>
          <w:rFonts w:ascii="Times New Roman" w:hAnsi="Times New Roman"/>
          <w:lang w:val="en-US"/>
        </w:rPr>
        <w:t xml:space="preserve">urosemide, spironolactone and hydrochlorothiazide </w:t>
      </w:r>
      <w:r w:rsidR="005E2473">
        <w:rPr>
          <w:rFonts w:ascii="Times New Roman" w:hAnsi="Times New Roman"/>
          <w:lang w:val="en-US"/>
        </w:rPr>
        <w:t>as dichotomous variables</w:t>
      </w:r>
    </w:p>
    <w:p w:rsidR="001E797B" w:rsidRPr="001B1801" w:rsidRDefault="00D03BA0" w:rsidP="00682910">
      <w:pPr>
        <w:spacing w:beforeLines="20" w:before="48" w:after="0"/>
        <w:ind w:left="-142" w:right="-284"/>
        <w:jc w:val="both"/>
        <w:rPr>
          <w:rFonts w:ascii="Times New Roman" w:hAnsi="Times New Roman"/>
        </w:rPr>
      </w:pPr>
      <w:r w:rsidRPr="00622E32">
        <w:rPr>
          <w:rFonts w:ascii="Times New Roman" w:hAnsi="Times New Roman"/>
          <w:lang w:val="en-US"/>
        </w:rPr>
        <w:lastRenderedPageBreak/>
        <w:t>**</w:t>
      </w:r>
      <w:r w:rsidR="001B1801">
        <w:rPr>
          <w:rFonts w:ascii="Times New Roman" w:hAnsi="Times New Roman"/>
        </w:rPr>
        <w:t xml:space="preserve"> Model 2 includes </w:t>
      </w:r>
      <w:r w:rsidR="001B1801">
        <w:rPr>
          <w:rFonts w:ascii="Times New Roman" w:hAnsi="Times New Roman"/>
          <w:lang w:val="en-US"/>
        </w:rPr>
        <w:t>f</w:t>
      </w:r>
      <w:r w:rsidR="001B1801" w:rsidRPr="00622E32">
        <w:rPr>
          <w:rFonts w:ascii="Times New Roman" w:hAnsi="Times New Roman"/>
          <w:lang w:val="en-US"/>
        </w:rPr>
        <w:t>urosemide, spironolactone and hydrochlorothiazide</w:t>
      </w:r>
      <w:r w:rsidR="001B1801">
        <w:rPr>
          <w:rFonts w:ascii="Times New Roman" w:hAnsi="Times New Roman"/>
          <w:lang w:val="en-US"/>
        </w:rPr>
        <w:t xml:space="preserve"> with their doses</w:t>
      </w:r>
      <w:r w:rsidR="0033196E">
        <w:rPr>
          <w:rFonts w:ascii="Times New Roman" w:hAnsi="Times New Roman"/>
          <w:lang w:val="en-US"/>
        </w:rPr>
        <w:t xml:space="preserve"> (mg)</w:t>
      </w:r>
    </w:p>
    <w:p w:rsidR="001B1801" w:rsidRPr="00E26ECE" w:rsidRDefault="001B1801" w:rsidP="00682910">
      <w:pPr>
        <w:spacing w:beforeLines="20" w:before="48" w:after="0"/>
        <w:ind w:left="-142" w:right="-284"/>
        <w:jc w:val="both"/>
        <w:rPr>
          <w:rFonts w:ascii="Times New Roman" w:hAnsi="Times New Roman" w:cs="Times New Roman"/>
          <w:lang w:val="en-US"/>
        </w:rPr>
      </w:pPr>
      <w:r w:rsidRPr="00E26ECE">
        <w:rPr>
          <w:rFonts w:ascii="Times New Roman" w:hAnsi="Times New Roman"/>
          <w:vertAlign w:val="superscript"/>
        </w:rPr>
        <w:t>†</w:t>
      </w:r>
      <w:r w:rsidR="00D03BA0" w:rsidRPr="00E26ECE">
        <w:rPr>
          <w:rFonts w:ascii="Times New Roman" w:hAnsi="Times New Roman"/>
          <w:sz w:val="21"/>
          <w:szCs w:val="21"/>
        </w:rPr>
        <w:t xml:space="preserve"> </w:t>
      </w:r>
      <w:r w:rsidR="00D03BA0" w:rsidRPr="00E26ECE">
        <w:rPr>
          <w:rFonts w:ascii="Times New Roman" w:hAnsi="Times New Roman"/>
        </w:rPr>
        <w:t>Statistically significant differences</w:t>
      </w:r>
      <w:r w:rsidR="005E2473" w:rsidRPr="00E26ECE">
        <w:rPr>
          <w:rFonts w:ascii="Times New Roman" w:hAnsi="Times New Roman"/>
        </w:rPr>
        <w:t xml:space="preserve"> (</w:t>
      </w:r>
      <w:r w:rsidR="005E2473" w:rsidRPr="00E26ECE">
        <w:rPr>
          <w:rFonts w:ascii="Times New Roman" w:hAnsi="Times New Roman"/>
          <w:i/>
        </w:rPr>
        <w:t>p</w:t>
      </w:r>
      <w:r w:rsidR="005E2473" w:rsidRPr="00E26ECE">
        <w:rPr>
          <w:rFonts w:ascii="Times New Roman" w:hAnsi="Times New Roman" w:cs="Times New Roman"/>
        </w:rPr>
        <w:t>&lt;</w:t>
      </w:r>
      <w:r w:rsidR="005E2473" w:rsidRPr="00E26ECE">
        <w:rPr>
          <w:rFonts w:ascii="Times New Roman" w:hAnsi="Times New Roman"/>
        </w:rPr>
        <w:t>0.05)</w:t>
      </w:r>
      <w:bookmarkStart w:id="0" w:name="_GoBack"/>
      <w:bookmarkEnd w:id="0"/>
    </w:p>
    <w:sectPr w:rsidR="001B1801" w:rsidRPr="00E26ECE" w:rsidSect="002D31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E2C"/>
    <w:multiLevelType w:val="hybridMultilevel"/>
    <w:tmpl w:val="84D08C1C"/>
    <w:lvl w:ilvl="0" w:tplc="7EE0D6F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1164F"/>
    <w:multiLevelType w:val="hybridMultilevel"/>
    <w:tmpl w:val="843C8854"/>
    <w:lvl w:ilvl="0" w:tplc="9CDAC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6F"/>
    <w:rsid w:val="00011370"/>
    <w:rsid w:val="00080EBB"/>
    <w:rsid w:val="00180CA5"/>
    <w:rsid w:val="0018643F"/>
    <w:rsid w:val="0019129A"/>
    <w:rsid w:val="001B1801"/>
    <w:rsid w:val="001D363D"/>
    <w:rsid w:val="001E797B"/>
    <w:rsid w:val="002244BF"/>
    <w:rsid w:val="002C26F8"/>
    <w:rsid w:val="002D31B2"/>
    <w:rsid w:val="002D3CEA"/>
    <w:rsid w:val="002E4B6D"/>
    <w:rsid w:val="002E5866"/>
    <w:rsid w:val="002E765F"/>
    <w:rsid w:val="0031225E"/>
    <w:rsid w:val="0033196E"/>
    <w:rsid w:val="003B18AE"/>
    <w:rsid w:val="003D737E"/>
    <w:rsid w:val="003F2291"/>
    <w:rsid w:val="00420F13"/>
    <w:rsid w:val="004A2506"/>
    <w:rsid w:val="004C78CE"/>
    <w:rsid w:val="004F3783"/>
    <w:rsid w:val="005250D3"/>
    <w:rsid w:val="0056193B"/>
    <w:rsid w:val="005C264F"/>
    <w:rsid w:val="005E2473"/>
    <w:rsid w:val="005E6C99"/>
    <w:rsid w:val="0060165A"/>
    <w:rsid w:val="0060190D"/>
    <w:rsid w:val="006020D1"/>
    <w:rsid w:val="00622E32"/>
    <w:rsid w:val="006708A8"/>
    <w:rsid w:val="00682910"/>
    <w:rsid w:val="0070754E"/>
    <w:rsid w:val="007629DB"/>
    <w:rsid w:val="007A5485"/>
    <w:rsid w:val="007E6CA6"/>
    <w:rsid w:val="00813B2F"/>
    <w:rsid w:val="008430DB"/>
    <w:rsid w:val="00874451"/>
    <w:rsid w:val="00893D98"/>
    <w:rsid w:val="008B0677"/>
    <w:rsid w:val="008E66F0"/>
    <w:rsid w:val="00912E6B"/>
    <w:rsid w:val="009463D0"/>
    <w:rsid w:val="00974293"/>
    <w:rsid w:val="0098482A"/>
    <w:rsid w:val="009923FD"/>
    <w:rsid w:val="009B2AF2"/>
    <w:rsid w:val="009C133F"/>
    <w:rsid w:val="00A0586F"/>
    <w:rsid w:val="00A43FBB"/>
    <w:rsid w:val="00A55CC9"/>
    <w:rsid w:val="00A8733C"/>
    <w:rsid w:val="00AA2A41"/>
    <w:rsid w:val="00AE0E5B"/>
    <w:rsid w:val="00AF799A"/>
    <w:rsid w:val="00B118FB"/>
    <w:rsid w:val="00B43693"/>
    <w:rsid w:val="00B94F79"/>
    <w:rsid w:val="00C13A36"/>
    <w:rsid w:val="00C15570"/>
    <w:rsid w:val="00C41996"/>
    <w:rsid w:val="00C5634F"/>
    <w:rsid w:val="00D03BA0"/>
    <w:rsid w:val="00D1135C"/>
    <w:rsid w:val="00D43C6E"/>
    <w:rsid w:val="00D446E3"/>
    <w:rsid w:val="00D56B92"/>
    <w:rsid w:val="00D61528"/>
    <w:rsid w:val="00D627D0"/>
    <w:rsid w:val="00D66EAB"/>
    <w:rsid w:val="00DC405D"/>
    <w:rsid w:val="00DC4E31"/>
    <w:rsid w:val="00DE7414"/>
    <w:rsid w:val="00DF2B2B"/>
    <w:rsid w:val="00DF3402"/>
    <w:rsid w:val="00E217ED"/>
    <w:rsid w:val="00E26ECE"/>
    <w:rsid w:val="00E65A15"/>
    <w:rsid w:val="00E83B72"/>
    <w:rsid w:val="00E847A2"/>
    <w:rsid w:val="00EA7392"/>
    <w:rsid w:val="00ED64E4"/>
    <w:rsid w:val="00F90334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86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86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viktor.culic@st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van%20Velat\Desktop\TEST%20AM%20H%20J\broj_i%20doze%20spirono%20eksel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Ivan%20Velat\Desktop\TEST%20AM%20H%20J\doze%20tiazidi%20eks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P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66131342015986"/>
          <c:y val="0.18483375498640373"/>
          <c:w val="0.68213400173853234"/>
          <c:h val="0.65286612305134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'[broj_i doze spirono eksel.xls]Sheet3'!$M$6</c:f>
              <c:strCache>
                <c:ptCount val="1"/>
                <c:pt idx="0">
                  <c:v>      spironolactone only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5875">
              <a:solidFill>
                <a:sysClr val="windowText" lastClr="000000"/>
              </a:solidFill>
            </a:ln>
          </c:spPr>
          <c:invertIfNegative val="0"/>
          <c:cat>
            <c:strRef>
              <c:f>'[broj_i doze spirono eksel.xls]Sheet3'!$N$5:$O$5</c:f>
              <c:strCache>
                <c:ptCount val="2"/>
                <c:pt idx="0">
                  <c:v>25 mg</c:v>
                </c:pt>
                <c:pt idx="1">
                  <c:v>50 or 100 mg</c:v>
                </c:pt>
              </c:strCache>
            </c:strRef>
          </c:cat>
          <c:val>
            <c:numRef>
              <c:f>'[broj_i doze spirono eksel.xls]Sheet3'!$N$6:$O$6</c:f>
              <c:numCache>
                <c:formatCode>General</c:formatCode>
                <c:ptCount val="2"/>
                <c:pt idx="0">
                  <c:v>101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AC-42C1-9398-7C5869033104}"/>
            </c:ext>
          </c:extLst>
        </c:ser>
        <c:ser>
          <c:idx val="1"/>
          <c:order val="1"/>
          <c:tx>
            <c:strRef>
              <c:f>'[broj_i doze spirono eksel.xls]Sheet3'!$M$7</c:f>
              <c:strCache>
                <c:ptCount val="1"/>
                <c:pt idx="0">
                  <c:v>      furosemide + spironolactone</c:v>
                </c:pt>
              </c:strCache>
            </c:strRef>
          </c:tx>
          <c:spPr>
            <a:solidFill>
              <a:schemeClr val="bg1"/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'[broj_i doze spirono eksel.xls]Sheet3'!$N$5:$O$5</c:f>
              <c:strCache>
                <c:ptCount val="2"/>
                <c:pt idx="0">
                  <c:v>25 mg</c:v>
                </c:pt>
                <c:pt idx="1">
                  <c:v>50 or 100 mg</c:v>
                </c:pt>
              </c:strCache>
            </c:strRef>
          </c:cat>
          <c:val>
            <c:numRef>
              <c:f>'[broj_i doze spirono eksel.xls]Sheet3'!$N$7:$O$7</c:f>
              <c:numCache>
                <c:formatCode>General</c:formatCode>
                <c:ptCount val="2"/>
                <c:pt idx="0">
                  <c:v>58</c:v>
                </c:pt>
                <c:pt idx="1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AC-42C1-9398-7C5869033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26656"/>
        <c:axId val="127210624"/>
      </c:barChart>
      <c:catAx>
        <c:axId val="115526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i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hr-HR" sz="1200" i="0">
                    <a:latin typeface="Times New Roman" pitchFamily="18" charset="0"/>
                    <a:cs typeface="Times New Roman" pitchFamily="18" charset="0"/>
                  </a:rPr>
                  <a:t>Spironolactone</a:t>
                </a:r>
                <a:r>
                  <a:rPr lang="hr-HR" sz="1200" i="0" baseline="0">
                    <a:latin typeface="Times New Roman" pitchFamily="18" charset="0"/>
                    <a:cs typeface="Times New Roman" pitchFamily="18" charset="0"/>
                  </a:rPr>
                  <a:t> dose</a:t>
                </a:r>
                <a:endParaRPr lang="hr-HR" sz="1200" i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712375712072154"/>
              <c:y val="0.9098043340250339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7210624"/>
        <c:crosses val="autoZero"/>
        <c:auto val="1"/>
        <c:lblAlgn val="ctr"/>
        <c:lblOffset val="100"/>
        <c:noMultiLvlLbl val="0"/>
      </c:catAx>
      <c:valAx>
        <c:axId val="127210624"/>
        <c:scaling>
          <c:orientation val="minMax"/>
          <c:max val="125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5526656"/>
        <c:crosses val="autoZero"/>
        <c:crossBetween val="between"/>
        <c:majorUnit val="30"/>
      </c:valAx>
      <c:spPr>
        <a:ln w="25400">
          <a:solidFill>
            <a:schemeClr val="bg1"/>
          </a:solidFill>
        </a:ln>
      </c:spPr>
    </c:plotArea>
    <c:plotVisOnly val="1"/>
    <c:dispBlanksAs val="gap"/>
    <c:showDLblsOverMax val="0"/>
  </c:chart>
  <c:spPr>
    <a:ln w="25400">
      <a:solidFill>
        <a:schemeClr val="bg1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P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41459455725947"/>
          <c:y val="0.39274973845052585"/>
          <c:w val="0.66438872772482382"/>
          <c:h val="0.50222711671530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'[doze tiazidi eksel.xls]Sheet3'!$J$61</c:f>
              <c:strCache>
                <c:ptCount val="1"/>
                <c:pt idx="0">
                  <c:v>hyponatremic patients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'[doze tiazidi eksel.xls]Sheet3'!$K$60:$L$60</c:f>
              <c:strCache>
                <c:ptCount val="2"/>
                <c:pt idx="0">
                  <c:v>12,5 mg</c:v>
                </c:pt>
                <c:pt idx="1">
                  <c:v>25 mg</c:v>
                </c:pt>
              </c:strCache>
            </c:strRef>
          </c:cat>
          <c:val>
            <c:numRef>
              <c:f>'[doze tiazidi eksel.xls]Sheet3'!$K$61:$L$61</c:f>
              <c:numCache>
                <c:formatCode>General</c:formatCode>
                <c:ptCount val="2"/>
                <c:pt idx="0">
                  <c:v>14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32-46A3-B62A-D32CD2AC2A25}"/>
            </c:ext>
          </c:extLst>
        </c:ser>
        <c:ser>
          <c:idx val="1"/>
          <c:order val="1"/>
          <c:tx>
            <c:strRef>
              <c:f>'[doze tiazidi eksel.xls]Sheet3'!$J$62</c:f>
              <c:strCache>
                <c:ptCount val="1"/>
                <c:pt idx="0">
                  <c:v>non-hyponatremic patients</c:v>
                </c:pt>
              </c:strCache>
            </c:strRef>
          </c:tx>
          <c:spPr>
            <a:noFill/>
            <a:ln w="15875">
              <a:solidFill>
                <a:schemeClr val="tx1"/>
              </a:solidFill>
            </a:ln>
          </c:spPr>
          <c:invertIfNegative val="0"/>
          <c:cat>
            <c:strRef>
              <c:f>'[doze tiazidi eksel.xls]Sheet3'!$K$60:$L$60</c:f>
              <c:strCache>
                <c:ptCount val="2"/>
                <c:pt idx="0">
                  <c:v>12,5 mg</c:v>
                </c:pt>
                <c:pt idx="1">
                  <c:v>25 mg</c:v>
                </c:pt>
              </c:strCache>
            </c:strRef>
          </c:cat>
          <c:val>
            <c:numRef>
              <c:f>'[doze tiazidi eksel.xls]Sheet3'!$K$62:$L$62</c:f>
              <c:numCache>
                <c:formatCode>General</c:formatCode>
                <c:ptCount val="2"/>
                <c:pt idx="0">
                  <c:v>13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32-46A3-B62A-D32CD2AC2A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250816"/>
        <c:axId val="127252352"/>
      </c:barChart>
      <c:catAx>
        <c:axId val="12725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7252352"/>
        <c:crosses val="autoZero"/>
        <c:auto val="1"/>
        <c:lblAlgn val="ctr"/>
        <c:lblOffset val="100"/>
        <c:noMultiLvlLbl val="0"/>
      </c:catAx>
      <c:valAx>
        <c:axId val="127252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7250816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0.49545</cdr:x>
      <cdr:y>0.20586</cdr:y>
    </cdr:from>
    <cdr:to>
      <cdr:x>0.79243</cdr:x>
      <cdr:y>0.27362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41820" y="1086276"/>
          <a:ext cx="1643494" cy="357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200" b="0">
              <a:effectLst/>
              <a:latin typeface="Times New Roman" pitchFamily="18" charset="0"/>
              <a:ea typeface="+mn-ea"/>
              <a:cs typeface="Times New Roman" pitchFamily="18" charset="0"/>
            </a:rPr>
            <a:t>χ</a:t>
          </a:r>
          <a:r>
            <a:rPr lang="el-GR" sz="1200" b="0" baseline="30000">
              <a:effectLst/>
              <a:latin typeface="Times New Roman" pitchFamily="18" charset="0"/>
              <a:ea typeface="+mn-ea"/>
              <a:cs typeface="Times New Roman" pitchFamily="18" charset="0"/>
            </a:rPr>
            <a:t>2</a:t>
          </a:r>
          <a:r>
            <a:rPr lang="hr-HR" sz="1200" b="1">
              <a:effectLst/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lang="hr-HR" sz="1200" b="0">
              <a:effectLst/>
              <a:latin typeface="Times New Roman" pitchFamily="18" charset="0"/>
              <a:ea typeface="+mn-ea"/>
              <a:cs typeface="Times New Roman" pitchFamily="18" charset="0"/>
            </a:rPr>
            <a:t>= 29.8; </a:t>
          </a:r>
          <a:r>
            <a:rPr lang="hr-HR" sz="1200" b="0" i="0">
              <a:effectLst/>
              <a:latin typeface="Times New Roman" pitchFamily="18" charset="0"/>
              <a:ea typeface="+mn-ea"/>
              <a:cs typeface="Times New Roman" pitchFamily="18" charset="0"/>
            </a:rPr>
            <a:t>p</a:t>
          </a:r>
          <a:r>
            <a:rPr lang="hr-HR" sz="1200" b="0">
              <a:effectLst/>
              <a:latin typeface="Times New Roman" pitchFamily="18" charset="0"/>
              <a:ea typeface="+mn-ea"/>
              <a:cs typeface="Times New Roman" pitchFamily="18" charset="0"/>
            </a:rPr>
            <a:t> &lt; 0.001</a:t>
          </a:r>
          <a:endParaRPr lang="hr-HR" sz="12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0.43943</cdr:x>
      <cdr:y>0.10018</cdr:y>
    </cdr:from>
    <cdr:to>
      <cdr:x>0.49484</cdr:x>
      <cdr:y>0.13628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431823" y="528638"/>
          <a:ext cx="306640" cy="19050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0.44018</cdr:x>
      <cdr:y>0.15336</cdr:y>
    </cdr:from>
    <cdr:to>
      <cdr:x>0.49484</cdr:x>
      <cdr:y>0.18863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435970" y="809259"/>
          <a:ext cx="302490" cy="18610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0.50086</cdr:x>
      <cdr:y>0.09206</cdr:y>
    </cdr:from>
    <cdr:to>
      <cdr:x>0.75301</cdr:x>
      <cdr:y>0.13628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771775" y="485776"/>
          <a:ext cx="1395404" cy="233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r-HR" sz="1200">
              <a:latin typeface="Times New Roman" pitchFamily="18" charset="0"/>
              <a:cs typeface="Times New Roman" pitchFamily="18" charset="0"/>
            </a:rPr>
            <a:t>spironolactone only</a:t>
          </a:r>
        </a:p>
      </cdr:txBody>
    </cdr:sp>
  </cdr:relSizeAnchor>
  <cdr:relSizeAnchor xmlns:cdr="http://schemas.openxmlformats.org/drawingml/2006/chartDrawing">
    <cdr:from>
      <cdr:x>0.50086</cdr:x>
      <cdr:y>0.14711</cdr:y>
    </cdr:from>
    <cdr:to>
      <cdr:x>0.85542</cdr:x>
      <cdr:y>0.18796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771775" y="776278"/>
          <a:ext cx="1962143" cy="215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r-HR" sz="1200">
              <a:latin typeface="Times New Roman" pitchFamily="18" charset="0"/>
              <a:cs typeface="Times New Roman" pitchFamily="18" charset="0"/>
            </a:rPr>
            <a:t>furosemide + spironolactone </a:t>
          </a:r>
        </a:p>
      </cdr:txBody>
    </cdr:sp>
  </cdr:relSizeAnchor>
  <cdr:relSizeAnchor xmlns:cdr="http://schemas.openxmlformats.org/drawingml/2006/chartDrawing">
    <cdr:from>
      <cdr:x>0.08434</cdr:x>
      <cdr:y>0.08845</cdr:y>
    </cdr:from>
    <cdr:to>
      <cdr:x>0.2117</cdr:x>
      <cdr:y>0.16787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466739" y="466737"/>
          <a:ext cx="704813" cy="419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r-HR" sz="1200" b="1" i="1">
              <a:effectLst/>
              <a:latin typeface="Times New Roman" pitchFamily="18" charset="0"/>
              <a:cs typeface="Times New Roman" pitchFamily="18" charset="0"/>
            </a:rPr>
            <a:t>No</a:t>
          </a:r>
          <a:r>
            <a:rPr lang="hr-HR" sz="1200" b="1" baseline="0">
              <a:effectLst/>
              <a:latin typeface="Times New Roman" pitchFamily="18" charset="0"/>
              <a:cs typeface="Times New Roman" pitchFamily="18" charset="0"/>
            </a:rPr>
            <a:t> of patients</a:t>
          </a:r>
          <a:endParaRPr lang="hr-HR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0.00505</cdr:x>
      <cdr:y>0</cdr:y>
    </cdr:from>
    <cdr:to>
      <cdr:x>0.22449</cdr:x>
      <cdr:y>0.12139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056" y="0"/>
          <a:ext cx="1176764" cy="4705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hr-HR"/>
        </a:p>
      </cdr:txBody>
    </cdr:sp>
  </cdr:relSizeAnchor>
  <cdr:relSizeAnchor xmlns:cdr="http://schemas.openxmlformats.org/drawingml/2006/chartDrawing">
    <cdr:from>
      <cdr:x>0.09041</cdr:x>
      <cdr:y>0.31469</cdr:y>
    </cdr:from>
    <cdr:to>
      <cdr:x>0.22363</cdr:x>
      <cdr:y>0.38809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20696" y="2143125"/>
          <a:ext cx="767274" cy="4999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200" b="1" i="1">
              <a:effectLst/>
              <a:latin typeface="Times New Roman" pitchFamily="18" charset="0"/>
              <a:ea typeface="+mn-ea"/>
              <a:cs typeface="Times New Roman" pitchFamily="18" charset="0"/>
            </a:rPr>
            <a:t>No</a:t>
          </a:r>
          <a:r>
            <a:rPr lang="hr-HR" sz="1200" b="1" baseline="0">
              <a:effectLst/>
              <a:latin typeface="Times New Roman" pitchFamily="18" charset="0"/>
              <a:ea typeface="+mn-ea"/>
              <a:cs typeface="Times New Roman" pitchFamily="18" charset="0"/>
            </a:rPr>
            <a:t> of patients</a:t>
          </a:r>
          <a:endParaRPr lang="hr-HR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0.33349</cdr:x>
      <cdr:y>0.94539</cdr:y>
    </cdr:from>
    <cdr:to>
      <cdr:x>0.68489</cdr:x>
      <cdr:y>0.99012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931307" y="5465938"/>
          <a:ext cx="2035028" cy="2585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200" b="1" baseline="0">
              <a:latin typeface="Times New Roman" pitchFamily="18" charset="0"/>
              <a:cs typeface="Times New Roman" pitchFamily="18" charset="0"/>
            </a:rPr>
            <a:t>Hydrochlorothiazide dose</a:t>
          </a:r>
          <a:endParaRPr lang="hr-HR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0.32946</cdr:x>
      <cdr:y>0.30852</cdr:y>
    </cdr:from>
    <cdr:to>
      <cdr:x>0.38731</cdr:x>
      <cdr:y>0.34287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897522" y="2101143"/>
          <a:ext cx="333184" cy="2339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0.32945</cdr:x>
      <cdr:y>0.35724</cdr:y>
    </cdr:from>
    <cdr:to>
      <cdr:x>0.38814</cdr:x>
      <cdr:y>0.38982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1897465" y="2432935"/>
          <a:ext cx="338022" cy="22188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0.39799</cdr:x>
      <cdr:y>0.3062</cdr:y>
    </cdr:from>
    <cdr:to>
      <cdr:x>0.67273</cdr:x>
      <cdr:y>0.34059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292212" y="2085343"/>
          <a:ext cx="1582351" cy="234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r-HR" sz="1200">
              <a:latin typeface="Times New Roman" pitchFamily="18" charset="0"/>
              <a:cs typeface="Times New Roman" pitchFamily="18" charset="0"/>
            </a:rPr>
            <a:t>hyponatremic</a:t>
          </a:r>
          <a:r>
            <a:rPr lang="hr-HR" sz="1200" baseline="0">
              <a:latin typeface="Times New Roman" pitchFamily="18" charset="0"/>
              <a:cs typeface="Times New Roman" pitchFamily="18" charset="0"/>
            </a:rPr>
            <a:t> patients</a:t>
          </a:r>
          <a:endParaRPr lang="hr-HR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0.39724</cdr:x>
      <cdr:y>0.34796</cdr:y>
    </cdr:from>
    <cdr:to>
      <cdr:x>0.72616</cdr:x>
      <cdr:y>0.38584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287870" y="2369734"/>
          <a:ext cx="1894398" cy="2579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r-HR" sz="1200">
              <a:latin typeface="Times New Roman" pitchFamily="18" charset="0"/>
              <a:cs typeface="Times New Roman" pitchFamily="18" charset="0"/>
            </a:rPr>
            <a:t>non-hyponatremic patients</a:t>
          </a:r>
        </a:p>
      </cdr:txBody>
    </cdr:sp>
  </cdr:relSizeAnchor>
  <cdr:relSizeAnchor xmlns:cdr="http://schemas.openxmlformats.org/drawingml/2006/chartDrawing">
    <cdr:from>
      <cdr:x>0.36303</cdr:x>
      <cdr:y>0.41877</cdr:y>
    </cdr:from>
    <cdr:to>
      <cdr:x>0.641</cdr:x>
      <cdr:y>0.46236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090875" y="2851999"/>
          <a:ext cx="1600954" cy="2968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l-GR" sz="1200" b="0">
              <a:effectLst/>
              <a:latin typeface="Times New Roman" pitchFamily="18" charset="0"/>
              <a:cs typeface="Times New Roman" pitchFamily="18" charset="0"/>
            </a:rPr>
            <a:t>χ</a:t>
          </a:r>
          <a:r>
            <a:rPr lang="el-GR" sz="1200" b="0" baseline="30000">
              <a:effectLst/>
              <a:latin typeface="Times New Roman" pitchFamily="18" charset="0"/>
              <a:cs typeface="Times New Roman" pitchFamily="18" charset="0"/>
            </a:rPr>
            <a:t>2</a:t>
          </a:r>
          <a:r>
            <a:rPr lang="hr-HR" sz="1200" b="1">
              <a:effectLst/>
              <a:latin typeface="Times New Roman" pitchFamily="18" charset="0"/>
              <a:cs typeface="Times New Roman" pitchFamily="18" charset="0"/>
            </a:rPr>
            <a:t> </a:t>
          </a:r>
          <a:r>
            <a:rPr lang="hr-HR" sz="1200" b="0">
              <a:effectLst/>
              <a:latin typeface="Times New Roman" pitchFamily="18" charset="0"/>
              <a:cs typeface="Times New Roman" pitchFamily="18" charset="0"/>
            </a:rPr>
            <a:t>= 0.65; </a:t>
          </a:r>
          <a:r>
            <a:rPr lang="hr-HR" sz="1200" b="0" i="0">
              <a:effectLst/>
              <a:latin typeface="Times New Roman" pitchFamily="18" charset="0"/>
              <a:cs typeface="Times New Roman" pitchFamily="18" charset="0"/>
            </a:rPr>
            <a:t>p</a:t>
          </a:r>
          <a:r>
            <a:rPr lang="hr-HR" sz="1200" b="0">
              <a:effectLst/>
              <a:latin typeface="Times New Roman" pitchFamily="18" charset="0"/>
              <a:cs typeface="Times New Roman" pitchFamily="18" charset="0"/>
            </a:rPr>
            <a:t> =</a:t>
          </a:r>
          <a:r>
            <a:rPr lang="hr-HR" sz="1200" b="0" baseline="0">
              <a:effectLst/>
              <a:latin typeface="Times New Roman" pitchFamily="18" charset="0"/>
              <a:cs typeface="Times New Roman" pitchFamily="18" charset="0"/>
            </a:rPr>
            <a:t> 0.72</a:t>
          </a:r>
          <a:endParaRPr lang="hr-HR" sz="1200" b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hr-HR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D5A3-88EF-4889-82BF-365C1FAB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Real, Francis Frank</cp:lastModifiedBy>
  <cp:revision>2</cp:revision>
  <dcterms:created xsi:type="dcterms:W3CDTF">2020-07-30T22:48:00Z</dcterms:created>
  <dcterms:modified xsi:type="dcterms:W3CDTF">2020-07-30T22:48:00Z</dcterms:modified>
</cp:coreProperties>
</file>