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C0" w:rsidRPr="00030015" w:rsidRDefault="008A4324" w:rsidP="003E40C0">
      <w:pPr>
        <w:spacing w:after="40" w:line="48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Additional file 1</w:t>
      </w:r>
    </w:p>
    <w:p w:rsidR="003E40C0" w:rsidRDefault="003E40C0" w:rsidP="003E40C0">
      <w:pPr>
        <w:spacing w:after="40" w:line="480" w:lineRule="auto"/>
        <w:jc w:val="center"/>
        <w:rPr>
          <w:rFonts w:ascii="Arial" w:hAnsi="Arial" w:cs="Arial"/>
          <w:b/>
          <w:bCs/>
          <w:lang w:val="en-US"/>
        </w:rPr>
      </w:pPr>
    </w:p>
    <w:p w:rsidR="003E40C0" w:rsidRPr="00030015" w:rsidRDefault="005C7D3F" w:rsidP="003E40C0">
      <w:pPr>
        <w:spacing w:after="40" w:line="48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Additional</w:t>
      </w:r>
      <w:bookmarkStart w:id="0" w:name="_GoBack"/>
      <w:bookmarkEnd w:id="0"/>
      <w:r w:rsidR="003E40C0" w:rsidRPr="00030015">
        <w:rPr>
          <w:rFonts w:ascii="Arial" w:hAnsi="Arial" w:cs="Arial"/>
          <w:b/>
          <w:bCs/>
          <w:lang w:val="en-US"/>
        </w:rPr>
        <w:t xml:space="preserve"> Tables</w:t>
      </w:r>
    </w:p>
    <w:p w:rsidR="003E40C0" w:rsidRDefault="003E40C0" w:rsidP="003E40C0">
      <w:pPr>
        <w:spacing w:after="40" w:line="480" w:lineRule="auto"/>
        <w:rPr>
          <w:rFonts w:ascii="Arial" w:hAnsi="Arial" w:cs="Arial"/>
          <w:b/>
          <w:bCs/>
          <w:lang w:val="en-US"/>
        </w:rPr>
      </w:pPr>
    </w:p>
    <w:p w:rsidR="003E40C0" w:rsidRPr="00030015" w:rsidRDefault="003E40C0" w:rsidP="003E40C0">
      <w:pPr>
        <w:spacing w:after="40" w:line="480" w:lineRule="auto"/>
        <w:rPr>
          <w:rFonts w:ascii="Arial" w:hAnsi="Arial" w:cs="Arial"/>
          <w:lang w:val="en-US"/>
        </w:rPr>
      </w:pPr>
      <w:r w:rsidRPr="00002F82">
        <w:rPr>
          <w:rFonts w:ascii="Arial" w:hAnsi="Arial" w:cs="Arial"/>
          <w:b/>
          <w:bCs/>
          <w:lang w:val="en-US"/>
        </w:rPr>
        <w:t xml:space="preserve">Table </w:t>
      </w:r>
      <w:r w:rsidR="00182991">
        <w:rPr>
          <w:rFonts w:ascii="Arial" w:hAnsi="Arial" w:cs="Arial"/>
          <w:b/>
          <w:bCs/>
          <w:lang w:val="en-US"/>
        </w:rPr>
        <w:t>S</w:t>
      </w:r>
      <w:r w:rsidRPr="00002F82">
        <w:rPr>
          <w:rFonts w:ascii="Arial" w:hAnsi="Arial" w:cs="Arial"/>
          <w:b/>
          <w:bCs/>
          <w:lang w:val="en-US"/>
        </w:rPr>
        <w:t>1.</w:t>
      </w:r>
      <w:r w:rsidRPr="00030015">
        <w:rPr>
          <w:rFonts w:ascii="Arial" w:hAnsi="Arial" w:cs="Arial"/>
          <w:lang w:val="en-US"/>
        </w:rPr>
        <w:t xml:space="preserve"> Baseline characteristics stratified by FABP4 median </w:t>
      </w:r>
    </w:p>
    <w:tbl>
      <w:tblPr>
        <w:tblStyle w:val="PlainTable51"/>
        <w:tblW w:w="5000" w:type="pct"/>
        <w:tblLook w:val="04A0" w:firstRow="1" w:lastRow="0" w:firstColumn="1" w:lastColumn="0" w:noHBand="0" w:noVBand="1"/>
      </w:tblPr>
      <w:tblGrid>
        <w:gridCol w:w="2896"/>
        <w:gridCol w:w="1845"/>
        <w:gridCol w:w="1845"/>
        <w:gridCol w:w="1847"/>
        <w:gridCol w:w="1187"/>
      </w:tblGrid>
      <w:tr w:rsidR="003E40C0" w:rsidRPr="00DC1328" w:rsidTr="0085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pct"/>
            <w:tcBorders>
              <w:bottom w:val="single" w:sz="4" w:space="0" w:color="auto"/>
            </w:tcBorders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All</w:t>
            </w:r>
          </w:p>
          <w:p w:rsidR="003E40C0" w:rsidRPr="00DC1328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(n=33</w:t>
            </w:r>
            <w:r w:rsidR="008533C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FABP4 ≤ Median</w:t>
            </w:r>
          </w:p>
          <w:p w:rsidR="003E40C0" w:rsidRPr="00DC1328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(n=16</w:t>
            </w:r>
            <w:r w:rsidR="008533C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FABP4 &gt; Median</w:t>
            </w:r>
          </w:p>
          <w:p w:rsidR="003E40C0" w:rsidRPr="00DC1328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(n=165)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3E40C0" w:rsidRPr="00DC1328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3E40C0" w:rsidRPr="00DC1328" w:rsidTr="00AB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right w:val="none" w:sz="0" w:space="0" w:color="auto"/>
            </w:tcBorders>
          </w:tcPr>
          <w:p w:rsidR="003E40C0" w:rsidRPr="00DC1328" w:rsidRDefault="003E40C0" w:rsidP="00AB602C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539B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Baseline characteristics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Female Sex, n (%)</w:t>
            </w:r>
          </w:p>
        </w:tc>
        <w:tc>
          <w:tcPr>
            <w:tcW w:w="959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95 (28.7)</w:t>
            </w:r>
          </w:p>
        </w:tc>
        <w:tc>
          <w:tcPr>
            <w:tcW w:w="959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27 (16.4)</w:t>
            </w:r>
          </w:p>
        </w:tc>
        <w:tc>
          <w:tcPr>
            <w:tcW w:w="960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67 (40.6)</w:t>
            </w:r>
          </w:p>
        </w:tc>
        <w:tc>
          <w:tcPr>
            <w:tcW w:w="617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Age, mean (sd)</w:t>
            </w:r>
          </w:p>
        </w:tc>
        <w:tc>
          <w:tcPr>
            <w:tcW w:w="959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63.1 (12.6)</w:t>
            </w:r>
          </w:p>
        </w:tc>
        <w:tc>
          <w:tcPr>
            <w:tcW w:w="959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60.0 (12.5)</w:t>
            </w:r>
          </w:p>
        </w:tc>
        <w:tc>
          <w:tcPr>
            <w:tcW w:w="960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66.0 (12.0)</w:t>
            </w:r>
          </w:p>
        </w:tc>
        <w:tc>
          <w:tcPr>
            <w:tcW w:w="617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Hypertension, n (%)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246 (74.8)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105 (64.4)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140 (84.8)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 xml:space="preserve">Diabetes, n (%) 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57 (17.4)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20 (12.2)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37 (22.7)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0.018*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Smoking, n (%)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59 (18.0)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35 (21.6)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24 (14.6)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0.23</w:t>
            </w:r>
          </w:p>
        </w:tc>
      </w:tr>
      <w:tr w:rsidR="003E40C0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Coronary artery disease, n (%)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140 (42.6)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68 (41.7)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71 (43.0)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0.59</w:t>
            </w:r>
          </w:p>
        </w:tc>
      </w:tr>
      <w:tr w:rsidR="008533CD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8533CD" w:rsidRPr="00DC1328" w:rsidRDefault="008533CD" w:rsidP="008533CD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Late Gadolinium Enhancement, n (%) </w:t>
            </w:r>
          </w:p>
        </w:tc>
        <w:tc>
          <w:tcPr>
            <w:tcW w:w="959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61F0">
              <w:rPr>
                <w:rFonts w:ascii="Arial" w:hAnsi="Arial" w:cs="Arial"/>
                <w:sz w:val="16"/>
                <w:szCs w:val="16"/>
                <w:lang w:val="en-US"/>
              </w:rPr>
              <w:t>129 (39.1)</w:t>
            </w:r>
          </w:p>
        </w:tc>
        <w:tc>
          <w:tcPr>
            <w:tcW w:w="959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60 (36.4)</w:t>
            </w:r>
          </w:p>
        </w:tc>
        <w:tc>
          <w:tcPr>
            <w:tcW w:w="960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69 (41.8)</w:t>
            </w:r>
          </w:p>
        </w:tc>
        <w:tc>
          <w:tcPr>
            <w:tcW w:w="617" w:type="pct"/>
          </w:tcPr>
          <w:p w:rsidR="008533CD" w:rsidRPr="008533CD" w:rsidRDefault="008E3633" w:rsidP="008533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0.367</w:t>
            </w:r>
          </w:p>
        </w:tc>
      </w:tr>
      <w:tr w:rsidR="008533CD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8533CD" w:rsidRPr="00DC1328" w:rsidRDefault="008533CD" w:rsidP="008533CD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Perfusion Deficit, n (%)  </w:t>
            </w:r>
          </w:p>
        </w:tc>
        <w:tc>
          <w:tcPr>
            <w:tcW w:w="959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61F0">
              <w:rPr>
                <w:rFonts w:ascii="Arial" w:hAnsi="Arial" w:cs="Arial"/>
                <w:sz w:val="16"/>
                <w:szCs w:val="16"/>
                <w:lang w:val="en-US"/>
              </w:rPr>
              <w:t>65 (19.8)</w:t>
            </w:r>
          </w:p>
        </w:tc>
        <w:tc>
          <w:tcPr>
            <w:tcW w:w="959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36 (21.8)</w:t>
            </w:r>
          </w:p>
        </w:tc>
        <w:tc>
          <w:tcPr>
            <w:tcW w:w="960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29 (17.7)</w:t>
            </w:r>
          </w:p>
        </w:tc>
        <w:tc>
          <w:tcPr>
            <w:tcW w:w="617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61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422</w:t>
            </w:r>
          </w:p>
        </w:tc>
      </w:tr>
      <w:tr w:rsidR="008533CD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8533CD" w:rsidRPr="00DC1328" w:rsidRDefault="008533CD" w:rsidP="008533CD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Atrial fibrillation, n (%)</w:t>
            </w:r>
          </w:p>
        </w:tc>
        <w:tc>
          <w:tcPr>
            <w:tcW w:w="959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66 (20.2)</w:t>
            </w:r>
          </w:p>
        </w:tc>
        <w:tc>
          <w:tcPr>
            <w:tcW w:w="959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27 (16.7)</w:t>
            </w:r>
          </w:p>
        </w:tc>
        <w:tc>
          <w:tcPr>
            <w:tcW w:w="960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39 (23.8)</w:t>
            </w:r>
          </w:p>
        </w:tc>
        <w:tc>
          <w:tcPr>
            <w:tcW w:w="617" w:type="pct"/>
          </w:tcPr>
          <w:p w:rsidR="008533CD" w:rsidRPr="00DC1328" w:rsidRDefault="008533CD" w:rsidP="008533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61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144</w:t>
            </w:r>
          </w:p>
        </w:tc>
      </w:tr>
      <w:tr w:rsidR="003E40C0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Body mass index (kg/m</w:t>
            </w:r>
            <w:r w:rsidRPr="00DC132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), mean (sd)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27.5 (4.7)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26.0 (3.7)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28.9 (5.1)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Height (cm), mean (sd)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174.4 (9.7)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176.7 (9.1)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172.2 (9.6)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Weight (kg), mean (sd)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83.7 (16.6)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81.5 (14.6)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85.9 (18.2)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0.017*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Heart rate, mean (sd)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(1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 xml:space="preserve"> (12)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0.24</w:t>
            </w:r>
          </w:p>
        </w:tc>
      </w:tr>
      <w:tr w:rsidR="003E40C0" w:rsidRPr="002C35AD" w:rsidTr="00AB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:rsidR="003E40C0" w:rsidRPr="00DC1328" w:rsidRDefault="003E40C0" w:rsidP="00AB602C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Cardiac magnet resonance imaging variables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LVMI (g/m</w:t>
            </w:r>
            <w:r w:rsidRPr="00DC132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), mean (sd)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44.5 (14.9)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47.5 (14.6)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41.4 (14.6)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  <w:r w:rsidR="00C760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3E40C0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LVEF (%), mean (sd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65.2 (6.5)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64.6 (6.4)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65.8 (6.6)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 xml:space="preserve">LVEDD (mm), mean (sd) 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49.6 (6.5)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50.8 (5.9)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48.6 (6.9)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0.002*</w:t>
            </w:r>
          </w:p>
        </w:tc>
      </w:tr>
      <w:tr w:rsidR="003E40C0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RVEDD (mm), mean (sd)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33.8 (6.8)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33.7 (6.7)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34.0 (7.0)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0.70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RWT, mean (sd)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0.30 (0.12)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0.28 (0.10)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0.32 (0.14)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0.008*</w:t>
            </w:r>
          </w:p>
        </w:tc>
      </w:tr>
      <w:tr w:rsidR="003E40C0" w:rsidRPr="00DC1328" w:rsidTr="00AB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Laboratory results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NT-proBNP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ng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), median [IQR]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179.6 [76.9, 389.6]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112.8 [51.9, 230.6]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237.7 [119.1, 465.5]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CRP (mg/dl), median [IQR]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0.2 [0.1, 0.4]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0.1 [0.1, 0.3]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0.2 [0.1, 0.5]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Hs-cTnT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ng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), median [IQR]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9 [5, 16]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 xml:space="preserve"> [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, 11]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 xml:space="preserve"> [7, 21]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DC1328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Creatinin (</w:t>
            </w:r>
            <w:r w:rsidRPr="00FF7E9B">
              <w:rPr>
                <w:rFonts w:ascii="Arial" w:hAnsi="Arial" w:cs="Arial"/>
                <w:sz w:val="16"/>
                <w:szCs w:val="16"/>
                <w:lang w:val="en-US"/>
              </w:rPr>
              <w:t>µmol/L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), mean (sd)</w:t>
            </w:r>
          </w:p>
        </w:tc>
        <w:tc>
          <w:tcPr>
            <w:tcW w:w="959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88.4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61.9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59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70.7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17.7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60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97.2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79.6</w:t>
            </w: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17" w:type="pct"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DC1328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eGFR (ml/min), mean (sd)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91.6 (32.7)</w:t>
            </w:r>
          </w:p>
        </w:tc>
        <w:tc>
          <w:tcPr>
            <w:tcW w:w="959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105.2 (26.4)</w:t>
            </w:r>
          </w:p>
        </w:tc>
        <w:tc>
          <w:tcPr>
            <w:tcW w:w="960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sz w:val="16"/>
                <w:szCs w:val="16"/>
                <w:lang w:val="en-US"/>
              </w:rPr>
              <w:t>78.9 (32.9)</w:t>
            </w:r>
          </w:p>
        </w:tc>
        <w:tc>
          <w:tcPr>
            <w:tcW w:w="617" w:type="pct"/>
            <w:hideMark/>
          </w:tcPr>
          <w:p w:rsidR="003E40C0" w:rsidRPr="00DC1328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</w:tbl>
    <w:p w:rsidR="003E40C0" w:rsidRPr="00030015" w:rsidRDefault="003E40C0" w:rsidP="003E40C0">
      <w:pPr>
        <w:spacing w:after="40" w:line="480" w:lineRule="auto"/>
        <w:rPr>
          <w:rFonts w:ascii="Arial" w:hAnsi="Arial" w:cs="Arial"/>
          <w:lang w:val="en-US"/>
        </w:rPr>
      </w:pPr>
    </w:p>
    <w:p w:rsidR="003E40C0" w:rsidRPr="00DC1328" w:rsidRDefault="003E40C0" w:rsidP="003E40C0">
      <w:pPr>
        <w:spacing w:after="40"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C1328">
        <w:rPr>
          <w:rFonts w:ascii="Arial" w:hAnsi="Arial" w:cs="Arial"/>
          <w:bCs/>
          <w:sz w:val="20"/>
          <w:szCs w:val="20"/>
          <w:lang w:val="en-US"/>
        </w:rPr>
        <w:t xml:space="preserve">Baseline characteristic of 331 patients undergoing </w:t>
      </w:r>
      <w:r w:rsidRPr="007A43CF">
        <w:rPr>
          <w:rFonts w:ascii="Arial" w:hAnsi="Arial" w:cs="Arial"/>
          <w:bCs/>
          <w:sz w:val="20"/>
          <w:szCs w:val="20"/>
          <w:lang w:val="en-US"/>
        </w:rPr>
        <w:t xml:space="preserve">cardiac magnetic resonance imaging </w:t>
      </w:r>
      <w:r w:rsidRPr="00DC1328">
        <w:rPr>
          <w:rFonts w:ascii="Arial" w:hAnsi="Arial" w:cs="Arial"/>
          <w:bCs/>
          <w:sz w:val="20"/>
          <w:szCs w:val="20"/>
          <w:lang w:val="en-US"/>
        </w:rPr>
        <w:t>stratified by FABP4 median (</w:t>
      </w:r>
      <w:r w:rsidRPr="00DC1328">
        <w:rPr>
          <w:rFonts w:ascii="Arial" w:hAnsi="Arial" w:cs="Arial"/>
          <w:sz w:val="20"/>
          <w:szCs w:val="20"/>
          <w:lang w:val="en-US"/>
        </w:rPr>
        <w:t>22.79ng/ml)</w:t>
      </w:r>
      <w:r w:rsidRPr="00DC1328">
        <w:rPr>
          <w:rFonts w:ascii="Arial" w:hAnsi="Arial" w:cs="Arial"/>
          <w:bCs/>
          <w:sz w:val="20"/>
          <w:szCs w:val="20"/>
          <w:lang w:val="en-US"/>
        </w:rPr>
        <w:t>. Data presented as percentage, mean, or median. *</w:t>
      </w:r>
      <w:r w:rsidRPr="00DC1328">
        <w:rPr>
          <w:rFonts w:ascii="Arial" w:hAnsi="Arial" w:cs="Arial"/>
          <w:sz w:val="20"/>
          <w:szCs w:val="20"/>
          <w:lang w:val="en-US"/>
        </w:rPr>
        <w:t xml:space="preserve"> indicates statistically significant differences between the two groups (using the two-sided t test or Wilcoxon rank-sum test as appropriate).</w:t>
      </w:r>
    </w:p>
    <w:p w:rsidR="003E40C0" w:rsidRPr="00DC1328" w:rsidRDefault="003E40C0" w:rsidP="003E40C0">
      <w:pPr>
        <w:spacing w:after="40"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C1328">
        <w:rPr>
          <w:rFonts w:ascii="Arial" w:hAnsi="Arial" w:cs="Arial"/>
          <w:bCs/>
          <w:sz w:val="20"/>
          <w:szCs w:val="20"/>
          <w:lang w:val="en-US"/>
        </w:rPr>
        <w:t xml:space="preserve">Abbreviations: CRP: C- reactive protein; eGFR: estimated glomerular filtration rate; FABP4: Fatty-acid binding protein 4; </w:t>
      </w:r>
      <w:r w:rsidRPr="00DC1328">
        <w:rPr>
          <w:rFonts w:ascii="Arial" w:hAnsi="Arial" w:cs="Arial"/>
          <w:sz w:val="20"/>
          <w:szCs w:val="20"/>
          <w:lang w:val="en-US"/>
        </w:rPr>
        <w:t>hs-cTnT</w:t>
      </w:r>
      <w:r w:rsidRPr="00DC1328">
        <w:rPr>
          <w:rFonts w:ascii="Arial" w:hAnsi="Arial" w:cs="Arial"/>
          <w:bCs/>
          <w:sz w:val="20"/>
          <w:szCs w:val="20"/>
          <w:lang w:val="en-US"/>
        </w:rPr>
        <w:t>: cardiac high sensitivity troponin T; LVEDD: left ventricular end-diastolic diameter; LVEF: left ventricular ejection fraction; LVMI: left ventricular mass index; NT-proBNP: N-terminal pro B-type brain natriuretic peptid;  RVEDD: right ventricular end-diastolic diameter; RWT: relative wall thickness.</w:t>
      </w:r>
    </w:p>
    <w:p w:rsidR="003E40C0" w:rsidRDefault="003E40C0" w:rsidP="003E40C0">
      <w:pPr>
        <w:spacing w:line="48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3E40C0" w:rsidRDefault="003E40C0" w:rsidP="003E40C0">
      <w:pPr>
        <w:spacing w:after="40" w:line="480" w:lineRule="auto"/>
        <w:rPr>
          <w:rFonts w:ascii="Arial" w:hAnsi="Arial" w:cs="Arial"/>
          <w:lang w:val="en-US"/>
        </w:rPr>
      </w:pPr>
      <w:r w:rsidRPr="00002F82">
        <w:rPr>
          <w:rFonts w:ascii="Arial" w:hAnsi="Arial" w:cs="Arial"/>
          <w:b/>
          <w:bCs/>
          <w:lang w:val="en-US"/>
        </w:rPr>
        <w:lastRenderedPageBreak/>
        <w:t xml:space="preserve">Table </w:t>
      </w:r>
      <w:r w:rsidR="00182991">
        <w:rPr>
          <w:rFonts w:ascii="Arial" w:hAnsi="Arial" w:cs="Arial"/>
          <w:b/>
          <w:bCs/>
          <w:lang w:val="en-US"/>
        </w:rPr>
        <w:t>S</w:t>
      </w:r>
      <w:r w:rsidRPr="00002F82">
        <w:rPr>
          <w:rFonts w:ascii="Arial" w:hAnsi="Arial" w:cs="Arial"/>
          <w:b/>
          <w:bCs/>
          <w:lang w:val="en-US"/>
        </w:rPr>
        <w:t>2.</w:t>
      </w:r>
      <w:r w:rsidRPr="0003001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030015">
        <w:rPr>
          <w:rFonts w:ascii="Arial" w:hAnsi="Arial" w:cs="Arial"/>
          <w:lang w:val="en-US"/>
        </w:rPr>
        <w:t>ex-specific Baseline characteristics stratified by FABP4</w:t>
      </w:r>
    </w:p>
    <w:p w:rsidR="003E40C0" w:rsidRPr="003F08E7" w:rsidRDefault="003E40C0" w:rsidP="003E40C0">
      <w:pPr>
        <w:spacing w:after="40" w:line="480" w:lineRule="auto"/>
        <w:rPr>
          <w:rFonts w:ascii="Arial" w:hAnsi="Arial" w:cs="Arial"/>
          <w:sz w:val="8"/>
          <w:szCs w:val="8"/>
          <w:lang w:val="en-US"/>
        </w:rPr>
      </w:pPr>
    </w:p>
    <w:tbl>
      <w:tblPr>
        <w:tblStyle w:val="PlainTable51"/>
        <w:tblW w:w="5000" w:type="pct"/>
        <w:tblLook w:val="04A0" w:firstRow="1" w:lastRow="0" w:firstColumn="1" w:lastColumn="0" w:noHBand="0" w:noVBand="1"/>
      </w:tblPr>
      <w:tblGrid>
        <w:gridCol w:w="2896"/>
        <w:gridCol w:w="1845"/>
        <w:gridCol w:w="1845"/>
        <w:gridCol w:w="1847"/>
        <w:gridCol w:w="1187"/>
      </w:tblGrid>
      <w:tr w:rsidR="003E40C0" w:rsidRPr="003F08E7" w:rsidTr="0085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pct"/>
            <w:tcBorders>
              <w:bottom w:val="single" w:sz="4" w:space="0" w:color="auto"/>
            </w:tcBorders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left"/>
              <w:rPr>
                <w:rFonts w:ascii="Arial" w:hAnsi="Arial" w:cs="Arial"/>
                <w:b/>
                <w:bCs/>
                <w:i w:val="0"/>
                <w:iCs w:val="0"/>
                <w:sz w:val="32"/>
                <w:szCs w:val="32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i w:val="0"/>
                <w:iCs w:val="0"/>
                <w:sz w:val="32"/>
                <w:szCs w:val="32"/>
                <w:lang w:val="en-US"/>
              </w:rPr>
              <w:t>A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Women</w:t>
            </w:r>
          </w:p>
          <w:p w:rsidR="003E40C0" w:rsidRPr="003F08E7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(n=95)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FABP4 ≤ Median</w:t>
            </w:r>
          </w:p>
          <w:p w:rsidR="003E40C0" w:rsidRPr="003F08E7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(n=48)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FABP4 &gt; Median</w:t>
            </w:r>
          </w:p>
          <w:p w:rsidR="003E40C0" w:rsidRPr="003F08E7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(n=47)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3E40C0" w:rsidRPr="003F08E7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3E40C0" w:rsidRPr="003F08E7" w:rsidTr="00AB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right w:val="none" w:sz="0" w:space="0" w:color="auto"/>
            </w:tcBorders>
          </w:tcPr>
          <w:p w:rsidR="003E40C0" w:rsidRPr="003F08E7" w:rsidRDefault="003E40C0" w:rsidP="00AB602C">
            <w:pPr>
              <w:spacing w:before="10" w:after="1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39B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Baseline characteristics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Age, mean (sd)</w:t>
            </w:r>
          </w:p>
        </w:tc>
        <w:tc>
          <w:tcPr>
            <w:tcW w:w="959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64.6 (11.8)</w:t>
            </w:r>
          </w:p>
        </w:tc>
        <w:tc>
          <w:tcPr>
            <w:tcW w:w="959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63.1 (11.2)</w:t>
            </w:r>
          </w:p>
        </w:tc>
        <w:tc>
          <w:tcPr>
            <w:tcW w:w="960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65.7 (12.2)</w:t>
            </w:r>
          </w:p>
        </w:tc>
        <w:tc>
          <w:tcPr>
            <w:tcW w:w="617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0.28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Hypertension, n (%)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70 (74.5)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29 (63.0)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40 (85.1)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0.028*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Diabetes, n (%) 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10 (10.6)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 (6.4)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7 (15.2)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0.30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Smoking, n (%)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17 (18.3)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12 (26.1)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5 (10.9)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0.12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Coronary artery disease, n (%)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26 (27.7)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11 (23.9)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14 (29.8)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0.9</w:t>
            </w:r>
          </w:p>
        </w:tc>
      </w:tr>
      <w:tr w:rsidR="008533CD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8533CD" w:rsidRPr="003F08E7" w:rsidRDefault="008533CD" w:rsidP="008533CD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Late Gadolinium Enhancement, n (%) </w:t>
            </w:r>
          </w:p>
        </w:tc>
        <w:tc>
          <w:tcPr>
            <w:tcW w:w="959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25 (26.6)</w:t>
            </w:r>
          </w:p>
        </w:tc>
        <w:tc>
          <w:tcPr>
            <w:tcW w:w="959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9 (19.1)</w:t>
            </w:r>
          </w:p>
        </w:tc>
        <w:tc>
          <w:tcPr>
            <w:tcW w:w="960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16 (34.0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17" w:type="pct"/>
          </w:tcPr>
          <w:p w:rsidR="008533CD" w:rsidRPr="008533CD" w:rsidRDefault="008E3633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0.161</w:t>
            </w:r>
          </w:p>
        </w:tc>
      </w:tr>
      <w:tr w:rsidR="008533CD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8533CD" w:rsidRPr="003F08E7" w:rsidRDefault="008533CD" w:rsidP="008533CD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Perfusion Deficit, n (%)  </w:t>
            </w:r>
          </w:p>
        </w:tc>
        <w:tc>
          <w:tcPr>
            <w:tcW w:w="959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16 (17.0)</w:t>
            </w:r>
          </w:p>
        </w:tc>
        <w:tc>
          <w:tcPr>
            <w:tcW w:w="959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6 (12.8)</w:t>
            </w:r>
          </w:p>
        </w:tc>
        <w:tc>
          <w:tcPr>
            <w:tcW w:w="960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10 (21.3)</w:t>
            </w:r>
          </w:p>
        </w:tc>
        <w:tc>
          <w:tcPr>
            <w:tcW w:w="617" w:type="pct"/>
          </w:tcPr>
          <w:p w:rsidR="008533CD" w:rsidRPr="008533CD" w:rsidRDefault="008533CD" w:rsidP="008533CD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410</w:t>
            </w:r>
          </w:p>
        </w:tc>
      </w:tr>
      <w:tr w:rsidR="008533CD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8533CD" w:rsidRPr="003F08E7" w:rsidRDefault="008533CD" w:rsidP="008533CD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Atrial fibrillation, n (%)</w:t>
            </w:r>
          </w:p>
        </w:tc>
        <w:tc>
          <w:tcPr>
            <w:tcW w:w="959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18 (19.6)</w:t>
            </w:r>
          </w:p>
        </w:tc>
        <w:tc>
          <w:tcPr>
            <w:tcW w:w="959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8 (17.4)</w:t>
            </w:r>
          </w:p>
        </w:tc>
        <w:tc>
          <w:tcPr>
            <w:tcW w:w="960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10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1.7)</w:t>
            </w:r>
          </w:p>
        </w:tc>
        <w:tc>
          <w:tcPr>
            <w:tcW w:w="617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61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793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Body mass index (kg/m</w:t>
            </w:r>
            <w:r w:rsidRPr="003F08E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mean (sd)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27.0 (5.5)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24.2 (4.1)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29.5 (5.4)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Height (cm), mean (sd)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164.4 (6.3)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164.3 (6.3)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164.8 (6.2)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0.71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Weight (kg), mean (sd)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72.7 (14.6)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65.1 (10.4)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80.1 (14.5)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Heart rate, mean (sd)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68 (1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(1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66 (11)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0.17</w:t>
            </w:r>
          </w:p>
        </w:tc>
      </w:tr>
      <w:tr w:rsidR="003E40C0" w:rsidRPr="002C35AD" w:rsidTr="00AB602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:rsidR="003E40C0" w:rsidRPr="003F08E7" w:rsidRDefault="003E40C0" w:rsidP="00AB602C">
            <w:pPr>
              <w:spacing w:before="10" w:after="1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Cardiac magnet resonance imaging variables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LVMI (g/m</w:t>
            </w:r>
            <w:r w:rsidRPr="003F08E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mean (sd)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36.7 (35.8)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35.8 (8.8)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37.2 (13.2)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0.545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LVEF (%), mean (sd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66.2 (5.9)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66.0 (6.1)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66.4 (5.8)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0.74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LVEDD (mm), mean (sd) 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46.3 (5.3)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45.5 (4. 7)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47.1 (5.8)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0.16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RVEDD (mm), mean (sd)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30.9 (6.9)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29.4 (6.0)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32.4 (7. 4)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0.031*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RWT, mean (sd)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0.28 (0.09)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0.27 (0.08)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0.28 (0.09)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0.427</w:t>
            </w:r>
          </w:p>
        </w:tc>
      </w:tr>
      <w:tr w:rsidR="003E40C0" w:rsidRPr="003F08E7" w:rsidTr="00AB602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Laboratory results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NT-proBNP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ng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median [IQR]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181.5 [81.1, 328.3]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188.3 [80.1, 307.0]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176.5 [95.4, 322.2]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0.79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CRP (mg/dl), median [IQR]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 [0.1, 0.4]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0.1 [0.1, 0.4]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 [0.1, 0.4]</w:t>
            </w:r>
          </w:p>
        </w:tc>
        <w:tc>
          <w:tcPr>
            <w:tcW w:w="617" w:type="pct"/>
            <w:hideMark/>
          </w:tcPr>
          <w:p w:rsidR="003E40C0" w:rsidRPr="00036409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6409">
              <w:rPr>
                <w:rFonts w:ascii="Arial" w:hAnsi="Arial" w:cs="Arial"/>
                <w:sz w:val="16"/>
                <w:szCs w:val="16"/>
                <w:lang w:val="en-US"/>
              </w:rPr>
              <w:t>0.16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Hs/cTnT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ng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median [IQR]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[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,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[4,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11 [5.,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0.002*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Creatinin (</w:t>
            </w:r>
            <w:r w:rsidRPr="00FF7E9B">
              <w:rPr>
                <w:rFonts w:ascii="Arial" w:hAnsi="Arial" w:cs="Arial"/>
                <w:sz w:val="16"/>
                <w:szCs w:val="16"/>
                <w:lang w:val="en-US"/>
              </w:rPr>
              <w:t>µmol/L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mean (sd)</w:t>
            </w:r>
          </w:p>
        </w:tc>
        <w:tc>
          <w:tcPr>
            <w:tcW w:w="959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68.1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26.5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59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60.1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8.8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60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74.3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26.5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17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0.002*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eGFR (ml/min), mean (sd)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92.0 (34.5)</w:t>
            </w:r>
          </w:p>
        </w:tc>
        <w:tc>
          <w:tcPr>
            <w:tcW w:w="959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99.8 (30.4)</w:t>
            </w:r>
          </w:p>
        </w:tc>
        <w:tc>
          <w:tcPr>
            <w:tcW w:w="960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85.4 (36.6)</w:t>
            </w:r>
          </w:p>
        </w:tc>
        <w:tc>
          <w:tcPr>
            <w:tcW w:w="617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0.040*</w:t>
            </w:r>
          </w:p>
        </w:tc>
      </w:tr>
    </w:tbl>
    <w:p w:rsidR="003E40C0" w:rsidRPr="00030015" w:rsidRDefault="003E40C0" w:rsidP="003E40C0">
      <w:pPr>
        <w:spacing w:line="480" w:lineRule="auto"/>
        <w:rPr>
          <w:rFonts w:ascii="Arial" w:hAnsi="Arial" w:cs="Arial"/>
          <w:lang w:val="en-US"/>
        </w:rPr>
      </w:pPr>
    </w:p>
    <w:tbl>
      <w:tblPr>
        <w:tblStyle w:val="PlainTable51"/>
        <w:tblW w:w="5000" w:type="pct"/>
        <w:tblLook w:val="04A0" w:firstRow="1" w:lastRow="0" w:firstColumn="1" w:lastColumn="0" w:noHBand="0" w:noVBand="1"/>
      </w:tblPr>
      <w:tblGrid>
        <w:gridCol w:w="2753"/>
        <w:gridCol w:w="1897"/>
        <w:gridCol w:w="1897"/>
        <w:gridCol w:w="1897"/>
        <w:gridCol w:w="1176"/>
      </w:tblGrid>
      <w:tr w:rsidR="003E40C0" w:rsidRPr="003F08E7" w:rsidTr="0085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1" w:type="pct"/>
            <w:tcBorders>
              <w:bottom w:val="single" w:sz="4" w:space="0" w:color="auto"/>
            </w:tcBorders>
            <w:hideMark/>
          </w:tcPr>
          <w:p w:rsidR="003E40C0" w:rsidRPr="00E2383C" w:rsidRDefault="003E40C0" w:rsidP="00AB602C">
            <w:pPr>
              <w:spacing w:before="10" w:after="10" w:line="480" w:lineRule="auto"/>
              <w:jc w:val="left"/>
              <w:rPr>
                <w:rFonts w:ascii="Arial" w:hAnsi="Arial" w:cs="Arial"/>
                <w:b/>
                <w:bCs/>
                <w:i w:val="0"/>
                <w:iCs w:val="0"/>
                <w:sz w:val="32"/>
                <w:szCs w:val="32"/>
                <w:lang w:val="en-US"/>
              </w:rPr>
            </w:pPr>
            <w:r w:rsidRPr="00E2383C">
              <w:rPr>
                <w:rFonts w:ascii="Arial" w:hAnsi="Arial" w:cs="Arial"/>
                <w:b/>
                <w:bCs/>
                <w:i w:val="0"/>
                <w:iCs w:val="0"/>
                <w:sz w:val="32"/>
                <w:szCs w:val="32"/>
                <w:lang w:val="en-US"/>
              </w:rPr>
              <w:t>B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Men</w:t>
            </w:r>
          </w:p>
          <w:p w:rsidR="003E40C0" w:rsidRPr="00E2383C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(n=236)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</w:pPr>
            <w:r w:rsidRPr="00E2383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FABP4 ≤ Median</w:t>
            </w:r>
          </w:p>
          <w:p w:rsidR="003E40C0" w:rsidRPr="00E2383C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(n=</w:t>
            </w:r>
            <w:r w:rsidRPr="008D2AD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/>
              </w:rPr>
            </w:pPr>
            <w:r w:rsidRPr="00E2383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FABP4 &gt; Median</w:t>
            </w:r>
          </w:p>
          <w:p w:rsidR="003E40C0" w:rsidRPr="00E2383C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(n=118)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hideMark/>
          </w:tcPr>
          <w:p w:rsidR="003E40C0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3E40C0" w:rsidRPr="003F08E7" w:rsidRDefault="003E40C0" w:rsidP="00AB602C">
            <w:pPr>
              <w:spacing w:before="10" w:after="1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3E40C0" w:rsidRPr="003F08E7" w:rsidTr="00AB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right w:val="none" w:sz="0" w:space="0" w:color="auto"/>
            </w:tcBorders>
          </w:tcPr>
          <w:p w:rsidR="003E40C0" w:rsidRPr="003F08E7" w:rsidRDefault="003E40C0" w:rsidP="00AB602C">
            <w:pPr>
              <w:spacing w:before="10" w:after="1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539B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Baseline characteristics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Age, mean (sd)</w:t>
            </w:r>
          </w:p>
        </w:tc>
        <w:tc>
          <w:tcPr>
            <w:tcW w:w="986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62.4 (12.9)</w:t>
            </w:r>
          </w:p>
        </w:tc>
        <w:tc>
          <w:tcPr>
            <w:tcW w:w="986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58.9 (13.0)</w:t>
            </w:r>
          </w:p>
        </w:tc>
        <w:tc>
          <w:tcPr>
            <w:tcW w:w="986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66.0 (11.9)</w:t>
            </w:r>
          </w:p>
        </w:tc>
        <w:tc>
          <w:tcPr>
            <w:tcW w:w="611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Hypertension, n (%)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176 (74.9)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76 (65.0)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100 (84.7)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0.001*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Diabetes, n (%) 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47 (20.1)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12 (10.3)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35 (29.9)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Smoking, n (%)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42 (17.9)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23 (19.8)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19 (16.1)</w:t>
            </w:r>
          </w:p>
        </w:tc>
        <w:tc>
          <w:tcPr>
            <w:tcW w:w="611" w:type="pct"/>
            <w:hideMark/>
          </w:tcPr>
          <w:p w:rsidR="003E40C0" w:rsidRPr="00036409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3640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0.008</w:t>
            </w:r>
            <w:r w:rsidR="00097C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Coronary artery disease, n (%)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114 (48.5)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53 (45.3)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61 (51.7)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0.34</w:t>
            </w:r>
          </w:p>
        </w:tc>
      </w:tr>
      <w:tr w:rsidR="008533CD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</w:tcPr>
          <w:p w:rsidR="008533CD" w:rsidRPr="003F08E7" w:rsidRDefault="008533CD" w:rsidP="008533CD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Late Gadolinium Enhancement, n (%) </w:t>
            </w:r>
          </w:p>
        </w:tc>
        <w:tc>
          <w:tcPr>
            <w:tcW w:w="986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104 (44.1)</w:t>
            </w:r>
          </w:p>
        </w:tc>
        <w:tc>
          <w:tcPr>
            <w:tcW w:w="986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43 (36.4)</w:t>
            </w:r>
          </w:p>
        </w:tc>
        <w:tc>
          <w:tcPr>
            <w:tcW w:w="986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61 (51.7)</w:t>
            </w:r>
          </w:p>
        </w:tc>
        <w:tc>
          <w:tcPr>
            <w:tcW w:w="611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0.026</w:t>
            </w:r>
            <w:r w:rsidR="00097C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8533CD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</w:tcPr>
          <w:p w:rsidR="008533CD" w:rsidRPr="003F08E7" w:rsidRDefault="008533CD" w:rsidP="008533CD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Perfusion Deficit, n (%)  </w:t>
            </w:r>
          </w:p>
        </w:tc>
        <w:tc>
          <w:tcPr>
            <w:tcW w:w="986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49 (20.9)</w:t>
            </w:r>
          </w:p>
        </w:tc>
        <w:tc>
          <w:tcPr>
            <w:tcW w:w="986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25 (21.2)</w:t>
            </w:r>
          </w:p>
        </w:tc>
        <w:tc>
          <w:tcPr>
            <w:tcW w:w="986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24 (20.5)</w:t>
            </w:r>
          </w:p>
        </w:tc>
        <w:tc>
          <w:tcPr>
            <w:tcW w:w="611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</w:tr>
      <w:tr w:rsidR="008533CD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</w:tcPr>
          <w:p w:rsidR="008533CD" w:rsidRPr="003F08E7" w:rsidRDefault="008533CD" w:rsidP="008533CD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Atrial fibrillation, n (%)</w:t>
            </w:r>
          </w:p>
        </w:tc>
        <w:tc>
          <w:tcPr>
            <w:tcW w:w="986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48 (20.5)</w:t>
            </w:r>
          </w:p>
        </w:tc>
        <w:tc>
          <w:tcPr>
            <w:tcW w:w="986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20 (17.2)</w:t>
            </w:r>
          </w:p>
        </w:tc>
        <w:tc>
          <w:tcPr>
            <w:tcW w:w="986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3CD">
              <w:rPr>
                <w:rFonts w:ascii="Arial" w:hAnsi="Arial" w:cs="Arial"/>
                <w:sz w:val="16"/>
                <w:szCs w:val="16"/>
                <w:lang w:val="en-US"/>
              </w:rPr>
              <w:t>28 (23.7)</w:t>
            </w:r>
          </w:p>
        </w:tc>
        <w:tc>
          <w:tcPr>
            <w:tcW w:w="611" w:type="pct"/>
          </w:tcPr>
          <w:p w:rsidR="008533CD" w:rsidRPr="003F08E7" w:rsidRDefault="008533CD" w:rsidP="008533CD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619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097C74">
              <w:rPr>
                <w:rFonts w:ascii="Arial" w:hAnsi="Arial" w:cs="Arial"/>
                <w:sz w:val="16"/>
                <w:szCs w:val="16"/>
                <w:lang w:val="en-US"/>
              </w:rPr>
              <w:t>286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Body mass index (kg/m</w:t>
            </w:r>
            <w:r w:rsidRPr="003F08E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mean (sd)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27.7 (4.3)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26.1 (3.3)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29.3 (4.6)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Height (cm), mean (sd)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178.4 (7.7)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179.2 (8.0)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177.5 (7.6)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0.08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Weight (kg), mean (sd)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88.1 (15.2)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84.1 (13.3)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92.2 (16.0)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Heart rate, mean (sd)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68 (11)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(11)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(1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0.54</w:t>
            </w:r>
          </w:p>
        </w:tc>
      </w:tr>
      <w:tr w:rsidR="003E40C0" w:rsidRPr="002C35AD" w:rsidTr="00AB602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:rsidR="003E40C0" w:rsidRPr="003F08E7" w:rsidRDefault="003E40C0" w:rsidP="00AB602C">
            <w:pPr>
              <w:spacing w:before="10" w:after="1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Cardiac magnet resonance imaging variables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LVMI (g/m</w:t>
            </w:r>
            <w:r w:rsidRPr="003F08E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mean (sd)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47.6 (15.0)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49.7 (15.3)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45.5 (14.5)</w:t>
            </w:r>
          </w:p>
        </w:tc>
        <w:tc>
          <w:tcPr>
            <w:tcW w:w="611" w:type="pct"/>
            <w:hideMark/>
          </w:tcPr>
          <w:p w:rsidR="003E40C0" w:rsidRPr="00036409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3640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0.029</w:t>
            </w:r>
            <w:r w:rsidR="00C760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LVEF (%), mean (sd)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64.8 (6.7)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64.8 (6.3)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64.8 (7.0)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0.94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LVEDD (mm), mean (sd) 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51.0 (6.5)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51.6 (5.7)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50.5 (7.2)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0.191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RVEDD (mm), mean (sd)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35.0 (6.5)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34.5 (6.8)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35.5 (6.1)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0.23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RWT, mean (sd)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0.31 (0.13)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0.29 (0.09)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0.33 (0.15)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0.008*</w:t>
            </w:r>
          </w:p>
        </w:tc>
      </w:tr>
      <w:tr w:rsidR="003E40C0" w:rsidRPr="003F08E7" w:rsidTr="00AB602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Laboratory results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NT-proBNP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g/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median [IQR]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179.3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[71.9, 416.5]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110.7 [47.5, 216.4]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240.3 [110.7, 485.4]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CRP (mg/dl), median [IQR]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 [0.1, 0.4]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0.1 [0.1, 0.3]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0.2 [0.1, 0.5]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hs-cTnT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g/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median [IQR]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10 [6, 17]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8 [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,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[8,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Creatinin (</w:t>
            </w:r>
            <w:r w:rsidRPr="00FF7E9B">
              <w:rPr>
                <w:rFonts w:ascii="Arial" w:hAnsi="Arial" w:cs="Arial"/>
                <w:sz w:val="16"/>
                <w:szCs w:val="16"/>
                <w:lang w:val="en-US"/>
              </w:rPr>
              <w:t>µmol/L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), mean (sd)</w:t>
            </w:r>
          </w:p>
        </w:tc>
        <w:tc>
          <w:tcPr>
            <w:tcW w:w="986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94.6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66.3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86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75.1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15.0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86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112.3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88.4</w:t>
            </w: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11" w:type="pct"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E40C0" w:rsidRPr="003F08E7" w:rsidTr="0085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eGFR (ml/min), mean (sd)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91.5 (32.0)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103.8 (25.2)</w:t>
            </w:r>
          </w:p>
        </w:tc>
        <w:tc>
          <w:tcPr>
            <w:tcW w:w="986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sz w:val="16"/>
                <w:szCs w:val="16"/>
                <w:lang w:val="en-US"/>
              </w:rPr>
              <w:t>79.8 (33.5)</w:t>
            </w:r>
          </w:p>
        </w:tc>
        <w:tc>
          <w:tcPr>
            <w:tcW w:w="611" w:type="pct"/>
            <w:hideMark/>
          </w:tcPr>
          <w:p w:rsidR="003E40C0" w:rsidRPr="003F08E7" w:rsidRDefault="003E40C0" w:rsidP="00AB602C">
            <w:pPr>
              <w:spacing w:before="10" w:after="1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8E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</w:tbl>
    <w:p w:rsidR="003E40C0" w:rsidRPr="003F08E7" w:rsidRDefault="003E40C0" w:rsidP="003E40C0">
      <w:pPr>
        <w:spacing w:after="40"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F08E7">
        <w:rPr>
          <w:rFonts w:ascii="Arial" w:hAnsi="Arial" w:cs="Arial"/>
          <w:bCs/>
          <w:sz w:val="20"/>
          <w:szCs w:val="20"/>
          <w:lang w:val="en-US"/>
        </w:rPr>
        <w:t>Baseline characteristic of 95 female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Pr="003F08E7">
        <w:rPr>
          <w:rFonts w:ascii="Arial" w:hAnsi="Arial" w:cs="Arial"/>
          <w:b/>
          <w:sz w:val="20"/>
          <w:szCs w:val="20"/>
          <w:lang w:val="en-US"/>
        </w:rPr>
        <w:t>A</w:t>
      </w:r>
      <w:r>
        <w:rPr>
          <w:rFonts w:ascii="Arial" w:hAnsi="Arial" w:cs="Arial"/>
          <w:bCs/>
          <w:sz w:val="20"/>
          <w:szCs w:val="20"/>
          <w:lang w:val="en-US"/>
        </w:rPr>
        <w:t xml:space="preserve">) and </w:t>
      </w:r>
      <w:r w:rsidRPr="008D2ADE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236 m</w:t>
      </w:r>
      <w:r>
        <w:rPr>
          <w:rFonts w:ascii="Arial" w:hAnsi="Arial" w:cs="Arial"/>
          <w:bCs/>
          <w:sz w:val="20"/>
          <w:szCs w:val="20"/>
          <w:lang w:val="en-US"/>
        </w:rPr>
        <w:t>ale (</w:t>
      </w:r>
      <w:r w:rsidRPr="003F08E7">
        <w:rPr>
          <w:rFonts w:ascii="Arial" w:hAnsi="Arial" w:cs="Arial"/>
          <w:b/>
          <w:sz w:val="20"/>
          <w:szCs w:val="20"/>
          <w:lang w:val="en-US"/>
        </w:rPr>
        <w:t>B</w:t>
      </w:r>
      <w:r>
        <w:rPr>
          <w:rFonts w:ascii="Arial" w:hAnsi="Arial" w:cs="Arial"/>
          <w:bCs/>
          <w:sz w:val="20"/>
          <w:szCs w:val="20"/>
          <w:lang w:val="en-US"/>
        </w:rPr>
        <w:t>)</w:t>
      </w:r>
      <w:r w:rsidRPr="003F08E7">
        <w:rPr>
          <w:rFonts w:ascii="Arial" w:hAnsi="Arial" w:cs="Arial"/>
          <w:bCs/>
          <w:sz w:val="20"/>
          <w:szCs w:val="20"/>
          <w:lang w:val="en-US"/>
        </w:rPr>
        <w:t xml:space="preserve"> patients undergoing </w:t>
      </w:r>
      <w:r w:rsidRPr="007A43CF">
        <w:rPr>
          <w:rFonts w:ascii="Arial" w:hAnsi="Arial" w:cs="Arial"/>
          <w:bCs/>
          <w:sz w:val="20"/>
          <w:szCs w:val="20"/>
          <w:lang w:val="en-US"/>
        </w:rPr>
        <w:t xml:space="preserve">cardiac magnetic resonance imaging </w:t>
      </w:r>
      <w:r w:rsidRPr="003F08E7">
        <w:rPr>
          <w:rFonts w:ascii="Arial" w:hAnsi="Arial" w:cs="Arial"/>
          <w:bCs/>
          <w:sz w:val="20"/>
          <w:szCs w:val="20"/>
          <w:lang w:val="en-US"/>
        </w:rPr>
        <w:t>stratified by sex specific FABP4 median (</w:t>
      </w:r>
      <w:r>
        <w:rPr>
          <w:rFonts w:ascii="Arial" w:hAnsi="Arial" w:cs="Arial"/>
          <w:bCs/>
          <w:sz w:val="20"/>
          <w:szCs w:val="20"/>
          <w:lang w:val="en-US"/>
        </w:rPr>
        <w:t xml:space="preserve">female: </w:t>
      </w:r>
      <w:r w:rsidRPr="003F08E7">
        <w:rPr>
          <w:rFonts w:ascii="Arial" w:hAnsi="Arial" w:cs="Arial"/>
          <w:sz w:val="20"/>
          <w:szCs w:val="20"/>
          <w:lang w:val="en-US"/>
        </w:rPr>
        <w:t>36.52 ng/ml</w:t>
      </w:r>
      <w:r>
        <w:rPr>
          <w:rFonts w:ascii="Arial" w:hAnsi="Arial" w:cs="Arial"/>
          <w:sz w:val="20"/>
          <w:szCs w:val="20"/>
          <w:lang w:val="en-US"/>
        </w:rPr>
        <w:t xml:space="preserve">; male: </w:t>
      </w:r>
      <w:r w:rsidRPr="003F08E7">
        <w:rPr>
          <w:rFonts w:ascii="Arial" w:hAnsi="Arial" w:cs="Arial"/>
          <w:sz w:val="20"/>
          <w:szCs w:val="20"/>
          <w:lang w:val="en-US"/>
        </w:rPr>
        <w:t>13.81ng/ml)</w:t>
      </w:r>
      <w:r w:rsidRPr="003F08E7">
        <w:rPr>
          <w:rFonts w:ascii="Arial" w:hAnsi="Arial" w:cs="Arial"/>
          <w:bCs/>
          <w:sz w:val="20"/>
          <w:szCs w:val="20"/>
          <w:lang w:val="en-US"/>
        </w:rPr>
        <w:t>. Data presented as percentage, mean, or median. *</w:t>
      </w:r>
      <w:r w:rsidRPr="003F08E7">
        <w:rPr>
          <w:rFonts w:ascii="Arial" w:hAnsi="Arial" w:cs="Arial"/>
          <w:sz w:val="20"/>
          <w:szCs w:val="20"/>
          <w:lang w:val="en-US"/>
        </w:rPr>
        <w:t xml:space="preserve"> indicates statistically significant differences between the two groups (using the two-sided t test or Wilcoxon rank-sum test as appropriate).</w:t>
      </w:r>
    </w:p>
    <w:p w:rsidR="00220473" w:rsidRDefault="003E40C0" w:rsidP="003E40C0">
      <w:pPr>
        <w:spacing w:after="40"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F08E7">
        <w:rPr>
          <w:rFonts w:ascii="Arial" w:hAnsi="Arial" w:cs="Arial"/>
          <w:bCs/>
          <w:sz w:val="20"/>
          <w:szCs w:val="20"/>
          <w:lang w:val="en-US"/>
        </w:rPr>
        <w:t xml:space="preserve">Abbreviations: CRP: C-reactive protein; eGFR: estimated glomerular filtration rate; FABP4: Fatty-acid binding protein 4; </w:t>
      </w:r>
      <w:r w:rsidRPr="003F08E7">
        <w:rPr>
          <w:rFonts w:ascii="Arial" w:hAnsi="Arial" w:cs="Arial"/>
          <w:sz w:val="20"/>
          <w:szCs w:val="20"/>
          <w:lang w:val="en-US"/>
        </w:rPr>
        <w:t>hs-cTnT</w:t>
      </w:r>
      <w:r w:rsidRPr="003F08E7">
        <w:rPr>
          <w:rFonts w:ascii="Arial" w:hAnsi="Arial" w:cs="Arial"/>
          <w:bCs/>
          <w:sz w:val="20"/>
          <w:szCs w:val="20"/>
          <w:lang w:val="en-US"/>
        </w:rPr>
        <w:t xml:space="preserve">: cardiac high sensitivity troponin T; LVEDD: left ventricular end-diastolic diameter; LVEF: left ventricular ejection fraction; LVMI: left ventricular mass index; NT-proBNP: N-terminal </w:t>
      </w:r>
      <w:r w:rsidRPr="003F08E7">
        <w:rPr>
          <w:rFonts w:ascii="Arial" w:hAnsi="Arial" w:cs="Arial"/>
          <w:bCs/>
          <w:sz w:val="20"/>
          <w:szCs w:val="20"/>
          <w:lang w:val="en-US"/>
        </w:rPr>
        <w:lastRenderedPageBreak/>
        <w:t>pro B-type brain natriuretic peptid;  RVEDD: right ventricular end-diastolic diameter; RWT: relative wall thickness.</w:t>
      </w:r>
    </w:p>
    <w:p w:rsidR="00220473" w:rsidRDefault="00220473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br w:type="page"/>
      </w:r>
    </w:p>
    <w:p w:rsidR="00220473" w:rsidRDefault="00220473" w:rsidP="00220473">
      <w:pPr>
        <w:spacing w:line="480" w:lineRule="auto"/>
        <w:rPr>
          <w:rFonts w:ascii="Arial" w:hAnsi="Arial" w:cs="Arial"/>
          <w:bCs/>
          <w:lang w:val="en-US"/>
        </w:rPr>
      </w:pPr>
      <w:r w:rsidRPr="005E3619">
        <w:rPr>
          <w:rFonts w:ascii="Arial" w:hAnsi="Arial" w:cs="Arial"/>
          <w:b/>
          <w:lang w:val="en-US"/>
        </w:rPr>
        <w:lastRenderedPageBreak/>
        <w:t xml:space="preserve">Table </w:t>
      </w:r>
      <w:r w:rsidR="00182991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3</w:t>
      </w:r>
      <w:r w:rsidRPr="005E3619">
        <w:rPr>
          <w:rFonts w:ascii="Arial" w:hAnsi="Arial" w:cs="Arial"/>
          <w:b/>
          <w:lang w:val="en-US"/>
        </w:rPr>
        <w:t xml:space="preserve"> A and B.</w:t>
      </w:r>
      <w:r>
        <w:rPr>
          <w:rFonts w:ascii="Arial" w:hAnsi="Arial" w:cs="Arial"/>
          <w:bCs/>
          <w:lang w:val="en-US"/>
        </w:rPr>
        <w:t xml:space="preserve"> </w:t>
      </w:r>
      <w:r w:rsidRPr="00C64CA4">
        <w:rPr>
          <w:rFonts w:ascii="Arial" w:hAnsi="Arial" w:cs="Arial"/>
          <w:bCs/>
          <w:lang w:val="en-US"/>
        </w:rPr>
        <w:t xml:space="preserve">Spearman-rank correlation between FABP4 and </w:t>
      </w:r>
      <w:r>
        <w:rPr>
          <w:rFonts w:ascii="Arial" w:hAnsi="Arial" w:cs="Arial"/>
          <w:bCs/>
          <w:lang w:val="en-US"/>
        </w:rPr>
        <w:t>CMR</w:t>
      </w:r>
      <w:r w:rsidRPr="00C64CA4">
        <w:rPr>
          <w:rFonts w:ascii="Arial" w:hAnsi="Arial" w:cs="Arial"/>
          <w:bCs/>
          <w:lang w:val="en-US"/>
        </w:rPr>
        <w:t xml:space="preserve"> measures</w:t>
      </w:r>
      <w:r>
        <w:rPr>
          <w:rFonts w:ascii="Arial" w:hAnsi="Arial" w:cs="Arial"/>
          <w:bCs/>
          <w:lang w:val="en-US"/>
        </w:rPr>
        <w:t xml:space="preserve"> (A) and </w:t>
      </w:r>
      <w:r w:rsidRPr="00C64CA4">
        <w:rPr>
          <w:rFonts w:ascii="Arial" w:hAnsi="Arial" w:cs="Arial"/>
          <w:bCs/>
          <w:lang w:val="en-US"/>
        </w:rPr>
        <w:t>laboratory results</w:t>
      </w:r>
      <w:r>
        <w:rPr>
          <w:rFonts w:ascii="Arial" w:hAnsi="Arial" w:cs="Arial"/>
          <w:bCs/>
          <w:lang w:val="en-US"/>
        </w:rPr>
        <w:t xml:space="preserve">, age, and body mass index (B) overall, in patients with FABP4 levels below and above the median. </w:t>
      </w:r>
    </w:p>
    <w:p w:rsidR="00220473" w:rsidRPr="00BE7496" w:rsidRDefault="00220473" w:rsidP="00220473">
      <w:pPr>
        <w:spacing w:line="480" w:lineRule="auto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1335"/>
        <w:gridCol w:w="508"/>
        <w:gridCol w:w="827"/>
        <w:gridCol w:w="1336"/>
        <w:gridCol w:w="1336"/>
        <w:gridCol w:w="1336"/>
        <w:gridCol w:w="1336"/>
        <w:gridCol w:w="1336"/>
      </w:tblGrid>
      <w:tr w:rsidR="00220473" w:rsidRPr="00BE7496" w:rsidTr="0022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:rsidR="00220473" w:rsidRPr="00BE7496" w:rsidRDefault="00220473" w:rsidP="002204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335" w:type="dxa"/>
            <w:gridSpan w:val="2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LVMI</w:t>
            </w: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RWT</w:t>
            </w: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LVEDD</w:t>
            </w: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LVEF</w:t>
            </w: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RVEDD</w:t>
            </w:r>
          </w:p>
        </w:tc>
      </w:tr>
      <w:tr w:rsidR="00BE7496" w:rsidRPr="00BE7496" w:rsidTr="0022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 w:val="restart"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FABP 4 Overall</w:t>
            </w: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-0.25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-0.20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0.09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0.03</w:t>
            </w:r>
          </w:p>
        </w:tc>
      </w:tr>
      <w:tr w:rsidR="00BE7496" w:rsidRPr="00BE7496" w:rsidTr="0022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0.104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0.568</w:t>
            </w:r>
          </w:p>
        </w:tc>
      </w:tr>
      <w:tr w:rsidR="00BE7496" w:rsidRPr="00BE7496" w:rsidTr="0022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 w:val="restart"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FABP 4 ≤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median</w:t>
            </w: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-0.17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-0.13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-0.02</w:t>
            </w:r>
          </w:p>
        </w:tc>
      </w:tr>
      <w:tr w:rsidR="00BE7496" w:rsidRPr="00BE7496" w:rsidTr="0022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0.029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0.7127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0.074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0.731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0.843</w:t>
            </w:r>
          </w:p>
        </w:tc>
      </w:tr>
      <w:tr w:rsidR="00BE7496" w:rsidRPr="00BE7496" w:rsidTr="0022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 w:val="restart"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619">
              <w:rPr>
                <w:rFonts w:ascii="Arial" w:hAnsi="Arial" w:cs="Arial"/>
                <w:sz w:val="16"/>
                <w:szCs w:val="16"/>
                <w:lang w:val="en-US"/>
              </w:rPr>
              <w:t xml:space="preserve">FABP 4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&gt; median</w:t>
            </w: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0.15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-0.01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0.11</w:t>
            </w:r>
          </w:p>
        </w:tc>
      </w:tr>
      <w:tr w:rsidR="00BE7496" w:rsidRPr="00BE7496" w:rsidTr="0022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</w:tcPr>
          <w:p w:rsidR="00BE7496" w:rsidRPr="00BE7496" w:rsidRDefault="00BE7496" w:rsidP="00BE74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0.9934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0.058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0.885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0.415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0.163</w:t>
            </w:r>
          </w:p>
        </w:tc>
      </w:tr>
    </w:tbl>
    <w:p w:rsidR="00220473" w:rsidRPr="00BE7496" w:rsidRDefault="00220473" w:rsidP="00220473">
      <w:pPr>
        <w:spacing w:line="480" w:lineRule="auto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1843"/>
        <w:gridCol w:w="827"/>
        <w:gridCol w:w="1336"/>
        <w:gridCol w:w="1336"/>
        <w:gridCol w:w="1336"/>
        <w:gridCol w:w="1336"/>
        <w:gridCol w:w="1336"/>
      </w:tblGrid>
      <w:tr w:rsidR="00220473" w:rsidRPr="00BE7496" w:rsidTr="0022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:rsidR="00220473" w:rsidRPr="00BE7496" w:rsidRDefault="00220473" w:rsidP="002204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827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Nt-proBNP</w:t>
            </w: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Hs-cTnT</w:t>
            </w: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eGFR</w:t>
            </w: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1336" w:type="dxa"/>
          </w:tcPr>
          <w:p w:rsidR="00220473" w:rsidRPr="00BE7496" w:rsidRDefault="00220473" w:rsidP="00220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BMI</w:t>
            </w:r>
          </w:p>
        </w:tc>
      </w:tr>
      <w:tr w:rsidR="00BE7496" w:rsidRPr="00BE7496" w:rsidTr="0022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619">
              <w:rPr>
                <w:rFonts w:ascii="Arial" w:hAnsi="Arial" w:cs="Arial"/>
                <w:sz w:val="16"/>
                <w:szCs w:val="16"/>
                <w:lang w:val="en-US"/>
              </w:rPr>
              <w:t>FABP 4 Overall</w:t>
            </w: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0.35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0.36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-0.48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0.29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0.36</w:t>
            </w:r>
          </w:p>
        </w:tc>
      </w:tr>
      <w:tr w:rsidR="00BE7496" w:rsidRPr="00BE7496" w:rsidTr="0022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</w:tr>
      <w:tr w:rsidR="00BE7496" w:rsidRPr="00BE7496" w:rsidTr="0022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  <w:lang w:val="en-US"/>
              </w:rPr>
            </w:pPr>
            <w:r w:rsidRPr="005E3619">
              <w:rPr>
                <w:rFonts w:ascii="Arial" w:hAnsi="Arial" w:cs="Arial"/>
                <w:sz w:val="16"/>
                <w:szCs w:val="16"/>
                <w:lang w:val="en-US"/>
              </w:rPr>
              <w:t xml:space="preserve">FABP 4 </w:t>
            </w: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median</w:t>
            </w: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0.15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0.23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0.022</w:t>
            </w:r>
          </w:p>
        </w:tc>
      </w:tr>
      <w:tr w:rsidR="00BE7496" w:rsidRPr="00BE7496" w:rsidTr="0022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0.075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0.1143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0.2641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0.778</w:t>
            </w:r>
          </w:p>
        </w:tc>
      </w:tr>
      <w:tr w:rsidR="00BE7496" w:rsidRPr="00BE7496" w:rsidTr="0022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BE7496" w:rsidRPr="00BE7496" w:rsidRDefault="00BE7496" w:rsidP="00BE74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619">
              <w:rPr>
                <w:rFonts w:ascii="Arial" w:hAnsi="Arial" w:cs="Arial"/>
                <w:sz w:val="16"/>
                <w:szCs w:val="16"/>
                <w:lang w:val="en-US"/>
              </w:rPr>
              <w:t xml:space="preserve">FABP 4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&gt; median</w:t>
            </w: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0.29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0.38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-0.40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0.32</w:t>
            </w:r>
          </w:p>
        </w:tc>
      </w:tr>
      <w:tr w:rsidR="00BE7496" w:rsidRPr="00BE7496" w:rsidTr="0022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BE7496" w:rsidRPr="00BE7496" w:rsidRDefault="00BE7496" w:rsidP="00BE74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</w:tcPr>
          <w:p w:rsidR="00BE7496" w:rsidRPr="00BE7496" w:rsidRDefault="00BE7496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496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0.1408</w:t>
            </w:r>
          </w:p>
        </w:tc>
        <w:tc>
          <w:tcPr>
            <w:tcW w:w="1336" w:type="dxa"/>
          </w:tcPr>
          <w:p w:rsidR="00BE7496" w:rsidRPr="00BE7496" w:rsidRDefault="008E3633" w:rsidP="00BE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 0.001</w:t>
            </w:r>
          </w:p>
        </w:tc>
      </w:tr>
    </w:tbl>
    <w:p w:rsidR="00220473" w:rsidRPr="00BE7496" w:rsidRDefault="00220473" w:rsidP="00220473">
      <w:pPr>
        <w:spacing w:line="48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220473" w:rsidRPr="00BE7496" w:rsidRDefault="00220473" w:rsidP="00220473">
      <w:pPr>
        <w:spacing w:line="48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220473" w:rsidRDefault="00220473" w:rsidP="00220473">
      <w:pPr>
        <w:spacing w:line="480" w:lineRule="auto"/>
        <w:rPr>
          <w:rFonts w:ascii="Arial" w:hAnsi="Arial" w:cs="Arial"/>
          <w:bCs/>
          <w:lang w:val="en-US"/>
        </w:rPr>
      </w:pPr>
    </w:p>
    <w:p w:rsidR="00220473" w:rsidRDefault="00220473" w:rsidP="00220473">
      <w:pPr>
        <w:spacing w:line="480" w:lineRule="auto"/>
        <w:rPr>
          <w:rFonts w:ascii="Arial" w:hAnsi="Arial" w:cs="Arial"/>
          <w:bCs/>
          <w:sz w:val="20"/>
          <w:szCs w:val="20"/>
          <w:lang w:val="en-US"/>
        </w:rPr>
      </w:pPr>
      <w:r w:rsidRPr="005E3619">
        <w:rPr>
          <w:rFonts w:ascii="Arial" w:hAnsi="Arial" w:cs="Arial"/>
          <w:bCs/>
          <w:sz w:val="20"/>
          <w:szCs w:val="20"/>
          <w:lang w:val="en-US"/>
        </w:rPr>
        <w:t xml:space="preserve">Spearman Rank correlation analyses between FABP4 and CMR measures (A) and laboratory results, age, and body mass index (B) overall, </w:t>
      </w:r>
      <w:r w:rsidR="00BE7496" w:rsidRPr="00BE7496">
        <w:rPr>
          <w:rFonts w:ascii="Arial" w:hAnsi="Arial" w:cs="Arial"/>
          <w:bCs/>
          <w:sz w:val="20"/>
          <w:szCs w:val="20"/>
          <w:lang w:val="en-US"/>
        </w:rPr>
        <w:t>in patients with FABP4 levels below and above the median</w:t>
      </w:r>
      <w:r w:rsidR="00BE7496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BE7496" w:rsidRPr="00BE7496">
        <w:rPr>
          <w:rFonts w:ascii="Arial" w:hAnsi="Arial" w:cs="Arial"/>
          <w:bCs/>
          <w:sz w:val="20"/>
          <w:szCs w:val="20"/>
          <w:lang w:val="en-US"/>
        </w:rPr>
        <w:t>22.79ng/ml</w:t>
      </w:r>
      <w:r w:rsidR="00BE7496">
        <w:rPr>
          <w:rFonts w:ascii="Arial" w:hAnsi="Arial" w:cs="Arial"/>
          <w:bCs/>
          <w:sz w:val="20"/>
          <w:szCs w:val="20"/>
          <w:lang w:val="en-US"/>
        </w:rPr>
        <w:t>)</w:t>
      </w:r>
      <w:r w:rsidR="00BE7496" w:rsidRPr="00BE7496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:rsidR="00220473" w:rsidRDefault="00220473" w:rsidP="00220473">
      <w:pPr>
        <w:spacing w:after="40"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539BF">
        <w:rPr>
          <w:rFonts w:ascii="Arial" w:hAnsi="Arial" w:cs="Arial"/>
          <w:bCs/>
          <w:sz w:val="20"/>
          <w:szCs w:val="20"/>
          <w:lang w:val="en-US"/>
        </w:rPr>
        <w:t xml:space="preserve">Abbreviations: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BMI: body mass index; </w:t>
      </w:r>
      <w:r w:rsidRPr="00F539BF">
        <w:rPr>
          <w:rFonts w:ascii="Arial" w:hAnsi="Arial" w:cs="Arial"/>
          <w:bCs/>
          <w:sz w:val="20"/>
          <w:szCs w:val="20"/>
          <w:lang w:val="en-US"/>
        </w:rPr>
        <w:t xml:space="preserve">eGFR: estimated glomerular filtration rate; FABP4: Fatty-acid binding protein 4; </w:t>
      </w:r>
      <w:r w:rsidRPr="00F539BF">
        <w:rPr>
          <w:rFonts w:ascii="Arial" w:hAnsi="Arial" w:cs="Arial"/>
          <w:sz w:val="20"/>
          <w:szCs w:val="20"/>
          <w:lang w:val="en-US"/>
        </w:rPr>
        <w:t>hs-cTnT</w:t>
      </w:r>
      <w:r w:rsidRPr="00F539BF">
        <w:rPr>
          <w:rFonts w:ascii="Arial" w:hAnsi="Arial" w:cs="Arial"/>
          <w:bCs/>
          <w:sz w:val="20"/>
          <w:szCs w:val="20"/>
          <w:lang w:val="en-US"/>
        </w:rPr>
        <w:t>: cardiac high sensitivity troponin T; LVEDD: left ventricular end-diastolic diameter; LVEF: left ventricular ejection fraction; LVMI: left ventricular mass index; NT-proBNP: N-terminal pro B-type brain natriuretic peptid;  RVEDD: right ventricular end-diastolic diameter; RWT: relative wall thickness.</w:t>
      </w:r>
    </w:p>
    <w:p w:rsidR="003E40C0" w:rsidRPr="003F08E7" w:rsidRDefault="003E40C0" w:rsidP="003E40C0">
      <w:pPr>
        <w:spacing w:after="40"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3E40C0" w:rsidRDefault="003E40C0" w:rsidP="003E40C0">
      <w:pPr>
        <w:spacing w:after="40"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br w:type="page"/>
      </w:r>
    </w:p>
    <w:p w:rsidR="00EE7C28" w:rsidRPr="003E40C0" w:rsidRDefault="003E40C0" w:rsidP="003E40C0">
      <w:pPr>
        <w:spacing w:line="480" w:lineRule="auto"/>
        <w:rPr>
          <w:rFonts w:ascii="Arial" w:hAnsi="Arial" w:cs="Arial"/>
          <w:bCs/>
          <w:lang w:val="en-US"/>
        </w:rPr>
      </w:pPr>
      <w:r w:rsidRPr="00030015">
        <w:rPr>
          <w:rFonts w:ascii="Arial" w:hAnsi="Arial" w:cs="Arial"/>
          <w:b/>
          <w:lang w:val="en-US"/>
        </w:rPr>
        <w:lastRenderedPageBreak/>
        <w:t xml:space="preserve">Table </w:t>
      </w:r>
      <w:r w:rsidR="00182991">
        <w:rPr>
          <w:rFonts w:ascii="Arial" w:hAnsi="Arial" w:cs="Arial"/>
          <w:b/>
          <w:lang w:val="en-US"/>
        </w:rPr>
        <w:t>S</w:t>
      </w:r>
      <w:r w:rsidR="00A165F6">
        <w:rPr>
          <w:rFonts w:ascii="Arial" w:hAnsi="Arial" w:cs="Arial"/>
          <w:b/>
          <w:lang w:val="en-US"/>
        </w:rPr>
        <w:t>4</w:t>
      </w:r>
      <w:r w:rsidRPr="00030015">
        <w:rPr>
          <w:rFonts w:ascii="Arial" w:hAnsi="Arial" w:cs="Arial"/>
          <w:b/>
          <w:lang w:val="en-US"/>
        </w:rPr>
        <w:t xml:space="preserve">. </w:t>
      </w:r>
      <w:r w:rsidRPr="002F4061">
        <w:rPr>
          <w:rFonts w:ascii="Arial" w:hAnsi="Arial" w:cs="Arial"/>
          <w:bCs/>
          <w:lang w:val="en-US"/>
        </w:rPr>
        <w:t>Associations between FABP4 and cardiac magnet resonance imaging variables in women and men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276"/>
        <w:gridCol w:w="992"/>
        <w:gridCol w:w="993"/>
      </w:tblGrid>
      <w:tr w:rsidR="003E40C0" w:rsidRPr="002F4061" w:rsidTr="00AB6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:rsidR="003E40C0" w:rsidRPr="002F4061" w:rsidRDefault="003E40C0" w:rsidP="00AB602C">
            <w:pPr>
              <w:spacing w:before="20" w:after="20" w:line="480" w:lineRule="auto"/>
              <w:rPr>
                <w:rFonts w:ascii="Arial" w:hAnsi="Arial" w:cs="Arial"/>
                <w:b/>
                <w:i w:val="0"/>
                <w:iCs w:val="0"/>
                <w:sz w:val="24"/>
                <w:lang w:val="en-US"/>
              </w:rPr>
            </w:pPr>
            <w:r w:rsidRPr="002F4061">
              <w:rPr>
                <w:rFonts w:ascii="Arial" w:hAnsi="Arial" w:cs="Arial"/>
                <w:b/>
                <w:sz w:val="24"/>
                <w:lang w:val="en-US"/>
              </w:rPr>
              <w:t>Women</w:t>
            </w:r>
          </w:p>
          <w:p w:rsidR="003E40C0" w:rsidRPr="002F4061" w:rsidRDefault="003E40C0" w:rsidP="00AB602C">
            <w:pPr>
              <w:spacing w:before="20" w:after="2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E40C0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3E40C0" w:rsidRPr="002F4061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993" w:type="dxa"/>
          </w:tcPr>
          <w:p w:rsidR="003E40C0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3E40C0" w:rsidRPr="002F4061" w:rsidRDefault="003E40C0" w:rsidP="00AB602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3E40C0" w:rsidRPr="002F4061" w:rsidTr="00AB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E40C0" w:rsidRPr="002F4061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LVMI</w:t>
            </w:r>
          </w:p>
        </w:tc>
        <w:tc>
          <w:tcPr>
            <w:tcW w:w="992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-0.27</w:t>
            </w:r>
          </w:p>
        </w:tc>
        <w:tc>
          <w:tcPr>
            <w:tcW w:w="993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0.83</w:t>
            </w:r>
          </w:p>
        </w:tc>
      </w:tr>
      <w:tr w:rsidR="003E40C0" w:rsidRPr="002F4061" w:rsidTr="00AB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E40C0" w:rsidRPr="002F4061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LVEF</w:t>
            </w:r>
          </w:p>
        </w:tc>
        <w:tc>
          <w:tcPr>
            <w:tcW w:w="992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0.63</w:t>
            </w:r>
          </w:p>
        </w:tc>
        <w:tc>
          <w:tcPr>
            <w:tcW w:w="993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0.331</w:t>
            </w:r>
          </w:p>
        </w:tc>
      </w:tr>
      <w:tr w:rsidR="003E40C0" w:rsidRPr="002F4061" w:rsidTr="00AB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E40C0" w:rsidRPr="002F4061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LVEDD</w:t>
            </w:r>
          </w:p>
        </w:tc>
        <w:tc>
          <w:tcPr>
            <w:tcW w:w="992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-0.56</w:t>
            </w:r>
          </w:p>
        </w:tc>
        <w:tc>
          <w:tcPr>
            <w:tcW w:w="993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0.334</w:t>
            </w:r>
          </w:p>
        </w:tc>
      </w:tr>
      <w:tr w:rsidR="003E40C0" w:rsidRPr="002F4061" w:rsidTr="00AB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E40C0" w:rsidRPr="002F4061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RWT</w:t>
            </w:r>
          </w:p>
        </w:tc>
        <w:tc>
          <w:tcPr>
            <w:tcW w:w="992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0.51</w:t>
            </w:r>
          </w:p>
        </w:tc>
        <w:tc>
          <w:tcPr>
            <w:tcW w:w="993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0.153</w:t>
            </w:r>
          </w:p>
        </w:tc>
      </w:tr>
      <w:tr w:rsidR="003E40C0" w:rsidRPr="002F4061" w:rsidTr="00AB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E40C0" w:rsidRPr="002F4061" w:rsidRDefault="003E40C0" w:rsidP="00AB602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RVEDD</w:t>
            </w:r>
          </w:p>
        </w:tc>
        <w:tc>
          <w:tcPr>
            <w:tcW w:w="992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0.97</w:t>
            </w:r>
          </w:p>
        </w:tc>
        <w:tc>
          <w:tcPr>
            <w:tcW w:w="993" w:type="dxa"/>
          </w:tcPr>
          <w:p w:rsidR="003E40C0" w:rsidRPr="002F4061" w:rsidRDefault="003E40C0" w:rsidP="00AB602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0.20</w:t>
            </w:r>
          </w:p>
        </w:tc>
      </w:tr>
    </w:tbl>
    <w:p w:rsidR="003E40C0" w:rsidRDefault="003E40C0" w:rsidP="003E40C0">
      <w:pPr>
        <w:spacing w:line="480" w:lineRule="auto"/>
        <w:rPr>
          <w:rFonts w:ascii="Arial" w:hAnsi="Arial" w:cs="Arial"/>
          <w:bCs/>
          <w:lang w:val="en-US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953"/>
        <w:gridCol w:w="1204"/>
        <w:gridCol w:w="954"/>
        <w:gridCol w:w="39"/>
      </w:tblGrid>
      <w:tr w:rsidR="00C760EC" w:rsidRPr="002F4061" w:rsidTr="00C76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3" w:type="dxa"/>
          </w:tcPr>
          <w:p w:rsidR="001F1663" w:rsidRDefault="00C760EC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Men</w:t>
            </w:r>
          </w:p>
          <w:p w:rsidR="00C760EC" w:rsidRPr="002F4061" w:rsidRDefault="00C760EC" w:rsidP="00C760EC">
            <w:pPr>
              <w:spacing w:before="20" w:after="2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</w:tcPr>
          <w:p w:rsidR="00C760EC" w:rsidRDefault="00C760EC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C760EC" w:rsidRPr="002F4061" w:rsidRDefault="00C760EC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993" w:type="dxa"/>
            <w:gridSpan w:val="2"/>
          </w:tcPr>
          <w:p w:rsidR="00C760EC" w:rsidRDefault="00C760EC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C760EC" w:rsidRPr="002F4061" w:rsidRDefault="00C760EC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C760EC" w:rsidRPr="002F4061" w:rsidTr="00C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C760EC" w:rsidRPr="00C760EC" w:rsidRDefault="008E3633" w:rsidP="00C760EC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LVMI</w:t>
            </w:r>
          </w:p>
        </w:tc>
        <w:tc>
          <w:tcPr>
            <w:tcW w:w="1204" w:type="dxa"/>
          </w:tcPr>
          <w:p w:rsidR="00C760EC" w:rsidRPr="002F4061" w:rsidRDefault="00C760EC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-2.53</w:t>
            </w:r>
          </w:p>
        </w:tc>
        <w:tc>
          <w:tcPr>
            <w:tcW w:w="993" w:type="dxa"/>
            <w:gridSpan w:val="2"/>
          </w:tcPr>
          <w:p w:rsidR="00C760EC" w:rsidRPr="002F4061" w:rsidRDefault="00C760EC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0.01*</w:t>
            </w:r>
          </w:p>
        </w:tc>
      </w:tr>
      <w:tr w:rsidR="00C760EC" w:rsidRPr="002F4061" w:rsidTr="00C7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C760EC" w:rsidRPr="002F4061" w:rsidRDefault="00C760EC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LVEF</w:t>
            </w:r>
          </w:p>
        </w:tc>
        <w:tc>
          <w:tcPr>
            <w:tcW w:w="1204" w:type="dxa"/>
          </w:tcPr>
          <w:p w:rsidR="00C760EC" w:rsidRPr="002F4061" w:rsidRDefault="00C760EC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0.30</w:t>
            </w:r>
          </w:p>
        </w:tc>
        <w:tc>
          <w:tcPr>
            <w:tcW w:w="993" w:type="dxa"/>
            <w:gridSpan w:val="2"/>
          </w:tcPr>
          <w:p w:rsidR="00C760EC" w:rsidRPr="002F4061" w:rsidRDefault="00C760EC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0.50</w:t>
            </w:r>
          </w:p>
        </w:tc>
      </w:tr>
      <w:tr w:rsidR="00C760EC" w:rsidRPr="002F4061" w:rsidTr="00C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C760EC" w:rsidRPr="00C760EC" w:rsidRDefault="008E3633" w:rsidP="00C760EC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LVEDD</w:t>
            </w:r>
          </w:p>
        </w:tc>
        <w:tc>
          <w:tcPr>
            <w:tcW w:w="1204" w:type="dxa"/>
          </w:tcPr>
          <w:p w:rsidR="00C760EC" w:rsidRPr="00DA3E2D" w:rsidRDefault="00C760EC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-0.77</w:t>
            </w:r>
          </w:p>
        </w:tc>
        <w:tc>
          <w:tcPr>
            <w:tcW w:w="993" w:type="dxa"/>
            <w:gridSpan w:val="2"/>
          </w:tcPr>
          <w:p w:rsidR="00C760EC" w:rsidRPr="00DA3E2D" w:rsidRDefault="00C760EC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0.07</w:t>
            </w:r>
          </w:p>
        </w:tc>
      </w:tr>
      <w:tr w:rsidR="00C760EC" w:rsidRPr="002F4061" w:rsidTr="00C7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C760EC" w:rsidRPr="00C760EC" w:rsidRDefault="008E3633" w:rsidP="00C760EC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RWT</w:t>
            </w:r>
          </w:p>
        </w:tc>
        <w:tc>
          <w:tcPr>
            <w:tcW w:w="1204" w:type="dxa"/>
          </w:tcPr>
          <w:p w:rsidR="00C760EC" w:rsidRPr="002F4061" w:rsidRDefault="00C760EC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993" w:type="dxa"/>
            <w:gridSpan w:val="2"/>
          </w:tcPr>
          <w:p w:rsidR="00C760EC" w:rsidRPr="002F4061" w:rsidRDefault="00C760EC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0.003*</w:t>
            </w:r>
          </w:p>
        </w:tc>
      </w:tr>
      <w:tr w:rsidR="00C760EC" w:rsidRPr="002F4061" w:rsidTr="00C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C760EC" w:rsidRPr="002F4061" w:rsidRDefault="00C760EC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RVEDD</w:t>
            </w:r>
          </w:p>
        </w:tc>
        <w:tc>
          <w:tcPr>
            <w:tcW w:w="1204" w:type="dxa"/>
          </w:tcPr>
          <w:p w:rsidR="00C760EC" w:rsidRPr="002F4061" w:rsidRDefault="00C760EC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993" w:type="dxa"/>
            <w:gridSpan w:val="2"/>
          </w:tcPr>
          <w:p w:rsidR="00C760EC" w:rsidRPr="002F4061" w:rsidRDefault="00C760EC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0.08</w:t>
            </w:r>
          </w:p>
        </w:tc>
      </w:tr>
      <w:tr w:rsidR="00C760EC" w:rsidRPr="00E8129A" w:rsidTr="00C760EC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right w:val="none" w:sz="0" w:space="0" w:color="auto"/>
            </w:tcBorders>
          </w:tcPr>
          <w:p w:rsidR="00C760EC" w:rsidRPr="00E8129A" w:rsidRDefault="00C760EC" w:rsidP="00C760EC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129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Fully adjusted</w:t>
            </w:r>
          </w:p>
        </w:tc>
      </w:tr>
      <w:tr w:rsidR="00C760EC" w:rsidRPr="008576CE" w:rsidTr="00C760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C760EC" w:rsidRPr="00DA3E2D" w:rsidRDefault="00C760EC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LVMI</w:t>
            </w:r>
          </w:p>
        </w:tc>
        <w:tc>
          <w:tcPr>
            <w:tcW w:w="1204" w:type="dxa"/>
          </w:tcPr>
          <w:p w:rsidR="00C760EC" w:rsidRPr="00DA3E2D" w:rsidRDefault="00C760EC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-4.84</w:t>
            </w:r>
          </w:p>
        </w:tc>
        <w:tc>
          <w:tcPr>
            <w:tcW w:w="954" w:type="dxa"/>
          </w:tcPr>
          <w:p w:rsidR="00C760EC" w:rsidRPr="00DA3E2D" w:rsidRDefault="00C760EC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</w:tr>
      <w:tr w:rsidR="00C760EC" w:rsidRPr="008576CE" w:rsidTr="00C760EC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C760EC" w:rsidRPr="00DA3E2D" w:rsidRDefault="00C760EC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RWT</w:t>
            </w:r>
          </w:p>
        </w:tc>
        <w:tc>
          <w:tcPr>
            <w:tcW w:w="1204" w:type="dxa"/>
          </w:tcPr>
          <w:p w:rsidR="00C760EC" w:rsidRPr="00DA3E2D" w:rsidRDefault="00C760EC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954" w:type="dxa"/>
          </w:tcPr>
          <w:p w:rsidR="00C760EC" w:rsidRPr="00DA3E2D" w:rsidRDefault="00C760EC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0.80</w:t>
            </w:r>
          </w:p>
        </w:tc>
      </w:tr>
    </w:tbl>
    <w:p w:rsidR="00C760EC" w:rsidRPr="00030015" w:rsidRDefault="00C760EC" w:rsidP="003E40C0">
      <w:pPr>
        <w:spacing w:line="480" w:lineRule="auto"/>
        <w:rPr>
          <w:rFonts w:ascii="Arial" w:hAnsi="Arial" w:cs="Arial"/>
          <w:bCs/>
          <w:lang w:val="en-US"/>
        </w:rPr>
      </w:pPr>
    </w:p>
    <w:p w:rsidR="003E40C0" w:rsidRPr="002F4061" w:rsidRDefault="00833017" w:rsidP="003E40C0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N= 95 women and n= 236 men. </w:t>
      </w:r>
      <w:r w:rsidR="003E40C0" w:rsidRPr="002F4061">
        <w:rPr>
          <w:rFonts w:ascii="Arial" w:hAnsi="Arial" w:cs="Arial"/>
          <w:bCs/>
          <w:sz w:val="20"/>
          <w:szCs w:val="20"/>
          <w:lang w:val="en-US"/>
        </w:rPr>
        <w:t xml:space="preserve">Estimates are beta coefficients per sex-standardized standard deviation increase of fatty acid binding protein 4. </w:t>
      </w:r>
      <w:r w:rsidR="00C760EC" w:rsidRPr="002F4061">
        <w:rPr>
          <w:rFonts w:ascii="Arial" w:hAnsi="Arial" w:cs="Arial"/>
          <w:bCs/>
          <w:sz w:val="20"/>
          <w:szCs w:val="20"/>
          <w:lang w:val="en-US"/>
        </w:rPr>
        <w:t xml:space="preserve">Models </w:t>
      </w:r>
      <w:r w:rsidR="00C760EC" w:rsidRPr="002F4061">
        <w:rPr>
          <w:rFonts w:ascii="Arial" w:hAnsi="Arial" w:cs="Arial"/>
          <w:sz w:val="20"/>
          <w:szCs w:val="20"/>
          <w:lang w:val="en-US"/>
        </w:rPr>
        <w:t xml:space="preserve">adjusted </w:t>
      </w:r>
      <w:r w:rsidR="00C760EC" w:rsidRPr="002F4061">
        <w:rPr>
          <w:rFonts w:ascii="Arial" w:hAnsi="Arial" w:cs="Arial"/>
          <w:bCs/>
          <w:sz w:val="20"/>
          <w:szCs w:val="20"/>
          <w:lang w:val="en-US"/>
        </w:rPr>
        <w:t>for age, body mass index, heart rate, glomerular filtration rate, N-terminal pro B-type brain natriuretic peptid levels, and diagnosis of diabetes mellitus, arterial hypertension, or coronary artery disease. * indicates p&lt;0.05 in secondary analyses.</w:t>
      </w:r>
    </w:p>
    <w:p w:rsidR="001F1663" w:rsidRDefault="003E40C0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2F4061">
        <w:rPr>
          <w:rFonts w:ascii="Arial" w:hAnsi="Arial" w:cs="Arial"/>
          <w:bCs/>
          <w:sz w:val="20"/>
          <w:szCs w:val="20"/>
          <w:lang w:val="en-US"/>
        </w:rPr>
        <w:t>Abbreviations: LVEDD: left ventricular end-diastolic diameter; LVEF: left ventricular ejection fraction; LVMI: left ventricular mass index; RVEDD: right ventricular end-diastolic diameter; RWT: relative wall thickness.</w:t>
      </w:r>
    </w:p>
    <w:p w:rsidR="00A165F6" w:rsidRDefault="00A165F6">
      <w:pPr>
        <w:rPr>
          <w:lang w:val="en-US"/>
        </w:rPr>
      </w:pPr>
    </w:p>
    <w:p w:rsidR="00645242" w:rsidRPr="003E40C0" w:rsidRDefault="00645242" w:rsidP="00645242">
      <w:pPr>
        <w:spacing w:line="480" w:lineRule="auto"/>
        <w:rPr>
          <w:rFonts w:ascii="Arial" w:hAnsi="Arial" w:cs="Arial"/>
          <w:bCs/>
          <w:lang w:val="en-US"/>
        </w:rPr>
      </w:pPr>
      <w:r w:rsidRPr="00030015">
        <w:rPr>
          <w:rFonts w:ascii="Arial" w:hAnsi="Arial" w:cs="Arial"/>
          <w:b/>
          <w:lang w:val="en-US"/>
        </w:rPr>
        <w:lastRenderedPageBreak/>
        <w:t xml:space="preserve">Table </w:t>
      </w:r>
      <w:r w:rsidR="00182991">
        <w:rPr>
          <w:rFonts w:ascii="Arial" w:hAnsi="Arial" w:cs="Arial"/>
          <w:b/>
          <w:lang w:val="en-US"/>
        </w:rPr>
        <w:t>S</w:t>
      </w:r>
      <w:r w:rsidR="00C760EC">
        <w:rPr>
          <w:rFonts w:ascii="Arial" w:hAnsi="Arial" w:cs="Arial"/>
          <w:b/>
          <w:lang w:val="en-US"/>
        </w:rPr>
        <w:t>5</w:t>
      </w:r>
      <w:r w:rsidRPr="00030015">
        <w:rPr>
          <w:rFonts w:ascii="Arial" w:hAnsi="Arial" w:cs="Arial"/>
          <w:b/>
          <w:lang w:val="en-US"/>
        </w:rPr>
        <w:t xml:space="preserve">. </w:t>
      </w:r>
      <w:r w:rsidRPr="002F4061">
        <w:rPr>
          <w:rFonts w:ascii="Arial" w:hAnsi="Arial" w:cs="Arial"/>
          <w:bCs/>
          <w:lang w:val="en-US"/>
        </w:rPr>
        <w:t xml:space="preserve">Associations between FABP4 and cardiac magnet resonance imaging variables in </w:t>
      </w:r>
      <w:r>
        <w:rPr>
          <w:rFonts w:ascii="Arial" w:hAnsi="Arial" w:cs="Arial"/>
          <w:bCs/>
          <w:lang w:val="en-US"/>
        </w:rPr>
        <w:t>patients with FABP4 levels above or below the median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953"/>
        <w:gridCol w:w="1204"/>
        <w:gridCol w:w="954"/>
        <w:gridCol w:w="39"/>
      </w:tblGrid>
      <w:tr w:rsidR="00645242" w:rsidRPr="002F4061" w:rsidTr="00645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3" w:type="dxa"/>
          </w:tcPr>
          <w:p w:rsidR="00645242" w:rsidRPr="00645242" w:rsidRDefault="00645242" w:rsidP="00C760EC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FABP4</w:t>
            </w:r>
            <w:r w:rsidRPr="005C529F">
              <w:rPr>
                <w:rFonts w:ascii="Arial" w:hAnsi="Arial" w:cs="Arial"/>
                <w:bCs/>
                <w:sz w:val="20"/>
                <w:szCs w:val="20"/>
                <w:lang w:val="en-US"/>
              </w:rPr>
              <w:t>≤</w:t>
            </w:r>
            <w:r>
              <w:rPr>
                <w:rFonts w:ascii="Arial" w:hAnsi="Arial" w:cs="Arial"/>
                <w:b/>
                <w:sz w:val="24"/>
              </w:rPr>
              <w:t>median</w:t>
            </w:r>
          </w:p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</w:tcPr>
          <w:p w:rsidR="00645242" w:rsidRDefault="00645242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645242" w:rsidRPr="002F4061" w:rsidRDefault="00645242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993" w:type="dxa"/>
            <w:gridSpan w:val="2"/>
          </w:tcPr>
          <w:p w:rsidR="00645242" w:rsidRDefault="00645242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645242" w:rsidRPr="002F4061" w:rsidRDefault="00645242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645242" w:rsidRPr="002F4061" w:rsidTr="00645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LVMI</w:t>
            </w:r>
          </w:p>
        </w:tc>
        <w:tc>
          <w:tcPr>
            <w:tcW w:w="1204" w:type="dxa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3.1</w:t>
            </w:r>
          </w:p>
        </w:tc>
        <w:tc>
          <w:tcPr>
            <w:tcW w:w="993" w:type="dxa"/>
            <w:gridSpan w:val="2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064</w:t>
            </w:r>
          </w:p>
        </w:tc>
      </w:tr>
      <w:tr w:rsidR="00645242" w:rsidRPr="002F4061" w:rsidTr="00645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LVEF</w:t>
            </w:r>
          </w:p>
        </w:tc>
        <w:tc>
          <w:tcPr>
            <w:tcW w:w="1204" w:type="dxa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-0.29</w:t>
            </w:r>
          </w:p>
        </w:tc>
        <w:tc>
          <w:tcPr>
            <w:tcW w:w="993" w:type="dxa"/>
            <w:gridSpan w:val="2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693</w:t>
            </w:r>
          </w:p>
        </w:tc>
      </w:tr>
      <w:tr w:rsidR="00645242" w:rsidRPr="002F4061" w:rsidTr="00645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645242" w:rsidRPr="00645242" w:rsidRDefault="008E3633" w:rsidP="00C760EC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LVEDD</w:t>
            </w:r>
          </w:p>
        </w:tc>
        <w:tc>
          <w:tcPr>
            <w:tcW w:w="1204" w:type="dxa"/>
          </w:tcPr>
          <w:p w:rsidR="00645242" w:rsidRPr="00645242" w:rsidRDefault="008E3633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-1.51</w:t>
            </w:r>
          </w:p>
        </w:tc>
        <w:tc>
          <w:tcPr>
            <w:tcW w:w="993" w:type="dxa"/>
            <w:gridSpan w:val="2"/>
          </w:tcPr>
          <w:p w:rsidR="00645242" w:rsidRPr="00645242" w:rsidRDefault="008E3633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0.0286</w:t>
            </w:r>
          </w:p>
        </w:tc>
      </w:tr>
      <w:tr w:rsidR="00645242" w:rsidRPr="002F4061" w:rsidTr="00645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RWT</w:t>
            </w:r>
          </w:p>
        </w:tc>
        <w:tc>
          <w:tcPr>
            <w:tcW w:w="1204" w:type="dxa"/>
          </w:tcPr>
          <w:p w:rsidR="00645242" w:rsidRPr="002F4061" w:rsidRDefault="00645242" w:rsidP="00645242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993" w:type="dxa"/>
            <w:gridSpan w:val="2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769</w:t>
            </w:r>
          </w:p>
        </w:tc>
      </w:tr>
      <w:tr w:rsidR="00645242" w:rsidRPr="002F4061" w:rsidTr="00645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RVEDD</w:t>
            </w:r>
          </w:p>
        </w:tc>
        <w:tc>
          <w:tcPr>
            <w:tcW w:w="1204" w:type="dxa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gridSpan w:val="2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812</w:t>
            </w:r>
          </w:p>
        </w:tc>
      </w:tr>
      <w:tr w:rsidR="00645242" w:rsidRPr="00E8129A" w:rsidTr="00645242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tcBorders>
              <w:right w:val="none" w:sz="0" w:space="0" w:color="auto"/>
            </w:tcBorders>
          </w:tcPr>
          <w:p w:rsidR="00645242" w:rsidRPr="00E8129A" w:rsidRDefault="00645242" w:rsidP="00C760EC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129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Fully adjusted</w:t>
            </w:r>
          </w:p>
        </w:tc>
      </w:tr>
      <w:tr w:rsidR="00645242" w:rsidRPr="008576CE" w:rsidTr="006452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645242" w:rsidRPr="008576CE" w:rsidRDefault="008E3633" w:rsidP="00C760EC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LVEDD</w:t>
            </w:r>
          </w:p>
        </w:tc>
        <w:tc>
          <w:tcPr>
            <w:tcW w:w="0" w:type="dxa"/>
          </w:tcPr>
          <w:p w:rsidR="00645242" w:rsidRPr="008576CE" w:rsidRDefault="008E3633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-0.64</w:t>
            </w:r>
          </w:p>
        </w:tc>
        <w:tc>
          <w:tcPr>
            <w:tcW w:w="954" w:type="dxa"/>
          </w:tcPr>
          <w:p w:rsidR="00645242" w:rsidRPr="008576CE" w:rsidRDefault="008E3633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0.361</w:t>
            </w:r>
          </w:p>
        </w:tc>
      </w:tr>
    </w:tbl>
    <w:p w:rsidR="00645242" w:rsidRPr="00030015" w:rsidRDefault="00645242" w:rsidP="00645242">
      <w:pPr>
        <w:spacing w:line="480" w:lineRule="auto"/>
        <w:rPr>
          <w:rFonts w:ascii="Arial" w:hAnsi="Arial" w:cs="Arial"/>
          <w:bCs/>
          <w:lang w:val="en-US"/>
        </w:rPr>
      </w:pPr>
    </w:p>
    <w:tbl>
      <w:tblPr>
        <w:tblStyle w:val="PlainTable51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984"/>
        <w:gridCol w:w="977"/>
        <w:gridCol w:w="978"/>
      </w:tblGrid>
      <w:tr w:rsidR="00645242" w:rsidRPr="002F4061" w:rsidTr="00C76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b/>
                <w:i w:val="0"/>
                <w:iCs w:val="0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FABP4&gt;median</w:t>
            </w:r>
          </w:p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645242" w:rsidRPr="002F4061" w:rsidRDefault="00645242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978" w:type="dxa"/>
          </w:tcPr>
          <w:p w:rsidR="00645242" w:rsidRDefault="00645242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</w:p>
          <w:p w:rsidR="00645242" w:rsidRPr="002F4061" w:rsidRDefault="00645242" w:rsidP="00C760EC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645242" w:rsidRPr="002F4061" w:rsidTr="00C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45242" w:rsidRPr="00833017" w:rsidRDefault="008E3633" w:rsidP="00C760EC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LVMI</w:t>
            </w:r>
          </w:p>
        </w:tc>
        <w:tc>
          <w:tcPr>
            <w:tcW w:w="977" w:type="dxa"/>
          </w:tcPr>
          <w:p w:rsidR="00645242" w:rsidRPr="00833017" w:rsidRDefault="008E3633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0.59</w:t>
            </w:r>
          </w:p>
        </w:tc>
        <w:tc>
          <w:tcPr>
            <w:tcW w:w="978" w:type="dxa"/>
          </w:tcPr>
          <w:p w:rsidR="00645242" w:rsidRPr="00833017" w:rsidRDefault="008E3633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0.743</w:t>
            </w:r>
          </w:p>
        </w:tc>
      </w:tr>
      <w:tr w:rsidR="00645242" w:rsidRPr="002F4061" w:rsidTr="00C7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LVEF</w:t>
            </w:r>
          </w:p>
        </w:tc>
        <w:tc>
          <w:tcPr>
            <w:tcW w:w="977" w:type="dxa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978" w:type="dxa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416</w:t>
            </w:r>
          </w:p>
        </w:tc>
      </w:tr>
      <w:tr w:rsidR="00645242" w:rsidRPr="002F4061" w:rsidTr="00C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LVEDD</w:t>
            </w:r>
          </w:p>
        </w:tc>
        <w:tc>
          <w:tcPr>
            <w:tcW w:w="977" w:type="dxa"/>
          </w:tcPr>
          <w:p w:rsidR="00645242" w:rsidRPr="002F4061" w:rsidRDefault="008576CE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78" w:type="dxa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8576CE">
              <w:rPr>
                <w:rFonts w:ascii="Arial" w:hAnsi="Arial" w:cs="Arial"/>
                <w:sz w:val="16"/>
                <w:szCs w:val="16"/>
                <w:lang w:val="en-US"/>
              </w:rPr>
              <w:t>853</w:t>
            </w:r>
          </w:p>
        </w:tc>
      </w:tr>
      <w:tr w:rsidR="00645242" w:rsidRPr="002F4061" w:rsidTr="00C76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45242" w:rsidRPr="008576CE" w:rsidRDefault="008E3633" w:rsidP="00C760EC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RWT</w:t>
            </w:r>
          </w:p>
        </w:tc>
        <w:tc>
          <w:tcPr>
            <w:tcW w:w="977" w:type="dxa"/>
          </w:tcPr>
          <w:p w:rsidR="00645242" w:rsidRPr="008576CE" w:rsidRDefault="008E3633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78" w:type="dxa"/>
          </w:tcPr>
          <w:p w:rsidR="00645242" w:rsidRPr="008576CE" w:rsidRDefault="008E3633" w:rsidP="00C760EC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0.253*</w:t>
            </w:r>
          </w:p>
        </w:tc>
      </w:tr>
      <w:tr w:rsidR="00645242" w:rsidRPr="002F4061" w:rsidTr="00C7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45242" w:rsidRPr="002F4061" w:rsidRDefault="00645242" w:rsidP="00C760EC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RVEDD</w:t>
            </w:r>
          </w:p>
        </w:tc>
        <w:tc>
          <w:tcPr>
            <w:tcW w:w="977" w:type="dxa"/>
          </w:tcPr>
          <w:p w:rsidR="00645242" w:rsidRPr="002F4061" w:rsidRDefault="008576CE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1.07</w:t>
            </w:r>
          </w:p>
        </w:tc>
        <w:tc>
          <w:tcPr>
            <w:tcW w:w="978" w:type="dxa"/>
          </w:tcPr>
          <w:p w:rsidR="00645242" w:rsidRPr="002F4061" w:rsidRDefault="00645242" w:rsidP="00C760EC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061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8576CE">
              <w:rPr>
                <w:rFonts w:ascii="Arial" w:hAnsi="Arial" w:cs="Arial"/>
                <w:sz w:val="16"/>
                <w:szCs w:val="16"/>
                <w:lang w:val="en-US"/>
              </w:rPr>
              <w:t>213</w:t>
            </w:r>
          </w:p>
        </w:tc>
      </w:tr>
    </w:tbl>
    <w:p w:rsidR="00645242" w:rsidRDefault="00645242" w:rsidP="0064524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645242" w:rsidRDefault="00645242" w:rsidP="0064524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645242" w:rsidRDefault="00645242" w:rsidP="0064524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645242" w:rsidRDefault="00645242" w:rsidP="0064524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645242" w:rsidRDefault="00645242" w:rsidP="0064524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645242" w:rsidRDefault="00645242" w:rsidP="0064524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645242" w:rsidRDefault="00645242" w:rsidP="0064524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645242" w:rsidRPr="002F4061" w:rsidRDefault="00645242" w:rsidP="0064524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N = 166 patient with </w:t>
      </w:r>
      <w:r w:rsidRPr="00DC1328">
        <w:rPr>
          <w:rFonts w:ascii="Arial" w:hAnsi="Arial" w:cs="Arial"/>
          <w:bCs/>
          <w:sz w:val="20"/>
          <w:szCs w:val="20"/>
          <w:lang w:val="en-US"/>
        </w:rPr>
        <w:t>FABP4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levels </w:t>
      </w:r>
      <w:r w:rsidRPr="005C529F">
        <w:rPr>
          <w:rFonts w:ascii="Arial" w:hAnsi="Arial" w:cs="Arial"/>
          <w:bCs/>
          <w:sz w:val="20"/>
          <w:szCs w:val="20"/>
          <w:lang w:val="en-US"/>
        </w:rPr>
        <w:t>≤</w:t>
      </w:r>
      <w:r w:rsidRPr="00DC1328">
        <w:rPr>
          <w:rFonts w:ascii="Arial" w:hAnsi="Arial" w:cs="Arial"/>
          <w:bCs/>
          <w:sz w:val="20"/>
          <w:szCs w:val="20"/>
          <w:lang w:val="en-US"/>
        </w:rPr>
        <w:t xml:space="preserve"> median (</w:t>
      </w:r>
      <w:r w:rsidRPr="00DC1328">
        <w:rPr>
          <w:rFonts w:ascii="Arial" w:hAnsi="Arial" w:cs="Arial"/>
          <w:sz w:val="20"/>
          <w:szCs w:val="20"/>
          <w:lang w:val="en-US"/>
        </w:rPr>
        <w:t>22.79ng/ml)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and n=165 patients with FABP4 levels below the median</w:t>
      </w:r>
      <w:r w:rsidR="002C35AD">
        <w:rPr>
          <w:rFonts w:ascii="Arial" w:hAnsi="Arial" w:cs="Arial"/>
          <w:bCs/>
          <w:sz w:val="20"/>
          <w:szCs w:val="20"/>
          <w:lang w:val="en-US"/>
        </w:rPr>
        <w:t>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2F4061">
        <w:rPr>
          <w:rFonts w:ascii="Arial" w:hAnsi="Arial" w:cs="Arial"/>
          <w:bCs/>
          <w:sz w:val="20"/>
          <w:szCs w:val="20"/>
          <w:lang w:val="en-US"/>
        </w:rPr>
        <w:t xml:space="preserve">Estimates are beta coefficients per sex-standardized standard deviation increase of fatty acid binding protein 4. </w:t>
      </w:r>
    </w:p>
    <w:p w:rsidR="00645242" w:rsidRPr="002F4061" w:rsidRDefault="00645242" w:rsidP="00645242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F4061">
        <w:rPr>
          <w:rFonts w:ascii="Arial" w:hAnsi="Arial" w:cs="Arial"/>
          <w:bCs/>
          <w:sz w:val="20"/>
          <w:szCs w:val="20"/>
          <w:lang w:val="en-US"/>
        </w:rPr>
        <w:t xml:space="preserve">Abbreviations: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FABP4: </w:t>
      </w:r>
      <w:r w:rsidRPr="002F4061">
        <w:rPr>
          <w:rFonts w:ascii="Arial" w:hAnsi="Arial" w:cs="Arial"/>
          <w:bCs/>
          <w:sz w:val="20"/>
          <w:szCs w:val="20"/>
          <w:lang w:val="en-US"/>
        </w:rPr>
        <w:t>fatty acid binding protein 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; </w:t>
      </w:r>
      <w:r w:rsidRPr="002F4061">
        <w:rPr>
          <w:rFonts w:ascii="Arial" w:hAnsi="Arial" w:cs="Arial"/>
          <w:bCs/>
          <w:sz w:val="20"/>
          <w:szCs w:val="20"/>
          <w:lang w:val="en-US"/>
        </w:rPr>
        <w:t>LVEDD: left ventricular end-diastolic diameter; LVEF: left ventricular ejection fraction; LVMI: left ventricular mass index; RVEDD: right ventricular end-diastolic diameter; RWT: relative wall thickness.</w:t>
      </w:r>
    </w:p>
    <w:p w:rsidR="00645242" w:rsidRDefault="0064524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305661" w:rsidRDefault="00305661" w:rsidP="00305661">
      <w:pPr>
        <w:spacing w:line="480" w:lineRule="auto"/>
        <w:rPr>
          <w:rFonts w:ascii="Arial" w:hAnsi="Arial" w:cs="Arial"/>
          <w:bCs/>
          <w:lang w:val="en-US"/>
        </w:rPr>
      </w:pPr>
      <w:r w:rsidRPr="00030015">
        <w:rPr>
          <w:rFonts w:ascii="Arial" w:hAnsi="Arial" w:cs="Arial"/>
          <w:b/>
          <w:lang w:val="en-US"/>
        </w:rPr>
        <w:lastRenderedPageBreak/>
        <w:t xml:space="preserve">Table </w:t>
      </w:r>
      <w:r w:rsidR="00182991">
        <w:rPr>
          <w:rFonts w:ascii="Arial" w:hAnsi="Arial" w:cs="Arial"/>
          <w:b/>
          <w:lang w:val="en-US"/>
        </w:rPr>
        <w:t>S</w:t>
      </w:r>
      <w:r w:rsidR="00C760EC">
        <w:rPr>
          <w:rFonts w:ascii="Arial" w:hAnsi="Arial" w:cs="Arial"/>
          <w:b/>
          <w:lang w:val="en-US"/>
        </w:rPr>
        <w:t>6</w:t>
      </w:r>
      <w:r w:rsidR="008E3633" w:rsidRPr="008E3633">
        <w:rPr>
          <w:rFonts w:ascii="Arial" w:hAnsi="Arial" w:cs="Arial"/>
          <w:bCs/>
          <w:lang w:val="en-US"/>
        </w:rPr>
        <w:t xml:space="preserve">. </w:t>
      </w:r>
      <w:r w:rsidRPr="00305661">
        <w:rPr>
          <w:rFonts w:ascii="Arial" w:hAnsi="Arial" w:cs="Arial"/>
          <w:bCs/>
          <w:lang w:val="en-US"/>
        </w:rPr>
        <w:t>Associations between FABP4 and N</w:t>
      </w:r>
      <w:r w:rsidRPr="005C529F">
        <w:rPr>
          <w:rFonts w:ascii="Arial" w:hAnsi="Arial" w:cs="Arial"/>
          <w:bCs/>
          <w:lang w:val="en-US"/>
        </w:rPr>
        <w:t>T-p</w:t>
      </w:r>
      <w:r w:rsidRPr="00645242">
        <w:rPr>
          <w:rFonts w:ascii="Arial" w:hAnsi="Arial" w:cs="Arial"/>
          <w:bCs/>
          <w:lang w:val="en-US"/>
        </w:rPr>
        <w:t>ro B</w:t>
      </w:r>
      <w:r w:rsidRPr="008576CE">
        <w:rPr>
          <w:rFonts w:ascii="Arial" w:hAnsi="Arial" w:cs="Arial"/>
          <w:bCs/>
          <w:lang w:val="en-US"/>
        </w:rPr>
        <w:t xml:space="preserve">NP </w:t>
      </w:r>
      <w:r w:rsidRPr="00305661">
        <w:rPr>
          <w:rFonts w:ascii="Arial" w:hAnsi="Arial" w:cs="Arial"/>
          <w:bCs/>
          <w:lang w:val="en-US"/>
        </w:rPr>
        <w:t xml:space="preserve">and hs-cTnT </w:t>
      </w:r>
      <w:r w:rsidR="008E3633" w:rsidRPr="008E3633">
        <w:rPr>
          <w:rFonts w:ascii="Arial" w:hAnsi="Arial" w:cs="Arial"/>
          <w:bCs/>
          <w:lang w:val="en-US"/>
        </w:rPr>
        <w:t>in the overall cohort</w:t>
      </w:r>
    </w:p>
    <w:p w:rsidR="00305661" w:rsidRPr="00305661" w:rsidRDefault="00305661" w:rsidP="00305661">
      <w:pPr>
        <w:spacing w:line="48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560"/>
        <w:gridCol w:w="1204"/>
        <w:gridCol w:w="1205"/>
      </w:tblGrid>
      <w:tr w:rsidR="00305661" w:rsidRPr="00305661" w:rsidTr="00E26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305661" w:rsidRPr="00305661" w:rsidRDefault="00305661" w:rsidP="00E265CD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305661" w:rsidRPr="00305661" w:rsidTr="00E2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right w:val="none" w:sz="0" w:space="0" w:color="auto"/>
            </w:tcBorders>
          </w:tcPr>
          <w:p w:rsidR="00305661" w:rsidRPr="00305661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sz w:val="16"/>
                <w:szCs w:val="16"/>
                <w:lang w:val="en-US"/>
              </w:rPr>
              <w:t>Unadjusted</w:t>
            </w:r>
          </w:p>
        </w:tc>
      </w:tr>
      <w:tr w:rsidR="00305661" w:rsidRPr="00305661" w:rsidTr="00E2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05661" w:rsidRPr="00305661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Nt-pro BNP</w:t>
            </w:r>
          </w:p>
        </w:tc>
        <w:tc>
          <w:tcPr>
            <w:tcW w:w="1204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248.7</w:t>
            </w:r>
          </w:p>
        </w:tc>
        <w:tc>
          <w:tcPr>
            <w:tcW w:w="1205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305661" w:rsidRPr="00305661" w:rsidTr="00E2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05661" w:rsidRPr="00305661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Hs-cTnT</w:t>
            </w:r>
          </w:p>
        </w:tc>
        <w:tc>
          <w:tcPr>
            <w:tcW w:w="1204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9.5</w:t>
            </w:r>
          </w:p>
        </w:tc>
        <w:tc>
          <w:tcPr>
            <w:tcW w:w="1205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0.289</w:t>
            </w:r>
          </w:p>
        </w:tc>
      </w:tr>
      <w:tr w:rsidR="00305661" w:rsidRPr="00305661" w:rsidTr="00E2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right w:val="none" w:sz="0" w:space="0" w:color="auto"/>
            </w:tcBorders>
          </w:tcPr>
          <w:p w:rsidR="00305661" w:rsidRPr="00305661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Fully adjusted</w:t>
            </w:r>
          </w:p>
        </w:tc>
      </w:tr>
      <w:tr w:rsidR="00305661" w:rsidRPr="00305661" w:rsidTr="00E2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05661" w:rsidRPr="00305661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Nt-pro BNP</w:t>
            </w:r>
          </w:p>
        </w:tc>
        <w:tc>
          <w:tcPr>
            <w:tcW w:w="1204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150.7</w:t>
            </w:r>
          </w:p>
        </w:tc>
        <w:tc>
          <w:tcPr>
            <w:tcW w:w="1205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0.005</w:t>
            </w:r>
          </w:p>
        </w:tc>
      </w:tr>
    </w:tbl>
    <w:p w:rsidR="00305661" w:rsidRDefault="00305661" w:rsidP="00305661">
      <w:pPr>
        <w:rPr>
          <w:rFonts w:ascii="Arial" w:hAnsi="Arial" w:cs="Arial"/>
          <w:color w:val="000000"/>
          <w:lang w:eastAsia="en-GB"/>
        </w:rPr>
      </w:pPr>
    </w:p>
    <w:p w:rsidR="00305661" w:rsidRDefault="00305661" w:rsidP="00305661">
      <w:pPr>
        <w:rPr>
          <w:rFonts w:ascii="Arial" w:hAnsi="Arial" w:cs="Arial"/>
          <w:color w:val="000000"/>
          <w:lang w:eastAsia="en-GB"/>
        </w:rPr>
      </w:pPr>
    </w:p>
    <w:p w:rsidR="00305661" w:rsidRDefault="00305661" w:rsidP="00305661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539BF">
        <w:rPr>
          <w:rFonts w:ascii="Arial" w:hAnsi="Arial" w:cs="Arial"/>
          <w:bCs/>
          <w:sz w:val="20"/>
          <w:szCs w:val="20"/>
          <w:lang w:val="en-US"/>
        </w:rPr>
        <w:t xml:space="preserve">Estimates are beta coefficients per sex-standardized standard deviation increase of fatty acid binding protein 4. * indicates p </w:t>
      </w:r>
      <w:r>
        <w:rPr>
          <w:rFonts w:ascii="Arial" w:hAnsi="Arial" w:cs="Arial"/>
          <w:bCs/>
          <w:sz w:val="20"/>
          <w:szCs w:val="20"/>
          <w:lang w:val="en-US"/>
        </w:rPr>
        <w:t>&lt;</w:t>
      </w:r>
      <w:r w:rsidRPr="00F539BF">
        <w:rPr>
          <w:rFonts w:ascii="Arial" w:hAnsi="Arial" w:cs="Arial"/>
          <w:bCs/>
          <w:sz w:val="20"/>
          <w:szCs w:val="20"/>
          <w:lang w:val="en-US"/>
        </w:rPr>
        <w:t xml:space="preserve"> 0.0</w:t>
      </w:r>
      <w:r>
        <w:rPr>
          <w:rFonts w:ascii="Arial" w:hAnsi="Arial" w:cs="Arial"/>
          <w:bCs/>
          <w:sz w:val="20"/>
          <w:szCs w:val="20"/>
          <w:lang w:val="en-US"/>
        </w:rPr>
        <w:t>5</w:t>
      </w:r>
      <w:r w:rsidRPr="00F539BF">
        <w:rPr>
          <w:rFonts w:ascii="Arial" w:hAnsi="Arial" w:cs="Arial"/>
          <w:bCs/>
          <w:sz w:val="20"/>
          <w:szCs w:val="20"/>
          <w:lang w:val="en-US"/>
        </w:rPr>
        <w:t xml:space="preserve">. Models </w:t>
      </w:r>
      <w:r w:rsidRPr="00F539BF">
        <w:rPr>
          <w:rFonts w:ascii="Arial" w:hAnsi="Arial" w:cs="Arial"/>
          <w:sz w:val="20"/>
          <w:szCs w:val="20"/>
          <w:lang w:val="en-US"/>
        </w:rPr>
        <w:t xml:space="preserve">adjusted </w:t>
      </w:r>
      <w:r w:rsidRPr="00F539BF">
        <w:rPr>
          <w:rFonts w:ascii="Arial" w:hAnsi="Arial" w:cs="Arial"/>
          <w:bCs/>
          <w:sz w:val="20"/>
          <w:szCs w:val="20"/>
          <w:lang w:val="en-US"/>
        </w:rPr>
        <w:t>for age, sex, body mass index, heart rate, glomerular filtration rate, and diagnosis of diabetes mellitus, arterial hypertension, or coronary artery disease.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NT-pro BNP</w:t>
      </w:r>
      <w:r w:rsidRPr="00F539B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and hs-cTnT</w:t>
      </w:r>
      <w:r w:rsidR="005C529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have been modeled individually. </w:t>
      </w:r>
    </w:p>
    <w:p w:rsidR="001F1663" w:rsidRDefault="00305661">
      <w:pPr>
        <w:spacing w:line="480" w:lineRule="auto"/>
        <w:jc w:val="both"/>
        <w:rPr>
          <w:rFonts w:ascii="Arial" w:hAnsi="Arial" w:cs="Arial"/>
          <w:color w:val="000000"/>
          <w:lang w:val="en-US" w:eastAsia="en-GB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Abbreviations: </w:t>
      </w:r>
      <w:r w:rsidRPr="00DC1328">
        <w:rPr>
          <w:rFonts w:ascii="Arial" w:hAnsi="Arial" w:cs="Arial"/>
          <w:bCs/>
          <w:sz w:val="20"/>
          <w:szCs w:val="20"/>
          <w:lang w:val="en-US"/>
        </w:rPr>
        <w:t xml:space="preserve">FABP4: Fatty-acid binding protein 4; </w:t>
      </w:r>
      <w:r w:rsidRPr="00DC1328">
        <w:rPr>
          <w:rFonts w:ascii="Arial" w:hAnsi="Arial" w:cs="Arial"/>
          <w:sz w:val="20"/>
          <w:szCs w:val="20"/>
          <w:lang w:val="en-US"/>
        </w:rPr>
        <w:t>hs-cTnT</w:t>
      </w:r>
      <w:r w:rsidRPr="00DC1328">
        <w:rPr>
          <w:rFonts w:ascii="Arial" w:hAnsi="Arial" w:cs="Arial"/>
          <w:bCs/>
          <w:sz w:val="20"/>
          <w:szCs w:val="20"/>
          <w:lang w:val="en-US"/>
        </w:rPr>
        <w:t>: cardiac high sensitivity troponin T;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NT-pro BNP: </w:t>
      </w:r>
      <w:r w:rsidRPr="00F539BF">
        <w:rPr>
          <w:rFonts w:ascii="Arial" w:hAnsi="Arial" w:cs="Arial"/>
          <w:bCs/>
          <w:sz w:val="20"/>
          <w:szCs w:val="20"/>
          <w:lang w:val="en-US"/>
        </w:rPr>
        <w:t>N-terminal pro B-type brain natriuretic peptid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305661" w:rsidRPr="00305661" w:rsidRDefault="00305661" w:rsidP="00305661">
      <w:pPr>
        <w:rPr>
          <w:rFonts w:ascii="Arial" w:hAnsi="Arial" w:cs="Arial"/>
          <w:color w:val="000000"/>
          <w:lang w:val="en-US" w:eastAsia="en-GB"/>
        </w:rPr>
      </w:pPr>
    </w:p>
    <w:p w:rsidR="00305661" w:rsidRDefault="003056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305661" w:rsidRDefault="00305661" w:rsidP="00305661">
      <w:pPr>
        <w:spacing w:line="480" w:lineRule="auto"/>
        <w:rPr>
          <w:rFonts w:ascii="Arial" w:hAnsi="Arial" w:cs="Arial"/>
          <w:bCs/>
          <w:lang w:val="en-US"/>
        </w:rPr>
      </w:pPr>
      <w:r w:rsidRPr="00030015">
        <w:rPr>
          <w:rFonts w:ascii="Arial" w:hAnsi="Arial" w:cs="Arial"/>
          <w:b/>
          <w:lang w:val="en-US"/>
        </w:rPr>
        <w:lastRenderedPageBreak/>
        <w:t xml:space="preserve">Table </w:t>
      </w:r>
      <w:r w:rsidR="00182991">
        <w:rPr>
          <w:rFonts w:ascii="Arial" w:hAnsi="Arial" w:cs="Arial"/>
          <w:b/>
          <w:lang w:val="en-US"/>
        </w:rPr>
        <w:t>S</w:t>
      </w:r>
      <w:r w:rsidR="00C760EC">
        <w:rPr>
          <w:rFonts w:ascii="Arial" w:hAnsi="Arial" w:cs="Arial"/>
          <w:b/>
          <w:lang w:val="en-US"/>
        </w:rPr>
        <w:t>7</w:t>
      </w:r>
      <w:r w:rsidRPr="00E8129A">
        <w:rPr>
          <w:rFonts w:ascii="Arial" w:hAnsi="Arial" w:cs="Arial"/>
          <w:bCs/>
          <w:lang w:val="en-US"/>
        </w:rPr>
        <w:t xml:space="preserve">. </w:t>
      </w:r>
      <w:r w:rsidRPr="00305661">
        <w:rPr>
          <w:rFonts w:ascii="Arial" w:hAnsi="Arial" w:cs="Arial"/>
          <w:bCs/>
          <w:lang w:val="en-US"/>
        </w:rPr>
        <w:t xml:space="preserve">Associations between FABP4 and </w:t>
      </w:r>
      <w:r w:rsidRPr="00E8129A">
        <w:rPr>
          <w:rFonts w:ascii="Arial" w:hAnsi="Arial" w:cs="Arial"/>
          <w:bCs/>
          <w:lang w:val="en-US"/>
        </w:rPr>
        <w:t xml:space="preserve">NT-pro BNP and hs-cTnT </w:t>
      </w:r>
      <w:r>
        <w:rPr>
          <w:rFonts w:ascii="Arial" w:hAnsi="Arial" w:cs="Arial"/>
          <w:bCs/>
          <w:lang w:val="en-US"/>
        </w:rPr>
        <w:t xml:space="preserve">in patients with FABP4 levels below </w:t>
      </w:r>
      <w:r w:rsidR="002C35AD">
        <w:rPr>
          <w:rFonts w:ascii="Arial" w:hAnsi="Arial" w:cs="Arial"/>
          <w:bCs/>
          <w:lang w:val="en-US"/>
        </w:rPr>
        <w:t xml:space="preserve">or above the </w:t>
      </w:r>
      <w:r>
        <w:rPr>
          <w:rFonts w:ascii="Arial" w:hAnsi="Arial" w:cs="Arial"/>
          <w:bCs/>
          <w:lang w:val="en-US"/>
        </w:rPr>
        <w:t>median</w:t>
      </w:r>
    </w:p>
    <w:p w:rsidR="001F1663" w:rsidRDefault="002C35AD">
      <w:pPr>
        <w:spacing w:before="20" w:after="20" w:line="48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lang w:val="en-US"/>
        </w:rPr>
        <w:t>FABP4</w:t>
      </w:r>
      <w:r w:rsidRPr="005C529F">
        <w:rPr>
          <w:rFonts w:ascii="Arial" w:hAnsi="Arial" w:cs="Arial"/>
          <w:bCs/>
          <w:sz w:val="20"/>
          <w:szCs w:val="20"/>
          <w:lang w:val="en-US"/>
        </w:rPr>
        <w:t>≤</w:t>
      </w:r>
      <w:r>
        <w:rPr>
          <w:rFonts w:ascii="Arial" w:hAnsi="Arial" w:cs="Arial"/>
          <w:b/>
        </w:rPr>
        <w:t>median</w:t>
      </w:r>
    </w:p>
    <w:p w:rsidR="00305661" w:rsidRDefault="00305661">
      <w:pPr>
        <w:rPr>
          <w:rFonts w:ascii="Arial" w:hAnsi="Arial" w:cs="Arial"/>
          <w:bCs/>
          <w:lang w:val="en-US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560"/>
        <w:gridCol w:w="1204"/>
        <w:gridCol w:w="1205"/>
      </w:tblGrid>
      <w:tr w:rsidR="00305661" w:rsidRPr="00305661" w:rsidTr="00E26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305661" w:rsidRPr="00305661" w:rsidRDefault="00305661" w:rsidP="00E265CD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305661" w:rsidRPr="00305661" w:rsidTr="00E2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right w:val="none" w:sz="0" w:space="0" w:color="auto"/>
            </w:tcBorders>
          </w:tcPr>
          <w:p w:rsidR="00305661" w:rsidRPr="00305661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sz w:val="16"/>
                <w:szCs w:val="16"/>
                <w:lang w:val="en-US"/>
              </w:rPr>
              <w:t>Unadjusted</w:t>
            </w:r>
          </w:p>
        </w:tc>
      </w:tr>
      <w:tr w:rsidR="00305661" w:rsidRPr="00305661" w:rsidTr="00E2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05661" w:rsidRPr="00305661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Nt-pro BNP</w:t>
            </w:r>
          </w:p>
        </w:tc>
        <w:tc>
          <w:tcPr>
            <w:tcW w:w="1204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-24.1</w:t>
            </w:r>
          </w:p>
        </w:tc>
        <w:tc>
          <w:tcPr>
            <w:tcW w:w="1205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0.635</w:t>
            </w:r>
          </w:p>
        </w:tc>
      </w:tr>
      <w:tr w:rsidR="00305661" w:rsidRPr="00305661" w:rsidTr="00E2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05661" w:rsidRPr="00305661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Hs-cTnT</w:t>
            </w:r>
          </w:p>
        </w:tc>
        <w:tc>
          <w:tcPr>
            <w:tcW w:w="1204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2.7</w:t>
            </w:r>
          </w:p>
        </w:tc>
        <w:tc>
          <w:tcPr>
            <w:tcW w:w="1205" w:type="dxa"/>
          </w:tcPr>
          <w:p w:rsidR="00305661" w:rsidRPr="00305661" w:rsidRDefault="008E3633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0.863</w:t>
            </w:r>
          </w:p>
        </w:tc>
      </w:tr>
    </w:tbl>
    <w:p w:rsidR="00305661" w:rsidRDefault="00305661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</w:p>
    <w:p w:rsidR="002C35AD" w:rsidRDefault="002C35AD">
      <w:pPr>
        <w:rPr>
          <w:rFonts w:ascii="Arial" w:hAnsi="Arial" w:cs="Arial"/>
          <w:bCs/>
          <w:lang w:val="en-US"/>
        </w:rPr>
      </w:pPr>
    </w:p>
    <w:p w:rsidR="002C35AD" w:rsidRDefault="002C35AD">
      <w:pPr>
        <w:rPr>
          <w:rFonts w:ascii="Arial" w:hAnsi="Arial" w:cs="Arial"/>
          <w:bCs/>
          <w:lang w:val="en-US"/>
        </w:rPr>
      </w:pPr>
    </w:p>
    <w:p w:rsidR="002C35AD" w:rsidRDefault="002C35AD" w:rsidP="002C35AD">
      <w:pPr>
        <w:spacing w:before="20" w:after="2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FABP4</w:t>
      </w:r>
      <w:r>
        <w:rPr>
          <w:rFonts w:ascii="Arial" w:hAnsi="Arial" w:cs="Arial"/>
          <w:bCs/>
          <w:sz w:val="20"/>
          <w:szCs w:val="20"/>
          <w:lang w:val="en-US"/>
        </w:rPr>
        <w:t>&gt;</w:t>
      </w:r>
      <w:r>
        <w:rPr>
          <w:rFonts w:ascii="Arial" w:hAnsi="Arial" w:cs="Arial"/>
          <w:b/>
        </w:rPr>
        <w:t>median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560"/>
        <w:gridCol w:w="1204"/>
        <w:gridCol w:w="1205"/>
      </w:tblGrid>
      <w:tr w:rsidR="002C35AD" w:rsidRPr="00305661" w:rsidTr="00B8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2C35AD" w:rsidRPr="00305661" w:rsidTr="00B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right w:val="none" w:sz="0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sz w:val="16"/>
                <w:szCs w:val="16"/>
                <w:lang w:val="en-US"/>
              </w:rPr>
              <w:t>Unadjusted</w:t>
            </w:r>
          </w:p>
        </w:tc>
      </w:tr>
      <w:tr w:rsidR="002C35AD" w:rsidRPr="00305661" w:rsidTr="00B83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C35AD" w:rsidRPr="00B8351D" w:rsidRDefault="002C35AD" w:rsidP="00B8351D">
            <w:pPr>
              <w:spacing w:before="20" w:after="20" w:line="48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Nt-pro BNP</w:t>
            </w:r>
          </w:p>
        </w:tc>
        <w:tc>
          <w:tcPr>
            <w:tcW w:w="1204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720.3</w:t>
            </w:r>
          </w:p>
        </w:tc>
        <w:tc>
          <w:tcPr>
            <w:tcW w:w="1205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2C35AD" w:rsidRPr="00305661" w:rsidTr="00B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C35AD" w:rsidRPr="00B8351D" w:rsidRDefault="002C35AD" w:rsidP="00B8351D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sz w:val="16"/>
                <w:szCs w:val="16"/>
                <w:lang w:val="en-US"/>
              </w:rPr>
              <w:t>Hs-cTnT</w:t>
            </w:r>
          </w:p>
        </w:tc>
        <w:tc>
          <w:tcPr>
            <w:tcW w:w="1204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sz w:val="16"/>
                <w:szCs w:val="16"/>
                <w:lang w:val="en-US"/>
              </w:rPr>
              <w:t>37.2</w:t>
            </w:r>
          </w:p>
        </w:tc>
        <w:tc>
          <w:tcPr>
            <w:tcW w:w="1205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sz w:val="16"/>
                <w:szCs w:val="16"/>
                <w:lang w:val="en-US"/>
              </w:rPr>
              <w:t>0.110</w:t>
            </w:r>
          </w:p>
        </w:tc>
      </w:tr>
      <w:tr w:rsidR="002C35AD" w:rsidRPr="00305661" w:rsidTr="00B83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right w:val="none" w:sz="0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Fully adjusted</w:t>
            </w:r>
          </w:p>
        </w:tc>
      </w:tr>
      <w:tr w:rsidR="002C35AD" w:rsidRPr="00305661" w:rsidTr="00B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C35AD" w:rsidRPr="00B8351D" w:rsidRDefault="002C35AD" w:rsidP="00B8351D">
            <w:pPr>
              <w:spacing w:before="20" w:after="20" w:line="48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Nt-pro BNP</w:t>
            </w:r>
          </w:p>
        </w:tc>
        <w:tc>
          <w:tcPr>
            <w:tcW w:w="1204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680.6</w:t>
            </w:r>
          </w:p>
        </w:tc>
        <w:tc>
          <w:tcPr>
            <w:tcW w:w="1205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</w:tbl>
    <w:p w:rsidR="002C35AD" w:rsidRPr="00B8351D" w:rsidRDefault="002C35AD" w:rsidP="002C35AD">
      <w:pPr>
        <w:spacing w:before="20" w:after="20" w:line="480" w:lineRule="auto"/>
        <w:rPr>
          <w:rFonts w:ascii="Arial" w:hAnsi="Arial" w:cs="Arial"/>
          <w:b/>
          <w:i/>
          <w:iCs/>
        </w:rPr>
      </w:pPr>
    </w:p>
    <w:p w:rsidR="002C35AD" w:rsidRDefault="002C35AD">
      <w:pPr>
        <w:rPr>
          <w:rFonts w:ascii="Arial" w:hAnsi="Arial" w:cs="Arial"/>
          <w:bCs/>
          <w:lang w:val="en-US"/>
        </w:rPr>
      </w:pPr>
    </w:p>
    <w:p w:rsidR="002C35AD" w:rsidRDefault="002C35AD">
      <w:pPr>
        <w:rPr>
          <w:rFonts w:ascii="Arial" w:hAnsi="Arial" w:cs="Arial"/>
          <w:bCs/>
          <w:lang w:val="en-US"/>
        </w:rPr>
      </w:pPr>
    </w:p>
    <w:p w:rsidR="00305661" w:rsidRDefault="002C35AD" w:rsidP="00305661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N = 166 patient with </w:t>
      </w:r>
      <w:r w:rsidRPr="00DC1328">
        <w:rPr>
          <w:rFonts w:ascii="Arial" w:hAnsi="Arial" w:cs="Arial"/>
          <w:bCs/>
          <w:sz w:val="20"/>
          <w:szCs w:val="20"/>
          <w:lang w:val="en-US"/>
        </w:rPr>
        <w:t>FABP4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levels </w:t>
      </w:r>
      <w:r w:rsidRPr="005C529F">
        <w:rPr>
          <w:rFonts w:ascii="Arial" w:hAnsi="Arial" w:cs="Arial"/>
          <w:bCs/>
          <w:sz w:val="20"/>
          <w:szCs w:val="20"/>
          <w:lang w:val="en-US"/>
        </w:rPr>
        <w:t>≤</w:t>
      </w:r>
      <w:r w:rsidRPr="00DC1328">
        <w:rPr>
          <w:rFonts w:ascii="Arial" w:hAnsi="Arial" w:cs="Arial"/>
          <w:bCs/>
          <w:sz w:val="20"/>
          <w:szCs w:val="20"/>
          <w:lang w:val="en-US"/>
        </w:rPr>
        <w:t xml:space="preserve"> median (</w:t>
      </w:r>
      <w:r w:rsidRPr="00DC1328">
        <w:rPr>
          <w:rFonts w:ascii="Arial" w:hAnsi="Arial" w:cs="Arial"/>
          <w:sz w:val="20"/>
          <w:szCs w:val="20"/>
          <w:lang w:val="en-US"/>
        </w:rPr>
        <w:t>22.79ng/ml)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and n=165 patients with FABP4 levels below the median. </w:t>
      </w:r>
      <w:r w:rsidR="00305661" w:rsidRPr="00F539BF">
        <w:rPr>
          <w:rFonts w:ascii="Arial" w:hAnsi="Arial" w:cs="Arial"/>
          <w:bCs/>
          <w:sz w:val="20"/>
          <w:szCs w:val="20"/>
          <w:lang w:val="en-US"/>
        </w:rPr>
        <w:t xml:space="preserve">Estimates are beta coefficients per sex-standardized standard deviation increase of fatty acid binding protein 4. * indicates p </w:t>
      </w:r>
      <w:r w:rsidR="00305661">
        <w:rPr>
          <w:rFonts w:ascii="Arial" w:hAnsi="Arial" w:cs="Arial"/>
          <w:bCs/>
          <w:sz w:val="20"/>
          <w:szCs w:val="20"/>
          <w:lang w:val="en-US"/>
        </w:rPr>
        <w:t>&lt;</w:t>
      </w:r>
      <w:r w:rsidR="00305661" w:rsidRPr="00F539BF">
        <w:rPr>
          <w:rFonts w:ascii="Arial" w:hAnsi="Arial" w:cs="Arial"/>
          <w:bCs/>
          <w:sz w:val="20"/>
          <w:szCs w:val="20"/>
          <w:lang w:val="en-US"/>
        </w:rPr>
        <w:t xml:space="preserve"> 0.0</w:t>
      </w:r>
      <w:r w:rsidR="00305661">
        <w:rPr>
          <w:rFonts w:ascii="Arial" w:hAnsi="Arial" w:cs="Arial"/>
          <w:bCs/>
          <w:sz w:val="20"/>
          <w:szCs w:val="20"/>
          <w:lang w:val="en-US"/>
        </w:rPr>
        <w:t>5</w:t>
      </w:r>
      <w:r w:rsidR="00305661" w:rsidRPr="00F539BF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305661">
        <w:rPr>
          <w:rFonts w:ascii="Arial" w:hAnsi="Arial" w:cs="Arial"/>
          <w:bCs/>
          <w:sz w:val="20"/>
          <w:szCs w:val="20"/>
          <w:lang w:val="en-US"/>
        </w:rPr>
        <w:t>NT-pro BNP</w:t>
      </w:r>
      <w:r w:rsidR="00305661" w:rsidRPr="00F539B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05661">
        <w:rPr>
          <w:rFonts w:ascii="Arial" w:hAnsi="Arial" w:cs="Arial"/>
          <w:bCs/>
          <w:sz w:val="20"/>
          <w:szCs w:val="20"/>
          <w:lang w:val="en-US"/>
        </w:rPr>
        <w:t xml:space="preserve">and hs-cTnT have been modeled individually. </w:t>
      </w:r>
    </w:p>
    <w:p w:rsidR="00305661" w:rsidRPr="00E8129A" w:rsidRDefault="00305661" w:rsidP="00305661">
      <w:pPr>
        <w:spacing w:line="480" w:lineRule="auto"/>
        <w:jc w:val="both"/>
        <w:rPr>
          <w:rFonts w:ascii="Arial" w:hAnsi="Arial" w:cs="Arial"/>
          <w:color w:val="000000"/>
          <w:lang w:val="en-US" w:eastAsia="en-GB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Abbreviations: </w:t>
      </w:r>
      <w:r w:rsidRPr="00DC1328">
        <w:rPr>
          <w:rFonts w:ascii="Arial" w:hAnsi="Arial" w:cs="Arial"/>
          <w:bCs/>
          <w:sz w:val="20"/>
          <w:szCs w:val="20"/>
          <w:lang w:val="en-US"/>
        </w:rPr>
        <w:t xml:space="preserve">FABP4: Fatty-acid binding protein 4; </w:t>
      </w:r>
      <w:r w:rsidRPr="00DC1328">
        <w:rPr>
          <w:rFonts w:ascii="Arial" w:hAnsi="Arial" w:cs="Arial"/>
          <w:sz w:val="20"/>
          <w:szCs w:val="20"/>
          <w:lang w:val="en-US"/>
        </w:rPr>
        <w:t>hs-cTnT</w:t>
      </w:r>
      <w:r w:rsidRPr="00DC1328">
        <w:rPr>
          <w:rFonts w:ascii="Arial" w:hAnsi="Arial" w:cs="Arial"/>
          <w:bCs/>
          <w:sz w:val="20"/>
          <w:szCs w:val="20"/>
          <w:lang w:val="en-US"/>
        </w:rPr>
        <w:t>: cardiac high sensitivity troponin T;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NT-pro BNP: </w:t>
      </w:r>
      <w:r w:rsidRPr="00F539BF">
        <w:rPr>
          <w:rFonts w:ascii="Arial" w:hAnsi="Arial" w:cs="Arial"/>
          <w:bCs/>
          <w:sz w:val="20"/>
          <w:szCs w:val="20"/>
          <w:lang w:val="en-US"/>
        </w:rPr>
        <w:t>N-terminal pro B-type brain natriuretic peptid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5C529F" w:rsidRPr="002C35AD" w:rsidRDefault="00305661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br w:type="page"/>
      </w:r>
    </w:p>
    <w:p w:rsidR="005C529F" w:rsidRDefault="005C529F" w:rsidP="005C529F">
      <w:pPr>
        <w:spacing w:line="480" w:lineRule="auto"/>
        <w:rPr>
          <w:rFonts w:ascii="Arial" w:hAnsi="Arial" w:cs="Arial"/>
          <w:bCs/>
          <w:lang w:val="en-US"/>
        </w:rPr>
      </w:pPr>
      <w:r w:rsidRPr="00030015">
        <w:rPr>
          <w:rFonts w:ascii="Arial" w:hAnsi="Arial" w:cs="Arial"/>
          <w:b/>
          <w:lang w:val="en-US"/>
        </w:rPr>
        <w:lastRenderedPageBreak/>
        <w:t xml:space="preserve">Table </w:t>
      </w:r>
      <w:r w:rsidR="00182991">
        <w:rPr>
          <w:rFonts w:ascii="Arial" w:hAnsi="Arial" w:cs="Arial"/>
          <w:b/>
          <w:lang w:val="en-US"/>
        </w:rPr>
        <w:t>S</w:t>
      </w:r>
      <w:r w:rsidR="002C35AD">
        <w:rPr>
          <w:rFonts w:ascii="Arial" w:hAnsi="Arial" w:cs="Arial"/>
          <w:b/>
          <w:lang w:val="en-US"/>
        </w:rPr>
        <w:t>8</w:t>
      </w:r>
      <w:r w:rsidRPr="00E8129A">
        <w:rPr>
          <w:rFonts w:ascii="Arial" w:hAnsi="Arial" w:cs="Arial"/>
          <w:bCs/>
          <w:lang w:val="en-US"/>
        </w:rPr>
        <w:t xml:space="preserve">. </w:t>
      </w:r>
      <w:r w:rsidRPr="00305661">
        <w:rPr>
          <w:rFonts w:ascii="Arial" w:hAnsi="Arial" w:cs="Arial"/>
          <w:bCs/>
          <w:lang w:val="en-US"/>
        </w:rPr>
        <w:t xml:space="preserve">Associations between FABP4 and </w:t>
      </w:r>
      <w:r w:rsidRPr="00E8129A">
        <w:rPr>
          <w:rFonts w:ascii="Arial" w:hAnsi="Arial" w:cs="Arial"/>
          <w:bCs/>
          <w:lang w:val="en-US"/>
        </w:rPr>
        <w:t xml:space="preserve">NT-pro BNP and hs-cTnT </w:t>
      </w:r>
      <w:r>
        <w:rPr>
          <w:rFonts w:ascii="Arial" w:hAnsi="Arial" w:cs="Arial"/>
          <w:bCs/>
          <w:lang w:val="en-US"/>
        </w:rPr>
        <w:t xml:space="preserve">in </w:t>
      </w:r>
      <w:r w:rsidR="002C35AD">
        <w:rPr>
          <w:rFonts w:ascii="Arial" w:hAnsi="Arial" w:cs="Arial"/>
          <w:bCs/>
          <w:lang w:val="en-US"/>
        </w:rPr>
        <w:t xml:space="preserve">man and women. </w:t>
      </w:r>
    </w:p>
    <w:p w:rsidR="002C35AD" w:rsidRDefault="002C35AD" w:rsidP="005C529F">
      <w:pPr>
        <w:spacing w:line="480" w:lineRule="auto"/>
        <w:rPr>
          <w:rFonts w:ascii="Arial" w:hAnsi="Arial" w:cs="Arial"/>
          <w:bCs/>
          <w:lang w:val="en-US"/>
        </w:rPr>
      </w:pPr>
    </w:p>
    <w:p w:rsidR="002C35AD" w:rsidRPr="002C35AD" w:rsidRDefault="008E3633" w:rsidP="005C529F">
      <w:pPr>
        <w:spacing w:line="480" w:lineRule="auto"/>
        <w:rPr>
          <w:rFonts w:ascii="Arial" w:hAnsi="Arial" w:cs="Arial"/>
          <w:b/>
          <w:lang w:val="en-US"/>
        </w:rPr>
      </w:pPr>
      <w:r w:rsidRPr="008E3633">
        <w:rPr>
          <w:rFonts w:ascii="Arial" w:hAnsi="Arial" w:cs="Arial"/>
          <w:b/>
          <w:lang w:val="en-US"/>
        </w:rPr>
        <w:t>Men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560"/>
        <w:gridCol w:w="1204"/>
        <w:gridCol w:w="1205"/>
      </w:tblGrid>
      <w:tr w:rsidR="00305661" w:rsidRPr="005C529F" w:rsidTr="00E26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305661" w:rsidRPr="005C529F" w:rsidRDefault="00305661" w:rsidP="00E265CD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305661" w:rsidRPr="005C529F" w:rsidRDefault="008E3633" w:rsidP="00E265C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305661" w:rsidRPr="005C529F" w:rsidRDefault="008E3633" w:rsidP="00E265C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305661" w:rsidRPr="005C529F" w:rsidTr="00E2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right w:val="none" w:sz="0" w:space="0" w:color="auto"/>
            </w:tcBorders>
          </w:tcPr>
          <w:p w:rsidR="00305661" w:rsidRPr="005C529F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sz w:val="16"/>
                <w:szCs w:val="16"/>
                <w:lang w:val="en-US"/>
              </w:rPr>
              <w:t>Unadjusted</w:t>
            </w:r>
          </w:p>
        </w:tc>
      </w:tr>
      <w:tr w:rsidR="00305661" w:rsidRPr="005C529F" w:rsidTr="00E2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05661" w:rsidRPr="004515B5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Nt-pro BNP</w:t>
            </w:r>
          </w:p>
        </w:tc>
        <w:tc>
          <w:tcPr>
            <w:tcW w:w="1204" w:type="dxa"/>
          </w:tcPr>
          <w:p w:rsidR="00305661" w:rsidRPr="004515B5" w:rsidRDefault="008E3633" w:rsidP="00E265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242.9</w:t>
            </w:r>
          </w:p>
        </w:tc>
        <w:tc>
          <w:tcPr>
            <w:tcW w:w="1205" w:type="dxa"/>
          </w:tcPr>
          <w:p w:rsidR="00305661" w:rsidRPr="004515B5" w:rsidRDefault="008E3633" w:rsidP="00E265C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</w:tr>
      <w:tr w:rsidR="00305661" w:rsidRPr="005C529F" w:rsidTr="00E2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05661" w:rsidRPr="005C529F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Hs-cTnT</w:t>
            </w:r>
          </w:p>
        </w:tc>
        <w:tc>
          <w:tcPr>
            <w:tcW w:w="1204" w:type="dxa"/>
          </w:tcPr>
          <w:p w:rsidR="00305661" w:rsidRPr="005C529F" w:rsidRDefault="008E3633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1205" w:type="dxa"/>
          </w:tcPr>
          <w:p w:rsidR="00305661" w:rsidRPr="005C529F" w:rsidRDefault="008E3633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0.999</w:t>
            </w:r>
          </w:p>
        </w:tc>
      </w:tr>
      <w:tr w:rsidR="00305661" w:rsidRPr="005C529F" w:rsidTr="00E2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right w:val="none" w:sz="0" w:space="0" w:color="auto"/>
            </w:tcBorders>
          </w:tcPr>
          <w:p w:rsidR="00305661" w:rsidRPr="005C529F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Fully adjusted</w:t>
            </w:r>
          </w:p>
        </w:tc>
      </w:tr>
      <w:tr w:rsidR="00305661" w:rsidRPr="005C529F" w:rsidTr="00E2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05661" w:rsidRPr="005C529F" w:rsidRDefault="008E3633" w:rsidP="00E265C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Nt-pro BNP</w:t>
            </w:r>
          </w:p>
        </w:tc>
        <w:tc>
          <w:tcPr>
            <w:tcW w:w="1204" w:type="dxa"/>
          </w:tcPr>
          <w:p w:rsidR="00305661" w:rsidRPr="005C529F" w:rsidRDefault="009B0FBF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64.6</w:t>
            </w:r>
          </w:p>
        </w:tc>
        <w:tc>
          <w:tcPr>
            <w:tcW w:w="1205" w:type="dxa"/>
          </w:tcPr>
          <w:p w:rsidR="00305661" w:rsidRPr="005C529F" w:rsidRDefault="008E3633" w:rsidP="00E265C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3633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9B0FBF">
              <w:rPr>
                <w:rFonts w:ascii="Arial" w:hAnsi="Arial" w:cs="Arial"/>
                <w:sz w:val="16"/>
                <w:szCs w:val="16"/>
                <w:lang w:val="en-US"/>
              </w:rPr>
              <w:t>286</w:t>
            </w:r>
          </w:p>
        </w:tc>
      </w:tr>
    </w:tbl>
    <w:p w:rsidR="00305661" w:rsidRDefault="00305661" w:rsidP="00305661">
      <w:pPr>
        <w:spacing w:line="480" w:lineRule="auto"/>
        <w:rPr>
          <w:rFonts w:ascii="Arial" w:hAnsi="Arial" w:cs="Arial"/>
          <w:b/>
          <w:lang w:val="en-US"/>
        </w:rPr>
      </w:pPr>
    </w:p>
    <w:p w:rsidR="002C35AD" w:rsidRDefault="002C35AD" w:rsidP="00305661">
      <w:p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Women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560"/>
        <w:gridCol w:w="1204"/>
        <w:gridCol w:w="1205"/>
      </w:tblGrid>
      <w:tr w:rsidR="002C35AD" w:rsidRPr="005C529F" w:rsidTr="00B8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sz w:val="16"/>
                <w:szCs w:val="16"/>
                <w:lang w:val="en-US"/>
              </w:rPr>
              <w:t>p-value</w:t>
            </w:r>
          </w:p>
        </w:tc>
      </w:tr>
      <w:tr w:rsidR="002C35AD" w:rsidRPr="005C529F" w:rsidTr="00B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right w:val="none" w:sz="0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sz w:val="16"/>
                <w:szCs w:val="16"/>
                <w:lang w:val="en-US"/>
              </w:rPr>
              <w:t>Unadjusted</w:t>
            </w:r>
          </w:p>
        </w:tc>
      </w:tr>
      <w:tr w:rsidR="002C35AD" w:rsidRPr="005C529F" w:rsidTr="00B83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C35AD" w:rsidRPr="00B8351D" w:rsidRDefault="002C35AD" w:rsidP="00B8351D">
            <w:pPr>
              <w:spacing w:before="20" w:after="20" w:line="48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Nt-pro BNP</w:t>
            </w:r>
          </w:p>
        </w:tc>
        <w:tc>
          <w:tcPr>
            <w:tcW w:w="1204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298.7</w:t>
            </w:r>
          </w:p>
        </w:tc>
        <w:tc>
          <w:tcPr>
            <w:tcW w:w="1205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&lt;0.001*</w:t>
            </w:r>
          </w:p>
        </w:tc>
      </w:tr>
      <w:tr w:rsidR="002C35AD" w:rsidRPr="005C529F" w:rsidTr="00B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C35AD" w:rsidRPr="00B8351D" w:rsidRDefault="002C35AD" w:rsidP="00B8351D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sz w:val="16"/>
                <w:szCs w:val="16"/>
                <w:lang w:val="en-US"/>
              </w:rPr>
              <w:t>Hs-cTnT</w:t>
            </w:r>
          </w:p>
        </w:tc>
        <w:tc>
          <w:tcPr>
            <w:tcW w:w="1204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205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sz w:val="16"/>
                <w:szCs w:val="16"/>
                <w:lang w:val="en-US"/>
              </w:rPr>
              <w:t>0.214</w:t>
            </w:r>
          </w:p>
        </w:tc>
      </w:tr>
      <w:tr w:rsidR="002C35AD" w:rsidRPr="005C529F" w:rsidTr="00B83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right w:val="none" w:sz="0" w:space="0" w:color="auto"/>
            </w:tcBorders>
          </w:tcPr>
          <w:p w:rsidR="002C35AD" w:rsidRPr="00B8351D" w:rsidRDefault="002C35AD" w:rsidP="00B8351D">
            <w:pPr>
              <w:spacing w:before="20" w:after="20" w:line="48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Fully adjusted</w:t>
            </w:r>
          </w:p>
        </w:tc>
      </w:tr>
      <w:tr w:rsidR="002C35AD" w:rsidRPr="005C529F" w:rsidTr="00B8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C35AD" w:rsidRPr="00B8351D" w:rsidRDefault="002C35AD" w:rsidP="00B8351D">
            <w:pPr>
              <w:spacing w:before="20" w:after="2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sz w:val="16"/>
                <w:szCs w:val="16"/>
                <w:lang w:val="en-US"/>
              </w:rPr>
              <w:t>Nt-pro BNP</w:t>
            </w:r>
          </w:p>
        </w:tc>
        <w:tc>
          <w:tcPr>
            <w:tcW w:w="1204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329.2</w:t>
            </w:r>
          </w:p>
        </w:tc>
        <w:tc>
          <w:tcPr>
            <w:tcW w:w="1205" w:type="dxa"/>
          </w:tcPr>
          <w:p w:rsidR="002C35AD" w:rsidRPr="00B8351D" w:rsidRDefault="002C35AD" w:rsidP="00B8351D">
            <w:pPr>
              <w:spacing w:before="20" w:after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835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0.01*</w:t>
            </w:r>
          </w:p>
        </w:tc>
      </w:tr>
    </w:tbl>
    <w:p w:rsidR="002C35AD" w:rsidRPr="006738DD" w:rsidRDefault="002C35AD" w:rsidP="00305661">
      <w:pPr>
        <w:spacing w:line="480" w:lineRule="auto"/>
        <w:rPr>
          <w:rFonts w:ascii="Arial" w:hAnsi="Arial" w:cs="Arial"/>
          <w:b/>
          <w:lang w:val="en-US"/>
        </w:rPr>
      </w:pPr>
    </w:p>
    <w:p w:rsidR="005C529F" w:rsidRDefault="002C35AD" w:rsidP="005C529F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N= 95 women and n= 236 men. </w:t>
      </w:r>
      <w:r w:rsidR="005C529F" w:rsidRPr="00F539BF">
        <w:rPr>
          <w:rFonts w:ascii="Arial" w:hAnsi="Arial" w:cs="Arial"/>
          <w:bCs/>
          <w:sz w:val="20"/>
          <w:szCs w:val="20"/>
          <w:lang w:val="en-US"/>
        </w:rPr>
        <w:t xml:space="preserve">Estimates are beta coefficients per sex-standardized standard deviation increase of fatty acid binding protein 4. * indicates p </w:t>
      </w:r>
      <w:r w:rsidR="005C529F">
        <w:rPr>
          <w:rFonts w:ascii="Arial" w:hAnsi="Arial" w:cs="Arial"/>
          <w:bCs/>
          <w:sz w:val="20"/>
          <w:szCs w:val="20"/>
          <w:lang w:val="en-US"/>
        </w:rPr>
        <w:t>&lt;</w:t>
      </w:r>
      <w:r w:rsidR="005C529F" w:rsidRPr="00F539BF">
        <w:rPr>
          <w:rFonts w:ascii="Arial" w:hAnsi="Arial" w:cs="Arial"/>
          <w:bCs/>
          <w:sz w:val="20"/>
          <w:szCs w:val="20"/>
          <w:lang w:val="en-US"/>
        </w:rPr>
        <w:t xml:space="preserve"> 0.0</w:t>
      </w:r>
      <w:r w:rsidR="005C529F">
        <w:rPr>
          <w:rFonts w:ascii="Arial" w:hAnsi="Arial" w:cs="Arial"/>
          <w:bCs/>
          <w:sz w:val="20"/>
          <w:szCs w:val="20"/>
          <w:lang w:val="en-US"/>
        </w:rPr>
        <w:t>5</w:t>
      </w:r>
      <w:r w:rsidR="005C529F" w:rsidRPr="00F539BF">
        <w:rPr>
          <w:rFonts w:ascii="Arial" w:hAnsi="Arial" w:cs="Arial"/>
          <w:bCs/>
          <w:sz w:val="20"/>
          <w:szCs w:val="20"/>
          <w:lang w:val="en-US"/>
        </w:rPr>
        <w:t xml:space="preserve">. Models </w:t>
      </w:r>
      <w:r w:rsidR="005C529F" w:rsidRPr="00F539BF">
        <w:rPr>
          <w:rFonts w:ascii="Arial" w:hAnsi="Arial" w:cs="Arial"/>
          <w:sz w:val="20"/>
          <w:szCs w:val="20"/>
          <w:lang w:val="en-US"/>
        </w:rPr>
        <w:t xml:space="preserve">adjusted </w:t>
      </w:r>
      <w:r w:rsidR="005C529F" w:rsidRPr="00F539BF">
        <w:rPr>
          <w:rFonts w:ascii="Arial" w:hAnsi="Arial" w:cs="Arial"/>
          <w:bCs/>
          <w:sz w:val="20"/>
          <w:szCs w:val="20"/>
          <w:lang w:val="en-US"/>
        </w:rPr>
        <w:t>for age, body mass index, heart rate, glomerular filtration rate, and diagnosis of diabetes mellitus, arterial hypertension, or coronary artery disease.</w:t>
      </w:r>
      <w:r w:rsidR="005C529F">
        <w:rPr>
          <w:rFonts w:ascii="Arial" w:hAnsi="Arial" w:cs="Arial"/>
          <w:bCs/>
          <w:sz w:val="20"/>
          <w:szCs w:val="20"/>
          <w:lang w:val="en-US"/>
        </w:rPr>
        <w:t xml:space="preserve"> NT-pro BNP</w:t>
      </w:r>
      <w:r w:rsidR="005C529F" w:rsidRPr="00F539B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C529F">
        <w:rPr>
          <w:rFonts w:ascii="Arial" w:hAnsi="Arial" w:cs="Arial"/>
          <w:bCs/>
          <w:sz w:val="20"/>
          <w:szCs w:val="20"/>
          <w:lang w:val="en-US"/>
        </w:rPr>
        <w:t xml:space="preserve">and hs-cTnT have been modeled individually. </w:t>
      </w:r>
    </w:p>
    <w:p w:rsidR="005C529F" w:rsidRPr="00E8129A" w:rsidRDefault="005C529F" w:rsidP="005C529F">
      <w:pPr>
        <w:spacing w:line="480" w:lineRule="auto"/>
        <w:jc w:val="both"/>
        <w:rPr>
          <w:rFonts w:ascii="Arial" w:hAnsi="Arial" w:cs="Arial"/>
          <w:color w:val="000000"/>
          <w:lang w:val="en-US" w:eastAsia="en-GB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Abbreviations: </w:t>
      </w:r>
      <w:r w:rsidRPr="00DC1328">
        <w:rPr>
          <w:rFonts w:ascii="Arial" w:hAnsi="Arial" w:cs="Arial"/>
          <w:bCs/>
          <w:sz w:val="20"/>
          <w:szCs w:val="20"/>
          <w:lang w:val="en-US"/>
        </w:rPr>
        <w:t xml:space="preserve">FABP4: Fatty-acid binding protein 4; </w:t>
      </w:r>
      <w:r w:rsidRPr="00DC1328">
        <w:rPr>
          <w:rFonts w:ascii="Arial" w:hAnsi="Arial" w:cs="Arial"/>
          <w:sz w:val="20"/>
          <w:szCs w:val="20"/>
          <w:lang w:val="en-US"/>
        </w:rPr>
        <w:t>hs-cTnT</w:t>
      </w:r>
      <w:r w:rsidRPr="00DC1328">
        <w:rPr>
          <w:rFonts w:ascii="Arial" w:hAnsi="Arial" w:cs="Arial"/>
          <w:bCs/>
          <w:sz w:val="20"/>
          <w:szCs w:val="20"/>
          <w:lang w:val="en-US"/>
        </w:rPr>
        <w:t>: cardiac high sensitivity troponin T;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NT-pro BNP: </w:t>
      </w:r>
      <w:r w:rsidRPr="00F539BF">
        <w:rPr>
          <w:rFonts w:ascii="Arial" w:hAnsi="Arial" w:cs="Arial"/>
          <w:bCs/>
          <w:sz w:val="20"/>
          <w:szCs w:val="20"/>
          <w:lang w:val="en-US"/>
        </w:rPr>
        <w:t>N-terminal pro B-type brain natriuretic peptid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9B0FBF" w:rsidRPr="002C35AD" w:rsidRDefault="009B0FBF">
      <w:pPr>
        <w:rPr>
          <w:rFonts w:ascii="Arial" w:hAnsi="Arial" w:cs="Arial"/>
          <w:b/>
          <w:lang w:val="en-US"/>
        </w:rPr>
      </w:pPr>
    </w:p>
    <w:sectPr w:rsidR="009B0FBF" w:rsidRPr="002C35AD" w:rsidSect="00182991">
      <w:headerReference w:type="default" r:id="rId7"/>
      <w:footerReference w:type="even" r:id="rId8"/>
      <w:footerReference w:type="default" r:id="rId9"/>
      <w:pgSz w:w="12240" w:h="15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05" w:rsidRDefault="00DF1D05">
      <w:r>
        <w:separator/>
      </w:r>
    </w:p>
  </w:endnote>
  <w:endnote w:type="continuationSeparator" w:id="0">
    <w:p w:rsidR="00DF1D05" w:rsidRDefault="00DF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43600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60EC" w:rsidRDefault="008E3633" w:rsidP="00AB60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760E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760EC" w:rsidRDefault="00C76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24844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60EC" w:rsidRDefault="008E3633" w:rsidP="00AB60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760E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7D3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760EC" w:rsidRDefault="00C76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05" w:rsidRDefault="00DF1D05">
      <w:r>
        <w:separator/>
      </w:r>
    </w:p>
  </w:footnote>
  <w:footnote w:type="continuationSeparator" w:id="0">
    <w:p w:rsidR="00DF1D05" w:rsidRDefault="00DF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EC" w:rsidRPr="00911737" w:rsidRDefault="00C760EC" w:rsidP="00AB602C">
    <w:pPr>
      <w:pStyle w:val="Header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v</w:t>
    </w:r>
    <w:r w:rsidRPr="00911737">
      <w:rPr>
        <w:rFonts w:ascii="Arial" w:hAnsi="Arial" w:cs="Arial"/>
        <w:sz w:val="20"/>
        <w:szCs w:val="20"/>
        <w:lang w:val="en-US"/>
      </w:rPr>
      <w:t>on Jeinsen B et al.: FABP4 and Cardiac Remodeling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F4EA6"/>
    <w:multiLevelType w:val="hybridMultilevel"/>
    <w:tmpl w:val="54A81950"/>
    <w:lvl w:ilvl="0" w:tplc="63EE0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4A"/>
    <w:rsid w:val="000151AA"/>
    <w:rsid w:val="00036409"/>
    <w:rsid w:val="00097C74"/>
    <w:rsid w:val="000A2F8E"/>
    <w:rsid w:val="00182991"/>
    <w:rsid w:val="001F1663"/>
    <w:rsid w:val="00220473"/>
    <w:rsid w:val="00223B46"/>
    <w:rsid w:val="00253ABB"/>
    <w:rsid w:val="002B56B6"/>
    <w:rsid w:val="002C35AD"/>
    <w:rsid w:val="002D10A0"/>
    <w:rsid w:val="00305661"/>
    <w:rsid w:val="003E40C0"/>
    <w:rsid w:val="004515B5"/>
    <w:rsid w:val="004620FC"/>
    <w:rsid w:val="005C529F"/>
    <w:rsid w:val="005C7D3F"/>
    <w:rsid w:val="00645242"/>
    <w:rsid w:val="007F41D9"/>
    <w:rsid w:val="00833017"/>
    <w:rsid w:val="00852883"/>
    <w:rsid w:val="008533CD"/>
    <w:rsid w:val="008576CE"/>
    <w:rsid w:val="00897ADC"/>
    <w:rsid w:val="008A4324"/>
    <w:rsid w:val="008E3633"/>
    <w:rsid w:val="009B0FBF"/>
    <w:rsid w:val="00A105E8"/>
    <w:rsid w:val="00A165F6"/>
    <w:rsid w:val="00A37BC6"/>
    <w:rsid w:val="00AB602C"/>
    <w:rsid w:val="00B215CC"/>
    <w:rsid w:val="00BB104A"/>
    <w:rsid w:val="00BE7496"/>
    <w:rsid w:val="00C760EC"/>
    <w:rsid w:val="00CB6F41"/>
    <w:rsid w:val="00D12D86"/>
    <w:rsid w:val="00D13C48"/>
    <w:rsid w:val="00D80DF0"/>
    <w:rsid w:val="00DF1D05"/>
    <w:rsid w:val="00E265CD"/>
    <w:rsid w:val="00E344E8"/>
    <w:rsid w:val="00EE34D4"/>
    <w:rsid w:val="00E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EBCE6-65A7-455F-8AB8-13BDE940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C0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0C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C0"/>
    <w:rPr>
      <w:rFonts w:ascii="Times New Roman" w:hAnsi="Times New Roman" w:cs="Times New Roman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E4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0C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0C0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3E40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raster2">
    <w:name w:val="Tabellenraster2"/>
    <w:basedOn w:val="TableNormal"/>
    <w:next w:val="TableGrid"/>
    <w:uiPriority w:val="39"/>
    <w:rsid w:val="003E40C0"/>
    <w:rPr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40C0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TableNormal"/>
    <w:next w:val="TableGrid"/>
    <w:uiPriority w:val="39"/>
    <w:rsid w:val="003E40C0"/>
    <w:rPr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TableNormal"/>
    <w:next w:val="TableGrid"/>
    <w:uiPriority w:val="39"/>
    <w:rsid w:val="003E40C0"/>
    <w:rPr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TableNormal"/>
    <w:next w:val="TableGrid"/>
    <w:uiPriority w:val="39"/>
    <w:rsid w:val="003E40C0"/>
    <w:rPr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40C0"/>
    <w:rPr>
      <w:rFonts w:ascii="Times New Roman" w:eastAsia="Times New Roman" w:hAnsi="Times New Roman" w:cs="Times New Roman"/>
      <w:lang w:val="de-DE" w:eastAsia="de-DE"/>
    </w:rPr>
  </w:style>
  <w:style w:type="table" w:customStyle="1" w:styleId="TableGridLight1">
    <w:name w:val="Table Grid Light1"/>
    <w:basedOn w:val="TableNormal"/>
    <w:uiPriority w:val="99"/>
    <w:rsid w:val="003E40C0"/>
    <w:rPr>
      <w:lang w:val="de-DE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99"/>
    <w:rsid w:val="003E40C0"/>
    <w:rPr>
      <w:lang w:val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99"/>
    <w:rsid w:val="003E40C0"/>
    <w:rPr>
      <w:lang w:val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40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0C0"/>
    <w:rPr>
      <w:rFonts w:ascii="Times New Roman" w:eastAsia="Times New Roman" w:hAnsi="Times New Roman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E40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0C0"/>
    <w:rPr>
      <w:rFonts w:ascii="Times New Roman" w:eastAsia="Times New Roman" w:hAnsi="Times New Roman" w:cs="Times New Roman"/>
      <w:lang w:val="de-DE" w:eastAsia="de-DE"/>
    </w:rPr>
  </w:style>
  <w:style w:type="character" w:styleId="PageNumber">
    <w:name w:val="page number"/>
    <w:basedOn w:val="DefaultParagraphFont"/>
    <w:uiPriority w:val="99"/>
    <w:semiHidden/>
    <w:unhideWhenUsed/>
    <w:rsid w:val="003E40C0"/>
  </w:style>
  <w:style w:type="character" w:styleId="LineNumber">
    <w:name w:val="line number"/>
    <w:basedOn w:val="DefaultParagraphFont"/>
    <w:uiPriority w:val="99"/>
    <w:semiHidden/>
    <w:unhideWhenUsed/>
    <w:rsid w:val="003E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von Jeinsen</dc:creator>
  <cp:keywords/>
  <dc:description/>
  <cp:lastModifiedBy>Ragavathi V.</cp:lastModifiedBy>
  <cp:revision>5</cp:revision>
  <dcterms:created xsi:type="dcterms:W3CDTF">2020-06-10T10:30:00Z</dcterms:created>
  <dcterms:modified xsi:type="dcterms:W3CDTF">2020-07-22T06:39:00Z</dcterms:modified>
</cp:coreProperties>
</file>