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23" w:rsidRPr="003B5FA1" w:rsidRDefault="005E525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Supplemental </w:t>
      </w:r>
      <w:r w:rsidR="003B5FA1" w:rsidRPr="003B5FA1"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/>
          <w:b/>
          <w:bCs/>
        </w:rPr>
        <w:t>3</w:t>
      </w:r>
      <w:bookmarkStart w:id="0" w:name="_GoBack"/>
      <w:bookmarkEnd w:id="0"/>
      <w:r w:rsidR="003B5FA1" w:rsidRPr="003B5FA1">
        <w:rPr>
          <w:rFonts w:ascii="Arial" w:hAnsi="Arial" w:cs="Arial"/>
          <w:b/>
          <w:bCs/>
        </w:rPr>
        <w:t xml:space="preserve"> Local risk factors of DME development: univariate analysis</w:t>
      </w:r>
    </w:p>
    <w:p w:rsidR="003B5FA1" w:rsidRPr="003B5FA1" w:rsidRDefault="003B5FA1">
      <w:pPr>
        <w:rPr>
          <w:rFonts w:ascii="Arial" w:hAnsi="Arial" w:cs="Arial"/>
        </w:rPr>
      </w:pPr>
    </w:p>
    <w:tbl>
      <w:tblPr>
        <w:tblW w:w="127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4"/>
        <w:gridCol w:w="2126"/>
        <w:gridCol w:w="2268"/>
        <w:gridCol w:w="2127"/>
        <w:gridCol w:w="2693"/>
      </w:tblGrid>
      <w:tr w:rsidR="003B5FA1" w:rsidRPr="003B5FA1" w:rsidTr="003B5FA1">
        <w:trPr>
          <w:trHeight w:val="390"/>
        </w:trPr>
        <w:tc>
          <w:tcPr>
            <w:tcW w:w="3544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  <w:b/>
                <w:bCs/>
              </w:rPr>
              <w:t>ICD10 standard disease name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  <w:b/>
                <w:bCs/>
              </w:rPr>
              <w:t>odd ratio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  <w:b/>
                <w:bCs/>
              </w:rPr>
              <w:t>Lower 95% CI</w:t>
            </w:r>
          </w:p>
        </w:tc>
        <w:tc>
          <w:tcPr>
            <w:tcW w:w="2127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  <w:b/>
                <w:bCs/>
              </w:rPr>
              <w:t>Upper 95% CI</w:t>
            </w:r>
          </w:p>
        </w:tc>
        <w:tc>
          <w:tcPr>
            <w:tcW w:w="2693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  <w:b/>
                <w:bCs/>
              </w:rPr>
              <w:t>P value</w:t>
            </w:r>
          </w:p>
        </w:tc>
      </w:tr>
      <w:tr w:rsidR="003B5FA1" w:rsidRPr="003B5FA1" w:rsidTr="003B5FA1">
        <w:trPr>
          <w:trHeight w:val="390"/>
        </w:trPr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Retinal vessel occlusion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8.28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2.62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26.16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&lt;0.0001</w:t>
            </w:r>
          </w:p>
        </w:tc>
      </w:tr>
      <w:tr w:rsidR="003B5FA1" w:rsidRPr="003B5FA1" w:rsidTr="003B5FA1">
        <w:trPr>
          <w:trHeight w:val="3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Eye movement disorder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5.99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2.01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17.82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&lt;0.0001</w:t>
            </w:r>
          </w:p>
        </w:tc>
      </w:tr>
      <w:tr w:rsidR="003B5FA1" w:rsidRPr="003B5FA1" w:rsidTr="003B5FA1">
        <w:trPr>
          <w:trHeight w:val="3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Accommodative paralysis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4.95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1.50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16.33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&lt;0.0001</w:t>
            </w:r>
          </w:p>
        </w:tc>
      </w:tr>
      <w:tr w:rsidR="003B5FA1" w:rsidRPr="003B5FA1" w:rsidTr="003B5FA1">
        <w:trPr>
          <w:trHeight w:val="3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Scleritis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4.63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1.27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16.88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0.0083</w:t>
            </w:r>
          </w:p>
        </w:tc>
      </w:tr>
      <w:tr w:rsidR="003B5FA1" w:rsidRPr="003B5FA1" w:rsidTr="003B5FA1">
        <w:trPr>
          <w:trHeight w:val="3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Corneal disease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4.01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1.08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14.94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0.0013</w:t>
            </w:r>
          </w:p>
        </w:tc>
      </w:tr>
      <w:tr w:rsidR="003B5FA1" w:rsidRPr="003B5FA1" w:rsidTr="003B5FA1">
        <w:trPr>
          <w:trHeight w:val="3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Ocular pain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3.21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1.08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9.61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0.0007</w:t>
            </w:r>
          </w:p>
        </w:tc>
      </w:tr>
      <w:tr w:rsidR="003B5FA1" w:rsidRPr="003B5FA1" w:rsidTr="003B5FA1">
        <w:trPr>
          <w:trHeight w:val="3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Retinal hemorrhage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2.85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1.48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5.47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&lt;0.0001</w:t>
            </w:r>
          </w:p>
        </w:tc>
      </w:tr>
      <w:tr w:rsidR="003B5FA1" w:rsidRPr="003B5FA1" w:rsidTr="003B5FA1">
        <w:trPr>
          <w:trHeight w:val="3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Uveitis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2.73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1.75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4.26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&lt;0.0001</w:t>
            </w:r>
          </w:p>
        </w:tc>
      </w:tr>
      <w:tr w:rsidR="003B5FA1" w:rsidRPr="003B5FA1" w:rsidTr="003B5FA1">
        <w:trPr>
          <w:trHeight w:val="3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Vitreous hemorrhage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2.06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1.41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3.01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&lt;0.0001</w:t>
            </w:r>
          </w:p>
        </w:tc>
      </w:tr>
      <w:tr w:rsidR="003B5FA1" w:rsidRPr="003B5FA1" w:rsidTr="003B5FA1">
        <w:trPr>
          <w:trHeight w:val="3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Cataract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1.89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1.54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2.32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&lt;0.0001</w:t>
            </w:r>
          </w:p>
        </w:tc>
      </w:tr>
      <w:tr w:rsidR="003B5FA1" w:rsidRPr="003B5FA1" w:rsidTr="003B5FA1">
        <w:trPr>
          <w:trHeight w:val="3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Myopic astigmatism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1.56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1.25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1.96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&lt;0.0001</w:t>
            </w:r>
          </w:p>
        </w:tc>
      </w:tr>
      <w:tr w:rsidR="003B5FA1" w:rsidRPr="003B5FA1" w:rsidTr="003B5FA1">
        <w:trPr>
          <w:trHeight w:val="3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Conjunctivitis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1.35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1.05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1.73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&lt;0.0001</w:t>
            </w:r>
          </w:p>
        </w:tc>
      </w:tr>
      <w:tr w:rsidR="003B5FA1" w:rsidRPr="003B5FA1" w:rsidTr="003B5FA1">
        <w:trPr>
          <w:trHeight w:val="390"/>
        </w:trPr>
        <w:tc>
          <w:tcPr>
            <w:tcW w:w="354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Ocular hypertension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1.16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0.77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1.75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5FA1" w:rsidRPr="003B5FA1" w:rsidRDefault="003B5FA1" w:rsidP="003B5FA1">
            <w:pPr>
              <w:jc w:val="center"/>
              <w:rPr>
                <w:rFonts w:ascii="Arial" w:hAnsi="Arial" w:cs="Arial"/>
              </w:rPr>
            </w:pPr>
            <w:r w:rsidRPr="003B5FA1">
              <w:rPr>
                <w:rFonts w:ascii="Arial" w:hAnsi="Arial" w:cs="Arial"/>
              </w:rPr>
              <w:t>0.0154</w:t>
            </w:r>
          </w:p>
        </w:tc>
      </w:tr>
    </w:tbl>
    <w:p w:rsidR="003B5FA1" w:rsidRPr="003B5FA1" w:rsidRDefault="003B5FA1">
      <w:pPr>
        <w:rPr>
          <w:rFonts w:ascii="Arial" w:hAnsi="Arial" w:cs="Arial"/>
        </w:rPr>
      </w:pPr>
    </w:p>
    <w:p w:rsidR="003B5FA1" w:rsidRPr="003B5FA1" w:rsidRDefault="003B5FA1" w:rsidP="003B5FA1">
      <w:pPr>
        <w:rPr>
          <w:rFonts w:ascii="Arial" w:hAnsi="Arial" w:cs="Arial"/>
        </w:rPr>
      </w:pPr>
      <w:r w:rsidRPr="003B5FA1">
        <w:rPr>
          <w:rFonts w:ascii="Arial" w:hAnsi="Arial" w:cs="Arial"/>
        </w:rPr>
        <w:t>(ICD10; International Classification of Diseases 10th revision, DME; diabetic macular edema, CI; confidential interval)</w:t>
      </w:r>
    </w:p>
    <w:p w:rsidR="003B5FA1" w:rsidRPr="003B5FA1" w:rsidRDefault="003B5FA1">
      <w:pPr>
        <w:rPr>
          <w:rFonts w:ascii="Arial" w:hAnsi="Arial" w:cs="Arial"/>
        </w:rPr>
      </w:pPr>
    </w:p>
    <w:sectPr w:rsidR="003B5FA1" w:rsidRPr="003B5FA1" w:rsidSect="003B5FA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9A" w:rsidRDefault="0049689A" w:rsidP="005E5251">
      <w:r>
        <w:separator/>
      </w:r>
    </w:p>
  </w:endnote>
  <w:endnote w:type="continuationSeparator" w:id="0">
    <w:p w:rsidR="0049689A" w:rsidRDefault="0049689A" w:rsidP="005E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9A" w:rsidRDefault="0049689A" w:rsidP="005E5251">
      <w:r>
        <w:separator/>
      </w:r>
    </w:p>
  </w:footnote>
  <w:footnote w:type="continuationSeparator" w:id="0">
    <w:p w:rsidR="0049689A" w:rsidRDefault="0049689A" w:rsidP="005E5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A1"/>
    <w:rsid w:val="000F5BF6"/>
    <w:rsid w:val="00396023"/>
    <w:rsid w:val="003B5FA1"/>
    <w:rsid w:val="0049689A"/>
    <w:rsid w:val="005E5251"/>
    <w:rsid w:val="00651279"/>
    <w:rsid w:val="00961A84"/>
    <w:rsid w:val="00A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D4C01"/>
  <w15:chartTrackingRefBased/>
  <w15:docId w15:val="{13B29F90-F5F8-43CC-94DC-2EBEFF98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251"/>
  </w:style>
  <w:style w:type="paragraph" w:styleId="a5">
    <w:name w:val="footer"/>
    <w:basedOn w:val="a"/>
    <w:link w:val="a6"/>
    <w:uiPriority w:val="99"/>
    <w:unhideWhenUsed/>
    <w:rsid w:val="005E5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Ken</dc:creator>
  <cp:keywords/>
  <dc:description/>
  <cp:lastModifiedBy>Ken Ken</cp:lastModifiedBy>
  <cp:revision>2</cp:revision>
  <dcterms:created xsi:type="dcterms:W3CDTF">2018-06-06T14:45:00Z</dcterms:created>
  <dcterms:modified xsi:type="dcterms:W3CDTF">2018-08-22T03:40:00Z</dcterms:modified>
</cp:coreProperties>
</file>